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  <w:r w:rsidR="006744ED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</w:p>
    <w:p w:rsidR="00BA7DA9" w:rsidRDefault="006744ED" w:rsidP="009175E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НА ТЕРРИТОРИИ </w:t>
      </w:r>
      <w:r w:rsidR="009175E0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КРОПОТКИНСКОГО ГОРОДСКОГО ПОСЕЛЕНИЯ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Default="007B1DBF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06</w:t>
            </w:r>
            <w:r w:rsidR="00F30F05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.12</w:t>
            </w:r>
            <w:r w:rsid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г.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F30F0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Предмет аукциона (с ука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занием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C90A3C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12</w:t>
            </w:r>
            <w:r w:rsidR="00BB5522">
              <w:rPr>
                <w:rFonts w:ascii="PT Astra Serif" w:eastAsiaTheme="minorHAnsi" w:hAnsi="PT Astra Serif" w:cs="PT Astra Serif"/>
                <w:sz w:val="24"/>
                <w:szCs w:val="24"/>
              </w:rPr>
              <w:t>.11</w:t>
            </w:r>
            <w:r w:rsidR="00E13E52">
              <w:rPr>
                <w:rFonts w:ascii="PT Astra Serif" w:eastAsiaTheme="minorHAnsi" w:hAnsi="PT Astra Serif" w:cs="PT Astra Serif"/>
                <w:sz w:val="24"/>
                <w:szCs w:val="24"/>
              </w:rPr>
              <w:t>.2024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, 12:00</w:t>
            </w:r>
          </w:p>
          <w:p w:rsidR="00BA7DA9" w:rsidRDefault="007B1DBF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окончания приёма заявок: 27</w:t>
            </w:r>
            <w:bookmarkStart w:id="0" w:name="_GoBack"/>
            <w:bookmarkEnd w:id="0"/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 w:rsidR="00E13DA3">
              <w:rPr>
                <w:rFonts w:ascii="PT Astra Serif" w:eastAsiaTheme="minorHAnsi" w:hAnsi="PT Astra Serif" w:cs="PT Astra Serif"/>
                <w:sz w:val="24"/>
                <w:szCs w:val="24"/>
              </w:rPr>
              <w:t>11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.2024 12:00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7B1DBF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29</w:t>
            </w:r>
            <w:r w:rsidR="00E13E5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.11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7B1DBF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07</w:t>
            </w:r>
            <w:r w:rsidR="00F30F05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.12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.2024 в 11:00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ёлочных базаров по реализации хвойных деревьев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348"/>
        <w:gridCol w:w="1468"/>
        <w:gridCol w:w="1468"/>
      </w:tblGrid>
      <w:tr w:rsidR="00BA7DA9" w:rsidRPr="00E877A7" w:rsidTr="00D33654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( за год)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Гагарина (напротив остановки) 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903" w:type="dxa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7980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2)с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3)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5)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/01</w:t>
            </w:r>
          </w:p>
        </w:tc>
      </w:tr>
      <w:tr w:rsidR="00BA7DA9" w:rsidRPr="00E877A7" w:rsidTr="00D33654">
        <w:trPr>
          <w:trHeight w:val="2320"/>
        </w:trPr>
        <w:tc>
          <w:tcPr>
            <w:tcW w:w="851" w:type="dxa"/>
            <w:vMerge w:val="restart"/>
            <w:shd w:val="clear" w:color="FFFFFF" w:fill="FFFFFF"/>
            <w:vAlign w:val="center"/>
          </w:tcPr>
          <w:p w:rsidR="00BA7DA9" w:rsidRPr="00E877A7" w:rsidRDefault="006744ED" w:rsidP="00F30F0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30F05">
              <w:rPr>
                <w:rFonts w:ascii="Times New Roman" w:eastAsia="PT Astra Serif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shd w:val="clear" w:color="FFFFFF" w:fill="FFFFFF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пер. Обрывной (напротив дома 5)</w:t>
            </w:r>
          </w:p>
        </w:tc>
        <w:tc>
          <w:tcPr>
            <w:tcW w:w="850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Merge w:val="restart"/>
            <w:vAlign w:val="center"/>
          </w:tcPr>
          <w:p w:rsidR="00BA7DA9" w:rsidRPr="00E877A7" w:rsidRDefault="00033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41400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vMerge w:val="restart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vMerge w:val="restart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№ 300/2/04</w:t>
            </w:r>
          </w:p>
        </w:tc>
      </w:tr>
      <w:tr w:rsidR="00BA7DA9" w:rsidRPr="00E877A7" w:rsidTr="00E877A7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BA7DA9" w:rsidRPr="00E877A7" w:rsidRDefault="00F30F0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ул. Пушкина и Чапаева 148/1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val="en-US"/>
              </w:rPr>
              <w:t>16800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BA7DA9" w:rsidRPr="00E877A7" w:rsidRDefault="006A5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BA7DA9" w:rsidRPr="00E877A7" w:rsidRDefault="006A58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6744ED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300/2/05</w:t>
            </w:r>
          </w:p>
        </w:tc>
      </w:tr>
      <w:tr w:rsidR="00D33654" w:rsidRPr="00E877A7" w:rsidTr="00D33654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D33654" w:rsidRPr="00E877A7" w:rsidRDefault="00D33654" w:rsidP="00D3365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Лот №</w:t>
            </w:r>
            <w:r w:rsidR="00F30F05">
              <w:rPr>
                <w:rFonts w:ascii="Times New Roman" w:eastAsia="PT Astra Serif" w:hAnsi="Times New Roman"/>
                <w:sz w:val="24"/>
                <w:szCs w:val="24"/>
              </w:rPr>
              <w:t>4</w:t>
            </w:r>
          </w:p>
          <w:p w:rsidR="00D33654" w:rsidRPr="00E877A7" w:rsidRDefault="00D33654" w:rsidP="00D33654">
            <w:pPr>
              <w:spacing w:after="160" w:line="259" w:lineRule="auto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D33654" w:rsidRPr="00E877A7" w:rsidRDefault="00827FCA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Кропоткин, пр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 Ворошилова, 84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ёлочный базар, 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торговля хвойными</w:t>
            </w: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 xml:space="preserve"> деревья</w:t>
            </w:r>
            <w:r w:rsidR="00926EAC">
              <w:rPr>
                <w:rFonts w:ascii="Times New Roman" w:eastAsia="PT Astra Serif" w:hAnsi="Times New Roman"/>
                <w:sz w:val="24"/>
                <w:szCs w:val="24"/>
              </w:rPr>
              <w:t>ми</w:t>
            </w:r>
          </w:p>
        </w:tc>
        <w:tc>
          <w:tcPr>
            <w:tcW w:w="903" w:type="dxa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D33654" w:rsidRPr="00E877A7" w:rsidRDefault="00E877A7" w:rsidP="00D3365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18750,00</w:t>
            </w:r>
          </w:p>
        </w:tc>
        <w:tc>
          <w:tcPr>
            <w:tcW w:w="1348" w:type="dxa"/>
            <w:shd w:val="clear" w:color="FFFFFF" w:fill="FFFFFF"/>
            <w:vAlign w:val="center"/>
          </w:tcPr>
          <w:p w:rsidR="00D33654" w:rsidRPr="00E877A7" w:rsidRDefault="00D33654" w:rsidP="00D33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.12.2024-31.12.2024;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2)с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.12.2025-31.12.2025;</w:t>
            </w:r>
          </w:p>
          <w:p w:rsidR="00D33654" w:rsidRPr="00E877A7" w:rsidRDefault="006A58EB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.12.2026-31.12.2026;</w:t>
            </w:r>
          </w:p>
          <w:p w:rsidR="00D33654" w:rsidRPr="00E877A7" w:rsidRDefault="00D33654" w:rsidP="00D33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4) с </w:t>
            </w:r>
            <w:r w:rsidR="006A58E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</w:t>
            </w: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.12.2027-31.12.2027;</w:t>
            </w:r>
          </w:p>
          <w:p w:rsidR="00D33654" w:rsidRPr="00E877A7" w:rsidRDefault="006A58EB" w:rsidP="00D336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5) с 1</w:t>
            </w:r>
            <w:r w:rsidR="00D33654"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.12.2028-31.12.2028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D33654" w:rsidRPr="00E877A7" w:rsidRDefault="00D33654" w:rsidP="00E87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hAnsi="Times New Roman"/>
                <w:sz w:val="24"/>
                <w:szCs w:val="24"/>
              </w:rPr>
              <w:t>№ 300/</w:t>
            </w:r>
            <w:r w:rsidR="00E877A7" w:rsidRPr="00E87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09" w:rsidRDefault="002B2109">
      <w:pPr>
        <w:spacing w:after="0" w:line="240" w:lineRule="auto"/>
      </w:pPr>
      <w:r>
        <w:separator/>
      </w:r>
    </w:p>
  </w:endnote>
  <w:endnote w:type="continuationSeparator" w:id="0">
    <w:p w:rsidR="002B2109" w:rsidRDefault="002B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09" w:rsidRDefault="002B2109">
      <w:pPr>
        <w:spacing w:after="0" w:line="240" w:lineRule="auto"/>
      </w:pPr>
      <w:r>
        <w:separator/>
      </w:r>
    </w:p>
  </w:footnote>
  <w:footnote w:type="continuationSeparator" w:id="0">
    <w:p w:rsidR="002B2109" w:rsidRDefault="002B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B1DBF" w:rsidRPr="007B1DBF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B1DBF" w:rsidRPr="007B1DBF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C064A"/>
    <w:rsid w:val="000D6B98"/>
    <w:rsid w:val="002015BB"/>
    <w:rsid w:val="0021568D"/>
    <w:rsid w:val="002766BB"/>
    <w:rsid w:val="002B2109"/>
    <w:rsid w:val="003C6E4C"/>
    <w:rsid w:val="00403F4E"/>
    <w:rsid w:val="00407677"/>
    <w:rsid w:val="00435B5D"/>
    <w:rsid w:val="0045573A"/>
    <w:rsid w:val="00466897"/>
    <w:rsid w:val="004D3942"/>
    <w:rsid w:val="0055208D"/>
    <w:rsid w:val="005C5412"/>
    <w:rsid w:val="00627E1D"/>
    <w:rsid w:val="006744ED"/>
    <w:rsid w:val="006A58EB"/>
    <w:rsid w:val="006D5136"/>
    <w:rsid w:val="0074471A"/>
    <w:rsid w:val="007B1DBF"/>
    <w:rsid w:val="00827FCA"/>
    <w:rsid w:val="00832AAA"/>
    <w:rsid w:val="009175E0"/>
    <w:rsid w:val="00926EAC"/>
    <w:rsid w:val="00957274"/>
    <w:rsid w:val="009B22DF"/>
    <w:rsid w:val="00A77887"/>
    <w:rsid w:val="00B01003"/>
    <w:rsid w:val="00BA7DA9"/>
    <w:rsid w:val="00BB5522"/>
    <w:rsid w:val="00BC244D"/>
    <w:rsid w:val="00C14204"/>
    <w:rsid w:val="00C57701"/>
    <w:rsid w:val="00C90A3C"/>
    <w:rsid w:val="00C94E84"/>
    <w:rsid w:val="00D33654"/>
    <w:rsid w:val="00E13DA3"/>
    <w:rsid w:val="00E13E52"/>
    <w:rsid w:val="00E877A7"/>
    <w:rsid w:val="00E91AD2"/>
    <w:rsid w:val="00F22514"/>
    <w:rsid w:val="00F30F05"/>
    <w:rsid w:val="00F31988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9D00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6</cp:revision>
  <cp:lastPrinted>2024-11-11T08:33:00Z</cp:lastPrinted>
  <dcterms:created xsi:type="dcterms:W3CDTF">2024-11-11T08:33:00Z</dcterms:created>
  <dcterms:modified xsi:type="dcterms:W3CDTF">2024-11-12T08:50:00Z</dcterms:modified>
</cp:coreProperties>
</file>