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Default="008A66B0">
      <w:pPr>
        <w:widowControl w:val="0"/>
        <w:spacing w:line="223" w:lineRule="auto"/>
        <w:ind w:right="-284"/>
        <w:jc w:val="both"/>
        <w:rPr>
          <w:rFonts w:ascii="PT Astra Serif" w:hAnsi="PT Astra Serif" w:cs="PT Astra Serif"/>
          <w:b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left="7226" w:right="-284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Приложение 2</w:t>
      </w:r>
    </w:p>
    <w:p w:rsidR="008A66B0" w:rsidRDefault="00D43CF6">
      <w:pPr>
        <w:widowControl w:val="0"/>
        <w:spacing w:after="0" w:line="240" w:lineRule="auto"/>
        <w:ind w:left="3545" w:right="-284"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                           к документации об открытом аукционе</w:t>
      </w:r>
    </w:p>
    <w:p w:rsidR="008A66B0" w:rsidRDefault="008A66B0">
      <w:pPr>
        <w:widowControl w:val="0"/>
        <w:spacing w:after="0" w:line="240" w:lineRule="auto"/>
        <w:ind w:left="-567" w:right="-284"/>
        <w:jc w:val="both"/>
        <w:rPr>
          <w:rFonts w:ascii="PT Astra Serif" w:hAnsi="PT Astra Serif" w:cs="PT Astra Serif"/>
          <w:color w:val="000000"/>
        </w:rPr>
      </w:pP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bookmarkStart w:id="0" w:name="_Toc358641186"/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Форма заявки на участие в открытом аукционе</w:t>
      </w:r>
      <w:bookmarkEnd w:id="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в электронной форме на право</w:t>
      </w: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заключения договора о предоставлении права на размещение нестационарного</w:t>
      </w: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торгового объекта на территории </w:t>
      </w:r>
      <w:r w:rsidR="00BB1C57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Кропоткинского городского поселения Кавказский район</w:t>
      </w:r>
    </w:p>
    <w:p w:rsidR="008A66B0" w:rsidRDefault="008A66B0">
      <w:pPr>
        <w:widowControl w:val="0"/>
        <w:spacing w:after="0" w:line="240" w:lineRule="auto"/>
        <w:ind w:left="5812" w:hanging="283"/>
        <w:jc w:val="both"/>
        <w:outlineLvl w:val="2"/>
        <w:rPr>
          <w:rFonts w:ascii="PT Astra Serif" w:hAnsi="PT Astra Serif" w:cs="PT Astra Serif"/>
          <w:color w:val="000000"/>
        </w:rPr>
      </w:pPr>
      <w:bookmarkStart w:id="1" w:name="_Toc358640972"/>
      <w:bookmarkStart w:id="2" w:name="_Toc358641187"/>
    </w:p>
    <w:p w:rsidR="008A66B0" w:rsidRDefault="00D43CF6">
      <w:pPr>
        <w:widowControl w:val="0"/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Организатор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открытого</w:t>
      </w: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аукциона:</w:t>
      </w:r>
      <w:bookmarkEnd w:id="1"/>
      <w:bookmarkEnd w:id="2"/>
    </w:p>
    <w:p w:rsidR="008A66B0" w:rsidRDefault="00BB1C57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bookmarkStart w:id="3" w:name="_Toc358640973"/>
      <w:bookmarkStart w:id="4" w:name="_Toc358641188"/>
      <w:r>
        <w:rPr>
          <w:rFonts w:ascii="PT Astra Serif" w:eastAsia="PT Astra Serif" w:hAnsi="PT Astra Serif" w:cs="PT Astra Serif"/>
          <w:b/>
          <w:bCs/>
          <w:i/>
          <w:color w:val="000000"/>
          <w:sz w:val="24"/>
          <w:szCs w:val="24"/>
        </w:rPr>
        <w:t>Отдел потребительской сферы администрации муниципального образования Кавказский район</w:t>
      </w:r>
    </w:p>
    <w:p w:rsidR="008A66B0" w:rsidRDefault="008A66B0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BB1C57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Наименование </w:t>
      </w:r>
      <w:r w:rsidR="00D43CF6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оператора электронной площадки:</w:t>
      </w:r>
      <w:bookmarkEnd w:id="3"/>
      <w:bookmarkEnd w:id="4"/>
    </w:p>
    <w:p w:rsidR="008A66B0" w:rsidRDefault="00D43CF6">
      <w:pPr>
        <w:widowControl w:val="0"/>
        <w:pBdr>
          <w:bottom w:val="single" w:sz="12" w:space="0" w:color="000000"/>
        </w:pBdr>
        <w:spacing w:after="0"/>
        <w:ind w:left="5670"/>
        <w:jc w:val="both"/>
        <w:outlineLvl w:val="2"/>
        <w:rPr>
          <w:rFonts w:ascii="PT Astra Serif" w:hAnsi="PT Astra Serif" w:cs="PT Astra Serif"/>
          <w:b/>
          <w:i/>
          <w:sz w:val="24"/>
        </w:rPr>
      </w:pPr>
      <w:bookmarkStart w:id="5" w:name="_Toc358640974"/>
      <w:bookmarkStart w:id="6" w:name="_Toc358641189"/>
      <w:r>
        <w:rPr>
          <w:rFonts w:ascii="PT Astra Serif" w:eastAsia="PT Astra Serif" w:hAnsi="PT Astra Serif" w:cs="PT Astra Serif"/>
          <w:b/>
          <w:i/>
          <w:sz w:val="24"/>
          <w:szCs w:val="24"/>
        </w:rPr>
        <w:t>«</w:t>
      </w:r>
      <w:r w:rsidR="00BB1C57">
        <w:rPr>
          <w:rFonts w:ascii="PT Astra Serif" w:eastAsia="PT Astra Serif" w:hAnsi="PT Astra Serif" w:cs="PT Astra Serif"/>
          <w:b/>
          <w:i/>
          <w:sz w:val="24"/>
          <w:szCs w:val="24"/>
        </w:rPr>
        <w:t>РТС-Тендер</w:t>
      </w:r>
      <w:r>
        <w:rPr>
          <w:rFonts w:ascii="PT Astra Serif" w:eastAsia="PT Astra Serif" w:hAnsi="PT Astra Serif" w:cs="PT Astra Serif"/>
          <w:b/>
          <w:i/>
          <w:sz w:val="24"/>
          <w:szCs w:val="24"/>
        </w:rPr>
        <w:t>»</w:t>
      </w:r>
    </w:p>
    <w:p w:rsidR="008A66B0" w:rsidRDefault="00BB1C57">
      <w:pPr>
        <w:widowControl w:val="0"/>
        <w:pBdr>
          <w:bottom w:val="single" w:sz="12" w:space="0" w:color="000000"/>
        </w:pBdr>
        <w:spacing w:after="0"/>
        <w:ind w:left="5670"/>
        <w:jc w:val="both"/>
        <w:outlineLvl w:val="2"/>
        <w:rPr>
          <w:rFonts w:ascii="PT Astra Serif" w:hAnsi="PT Astra Serif" w:cs="PT Astra Serif"/>
          <w:color w:val="000000"/>
          <w:sz w:val="24"/>
          <w:szCs w:val="24"/>
        </w:rPr>
      </w:pPr>
      <w:r w:rsidRPr="00BB1C57">
        <w:rPr>
          <w:rFonts w:ascii="PT Astra Serif" w:eastAsia="PT Astra Serif" w:hAnsi="PT Astra Serif" w:cs="PT Astra Serif"/>
          <w:b/>
          <w:i/>
          <w:sz w:val="24"/>
          <w:szCs w:val="24"/>
        </w:rPr>
        <w:t>https://www.rts-tender.ru/</w:t>
      </w:r>
    </w:p>
    <w:p w:rsidR="008A66B0" w:rsidRDefault="00D43CF6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Реестровый номер торгов:</w:t>
      </w:r>
      <w:bookmarkEnd w:id="5"/>
      <w:bookmarkEnd w:id="6"/>
    </w:p>
    <w:p w:rsidR="008A66B0" w:rsidRDefault="008A66B0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8A66B0">
      <w:pPr>
        <w:widowControl w:val="0"/>
        <w:spacing w:after="0" w:line="240" w:lineRule="auto"/>
        <w:ind w:left="7080" w:firstLine="666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D43CF6">
      <w:pPr>
        <w:widowControl w:val="0"/>
        <w:spacing w:after="0" w:line="240" w:lineRule="auto"/>
        <w:jc w:val="center"/>
        <w:outlineLvl w:val="2"/>
        <w:rPr>
          <w:rFonts w:ascii="PT Astra Serif" w:hAnsi="PT Astra Serif" w:cs="PT Astra Serif"/>
          <w:color w:val="000000"/>
        </w:rPr>
      </w:pPr>
      <w:bookmarkStart w:id="7" w:name="_Toc358640975"/>
      <w:bookmarkStart w:id="8" w:name="_Toc35864119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Заявка</w:t>
      </w:r>
      <w:bookmarkEnd w:id="7"/>
      <w:bookmarkEnd w:id="8"/>
    </w:p>
    <w:p w:rsidR="008A66B0" w:rsidRDefault="00D43CF6">
      <w:pPr>
        <w:widowControl w:val="0"/>
        <w:spacing w:after="0" w:line="240" w:lineRule="auto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bookmarkStart w:id="9" w:name="_Toc358640976"/>
      <w:bookmarkStart w:id="10" w:name="_Toc358641191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на участие в открытом аукционе в электронной форме на право заключения договора </w:t>
      </w:r>
      <w:bookmarkEnd w:id="9"/>
      <w:bookmarkEnd w:id="1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 xml:space="preserve">о предоставлении права на размещение нестационарного торгового объекта: </w:t>
      </w: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«ёлочных базаров»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 xml:space="preserve">, расположенного по адресу: </w:t>
      </w:r>
    </w:p>
    <w:p w:rsidR="008A66B0" w:rsidRDefault="00D43CF6">
      <w:pPr>
        <w:widowControl w:val="0"/>
        <w:spacing w:after="0" w:line="240" w:lineRule="auto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</w:t>
      </w:r>
      <w:r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  <w:t>(</w:t>
      </w:r>
      <w:proofErr w:type="gramEnd"/>
      <w:r>
        <w:rPr>
          <w:rStyle w:val="ae"/>
          <w:rFonts w:ascii="PT Astra Serif" w:eastAsia="PT Astra Serif" w:hAnsi="PT Astra Serif" w:cs="PT Astra Serif"/>
          <w:b/>
          <w:i/>
          <w:color w:val="000000"/>
          <w:sz w:val="24"/>
          <w:szCs w:val="28"/>
          <w:u w:val="single"/>
        </w:rPr>
        <w:t>указать адрес лота</w:t>
      </w:r>
      <w:r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  <w:t>)</w:t>
      </w:r>
    </w:p>
    <w:p w:rsidR="008A66B0" w:rsidRDefault="00D43CF6">
      <w:pPr>
        <w:widowControl w:val="0"/>
        <w:spacing w:after="0" w:line="240" w:lineRule="auto"/>
        <w:jc w:val="center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Лот № ________</w:t>
      </w:r>
    </w:p>
    <w:p w:rsidR="008A66B0" w:rsidRDefault="008A66B0">
      <w:pPr>
        <w:widowControl w:val="0"/>
        <w:spacing w:after="0" w:line="240" w:lineRule="auto"/>
        <w:ind w:firstLine="539"/>
        <w:jc w:val="center"/>
        <w:rPr>
          <w:rFonts w:ascii="PT Astra Serif" w:hAnsi="PT Astra Serif" w:cs="PT Astra Serif"/>
          <w:color w:val="000000"/>
        </w:rPr>
      </w:pPr>
    </w:p>
    <w:p w:rsidR="008A66B0" w:rsidRDefault="00D43CF6">
      <w:pPr>
        <w:pStyle w:val="1"/>
        <w:widowControl w:val="0"/>
        <w:ind w:left="502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>Сведения о заявителе</w:t>
      </w:r>
    </w:p>
    <w:p w:rsidR="008A66B0" w:rsidRDefault="008A66B0">
      <w:pPr>
        <w:widowControl w:val="0"/>
        <w:spacing w:after="240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89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3"/>
        <w:gridCol w:w="3162"/>
        <w:gridCol w:w="5658"/>
      </w:tblGrid>
      <w:tr w:rsidR="008A66B0">
        <w:trPr>
          <w:trHeight w:val="20"/>
        </w:trPr>
        <w:tc>
          <w:tcPr>
            <w:tcW w:w="5000" w:type="pct"/>
            <w:gridSpan w:val="3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Сведения о заявителе:</w:t>
            </w: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Наименование (Наименование юр. лица/ ФИО индивидуального 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лица) 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ИНН, информация о налоговом органе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76"/>
        </w:trPr>
        <w:tc>
          <w:tcPr>
            <w:tcW w:w="320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678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паспортные данные (для  индивидуального 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лица</w:t>
            </w:r>
          </w:p>
        </w:tc>
        <w:tc>
          <w:tcPr>
            <w:tcW w:w="3002" w:type="pct"/>
            <w:vMerge w:val="restar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368"/>
        </w:trPr>
        <w:tc>
          <w:tcPr>
            <w:tcW w:w="320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Место нахождения для юридического лица/место жительства для индивидуального 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Merge/>
            <w:vAlign w:val="center"/>
          </w:tcPr>
          <w:p w:rsidR="008A66B0" w:rsidRDefault="008A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Почтовый адрес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Контактный телефон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E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955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Банковские реквизиты для возврата обеспечения заявки и/или заключения договора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8A66B0" w:rsidRDefault="008A66B0">
      <w:pPr>
        <w:widowControl w:val="0"/>
        <w:tabs>
          <w:tab w:val="left" w:pos="993"/>
        </w:tabs>
        <w:ind w:left="5321"/>
        <w:jc w:val="both"/>
        <w:rPr>
          <w:rFonts w:ascii="PT Astra Serif" w:hAnsi="PT Astra Serif" w:cs="PT Astra Serif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53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1. Изучив документацию об открытом аукционе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в электронной форме на право заключения договора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о предоставлении права на размещение нестационарного торгового объекта на территории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(далее – аукцион):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«ёлочного базара»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в том числе проект договора о предоставлении права на размещение сезонного нестационарного торгового объекта на территории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Заявитель сообщает о согласии участвовать в аукционе на условиях, установленных в указанной документации об аукционе.</w:t>
      </w:r>
    </w:p>
    <w:p w:rsidR="008A66B0" w:rsidRDefault="00D43CF6">
      <w:pPr>
        <w:widowControl w:val="0"/>
        <w:spacing w:after="0" w:line="240" w:lineRule="auto"/>
        <w:ind w:firstLine="539"/>
        <w:jc w:val="both"/>
        <w:outlineLvl w:val="2"/>
        <w:rPr>
          <w:rFonts w:ascii="PT Astra Serif" w:hAnsi="PT Astra Serif" w:cs="PT Astra Serif"/>
          <w:color w:val="000000"/>
        </w:rPr>
      </w:pPr>
      <w:bookmarkStart w:id="11" w:name="_Toc358640977"/>
      <w:bookmarkStart w:id="12" w:name="_Toc358641192"/>
      <w:bookmarkStart w:id="13" w:name="_Toc358640982"/>
      <w:bookmarkStart w:id="14" w:name="_Toc358641197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2. </w:t>
      </w:r>
      <w:bookmarkStart w:id="15" w:name="_Toc358640979"/>
      <w:bookmarkStart w:id="16" w:name="_Toc358641194"/>
      <w:bookmarkEnd w:id="11"/>
      <w:bookmarkEnd w:id="12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Заявитель уведомлен, что в случае несоответствия заявки на участие в аукционе требованиям документации об аукционе, Заявителю может быть отказано в приеме заявки на участие в аукционе.</w:t>
      </w:r>
      <w:bookmarkEnd w:id="15"/>
      <w:bookmarkEnd w:id="16"/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bookmarkStart w:id="17" w:name="_Toc358640980"/>
      <w:bookmarkStart w:id="18" w:name="_Toc358641195"/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>3. 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Заявитель</w:t>
      </w:r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 xml:space="preserve"> уведомлен, что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bookmarkEnd w:id="17"/>
      <w:bookmarkEnd w:id="18"/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bookmarkStart w:id="19" w:name="_Toc358640981"/>
      <w:bookmarkStart w:id="20" w:name="_Toc358641196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  <w:bookmarkEnd w:id="19"/>
      <w:bookmarkEnd w:id="20"/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5. Настоящим Заявитель подтверждает, что:</w:t>
      </w:r>
      <w:bookmarkEnd w:id="13"/>
      <w:bookmarkEnd w:id="14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bookmarkStart w:id="21" w:name="_Toc358640983"/>
      <w:bookmarkStart w:id="22" w:name="_Toc358641198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 </w:t>
      </w:r>
      <w:bookmarkStart w:id="23" w:name="_Toc358640984"/>
      <w:bookmarkStart w:id="24" w:name="_Toc358641199"/>
      <w:bookmarkEnd w:id="21"/>
      <w:bookmarkEnd w:id="22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с условиями и сроками заключения договора на размещение нестационарного торгового объекта: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«ёлочного базара»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с условиями и сроками перечисления денежных средств по итогам аукциона 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 с условиями и сроками размещения нестационарного торгового объекта 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 является субъектом малого или среднего предпринимательства (в случае проведения аукциона среди субъектов малого или среднего предпринимательства).</w:t>
      </w:r>
      <w:bookmarkEnd w:id="23"/>
      <w:bookmarkEnd w:id="24"/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6. Заявитель обязуется:</w:t>
      </w:r>
    </w:p>
    <w:p w:rsidR="008A66B0" w:rsidRDefault="00D43CF6">
      <w:pPr>
        <w:widowControl w:val="0"/>
        <w:spacing w:after="0" w:line="240" w:lineRule="auto"/>
        <w:ind w:firstLine="709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Заявителя победителем открытого аукциона перечислить денежные средства по итогам аукциона в сроки, установленные документацией об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в случае признания Заявителя победителем заключить Договор на размещение нестационарного торгового объекта: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«ёлочного базара»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на условиях и в сроки, установленные документацией об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перечислить денежные средства по итогам аукциона в сроки, установленные документацией об открытом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- в случае признания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заключить договор на размещение нестационарного торгового объекта: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«ёлочного базара»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на условиях и в сроки, установленные документацией об аукционе.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highlight w:val="magenta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7. Заявитель согласен с тем, что: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7.1. В случае признания Заявителя победителем аукциона и (или) участником аукциона, сделавшим предпоследнее предложение о цене аукциона, и не перечисления такими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 xml:space="preserve">Заявителями денежных средств по итогам аукциона в сроки, установленные документацией об аукционе, и не заключения такими Заявителями договора на размещение нестационарного торгового объекта: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«ёлочного базара»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на условиях и в сроки установленные документацией об аукционе, победитель аукциона и (или) участник аукциона, сделавший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администрации </w:t>
      </w:r>
      <w:r w:rsidR="00C15990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7.2.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В случае если ни от одного из участников аукциона не поступило предложение о повышении начальной цены аукциона, победителем аукциона признается участник аукциона, чья заявка на участие в аукционе поступила первой. При этом в случае отказа или уклонения такого Заявителя от заключения договора на размещение нестационарного торгового объекта: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«ёлочного базара»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на условиях и в сроки, установленные документацией об аукционе, и не перечислении таким Заявителем денежных средств по итогам 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администрации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7.3. В случае если аукцион признан несостоявшимся по причине участия в аукционе менее двух участников Заявитель и организатор проведения аукциона обязаны заключить договор на размещение нестационарного торгового объекта: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«ёлочного базара»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по начальной цене аукциона в порядке, установленном документацией об аукционе. При этом в случае отказа или уклонения такого Заявителя от заключения договора на размещение «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ёлочного базара»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на условиях и в сроки, установленные документацией об аукционе, и не перечислении таким Заявителем денежных средств по итогам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администрации </w:t>
      </w:r>
      <w:r w:rsidR="00C15990" w:rsidRPr="00C15990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8. Заявитель согласен на обработку своих персональных данных и персональных данных доверителя (в случае передоверия).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Даю согласие на использование моих персональных данных в соответствии с нормами и требованиями Федерального закона от 27 июля 2006 г. № 152-ФЗ «О персональных данных».</w:t>
      </w: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7662EA" w:rsidRDefault="007662EA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7662EA" w:rsidRDefault="007662EA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  <w:bookmarkStart w:id="25" w:name="_GoBack"/>
      <w:bookmarkEnd w:id="25"/>
    </w:p>
    <w:p w:rsidR="008A66B0" w:rsidRDefault="00D43CF6" w:rsidP="00C15990">
      <w:pPr>
        <w:widowControl w:val="0"/>
        <w:spacing w:after="0" w:line="240" w:lineRule="auto"/>
        <w:ind w:left="3545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lastRenderedPageBreak/>
        <w:t>Заявление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__________________________________________________________________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физического лица),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в лице, __________________________________________________________________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>(наименование должности, Ф.И.О. руководителя, уполномоченного лица (для юридического лица)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сообщает, 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_________________________________________________________________: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 xml:space="preserve"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 xml:space="preserve"> физического лица)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экономическая деятельность указанного лица не приостановлена в порядке, предусмотренном Кодексом Российской Федерации об административных правонарушениях;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не находится в процессе ликвидации (в отношении юридического лица) или в случае отсутствия решения арбитражного суда о признании юридического лица (индивидуального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физического лица) банкротом и об открытии конкурсного производства;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не имеет в течение 12 месяцев, предшествующих месяцу, в котором размещено извещение о проведении аукциона, нарушений обязательств по заключённым ранее договорам, подтверждённых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деятельности). </w:t>
      </w:r>
    </w:p>
    <w:p w:rsidR="008A66B0" w:rsidRDefault="008A66B0">
      <w:pPr>
        <w:widowControl w:val="0"/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sectPr w:rsidR="008A66B0">
      <w:headerReference w:type="even" r:id="rId9"/>
      <w:headerReference w:type="default" r:id="rId10"/>
      <w:footerReference w:type="default" r:id="rId11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5A" w:rsidRDefault="0093245A">
      <w:pPr>
        <w:spacing w:after="0" w:line="240" w:lineRule="auto"/>
      </w:pPr>
      <w:r>
        <w:separator/>
      </w:r>
    </w:p>
  </w:endnote>
  <w:endnote w:type="continuationSeparator" w:id="0">
    <w:p w:rsidR="0093245A" w:rsidRDefault="0093245A">
      <w:pPr>
        <w:spacing w:after="0" w:line="240" w:lineRule="auto"/>
      </w:pPr>
      <w:r>
        <w:continuationSeparator/>
      </w:r>
    </w:p>
  </w:endnote>
  <w:endnote w:type="continuationNotice" w:id="1">
    <w:p w:rsidR="0093245A" w:rsidRDefault="00932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8A66B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5A" w:rsidRDefault="0093245A">
      <w:pPr>
        <w:spacing w:after="0" w:line="240" w:lineRule="auto"/>
      </w:pPr>
      <w:r>
        <w:separator/>
      </w:r>
    </w:p>
  </w:footnote>
  <w:footnote w:type="continuationSeparator" w:id="0">
    <w:p w:rsidR="0093245A" w:rsidRDefault="0093245A">
      <w:pPr>
        <w:spacing w:after="0" w:line="240" w:lineRule="auto"/>
      </w:pPr>
      <w:r>
        <w:continuationSeparator/>
      </w:r>
    </w:p>
  </w:footnote>
  <w:footnote w:type="continuationNotice" w:id="1">
    <w:p w:rsidR="0093245A" w:rsidRDefault="009324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D43CF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66B0" w:rsidRDefault="008A66B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D43CF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662EA">
      <w:rPr>
        <w:rStyle w:val="af4"/>
        <w:noProof/>
      </w:rPr>
      <w:t>4</w:t>
    </w:r>
    <w:r>
      <w:rPr>
        <w:rStyle w:val="af4"/>
      </w:rPr>
      <w:fldChar w:fldCharType="end"/>
    </w:r>
  </w:p>
  <w:p w:rsidR="008A66B0" w:rsidRDefault="008A66B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631"/>
    <w:multiLevelType w:val="hybridMultilevel"/>
    <w:tmpl w:val="3B62700E"/>
    <w:lvl w:ilvl="0" w:tplc="45F08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EFCF384">
      <w:start w:val="1"/>
      <w:numFmt w:val="lowerLetter"/>
      <w:lvlText w:val="%2."/>
      <w:lvlJc w:val="left"/>
      <w:pPr>
        <w:ind w:left="1222" w:hanging="360"/>
      </w:pPr>
    </w:lvl>
    <w:lvl w:ilvl="2" w:tplc="9948E880">
      <w:start w:val="1"/>
      <w:numFmt w:val="lowerRoman"/>
      <w:lvlText w:val="%3."/>
      <w:lvlJc w:val="right"/>
      <w:pPr>
        <w:ind w:left="1942" w:hanging="180"/>
      </w:pPr>
    </w:lvl>
    <w:lvl w:ilvl="3" w:tplc="2BEE9426">
      <w:start w:val="1"/>
      <w:numFmt w:val="decimal"/>
      <w:lvlText w:val="%4."/>
      <w:lvlJc w:val="left"/>
      <w:pPr>
        <w:ind w:left="2662" w:hanging="360"/>
      </w:pPr>
    </w:lvl>
    <w:lvl w:ilvl="4" w:tplc="1F4284FC">
      <w:start w:val="1"/>
      <w:numFmt w:val="lowerLetter"/>
      <w:lvlText w:val="%5."/>
      <w:lvlJc w:val="left"/>
      <w:pPr>
        <w:ind w:left="3382" w:hanging="360"/>
      </w:pPr>
    </w:lvl>
    <w:lvl w:ilvl="5" w:tplc="62329002">
      <w:start w:val="1"/>
      <w:numFmt w:val="lowerRoman"/>
      <w:lvlText w:val="%6."/>
      <w:lvlJc w:val="right"/>
      <w:pPr>
        <w:ind w:left="4102" w:hanging="180"/>
      </w:pPr>
    </w:lvl>
    <w:lvl w:ilvl="6" w:tplc="01B00AAE">
      <w:start w:val="1"/>
      <w:numFmt w:val="decimal"/>
      <w:lvlText w:val="%7."/>
      <w:lvlJc w:val="left"/>
      <w:pPr>
        <w:ind w:left="4822" w:hanging="360"/>
      </w:pPr>
    </w:lvl>
    <w:lvl w:ilvl="7" w:tplc="F996801C">
      <w:start w:val="1"/>
      <w:numFmt w:val="lowerLetter"/>
      <w:lvlText w:val="%8."/>
      <w:lvlJc w:val="left"/>
      <w:pPr>
        <w:ind w:left="5542" w:hanging="360"/>
      </w:pPr>
    </w:lvl>
    <w:lvl w:ilvl="8" w:tplc="168A216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8E6D35"/>
    <w:multiLevelType w:val="hybridMultilevel"/>
    <w:tmpl w:val="BD088D72"/>
    <w:lvl w:ilvl="0" w:tplc="D3DA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20A8964">
      <w:start w:val="1"/>
      <w:numFmt w:val="lowerLetter"/>
      <w:lvlText w:val="%2."/>
      <w:lvlJc w:val="left"/>
      <w:pPr>
        <w:ind w:left="1440" w:hanging="360"/>
      </w:pPr>
    </w:lvl>
    <w:lvl w:ilvl="2" w:tplc="4E22D58E">
      <w:start w:val="1"/>
      <w:numFmt w:val="lowerRoman"/>
      <w:lvlText w:val="%3."/>
      <w:lvlJc w:val="right"/>
      <w:pPr>
        <w:ind w:left="2160" w:hanging="180"/>
      </w:pPr>
    </w:lvl>
    <w:lvl w:ilvl="3" w:tplc="549C80C4">
      <w:start w:val="1"/>
      <w:numFmt w:val="decimal"/>
      <w:lvlText w:val="%4."/>
      <w:lvlJc w:val="left"/>
      <w:pPr>
        <w:ind w:left="2880" w:hanging="360"/>
      </w:pPr>
    </w:lvl>
    <w:lvl w:ilvl="4" w:tplc="63900CDE">
      <w:start w:val="1"/>
      <w:numFmt w:val="lowerLetter"/>
      <w:lvlText w:val="%5."/>
      <w:lvlJc w:val="left"/>
      <w:pPr>
        <w:ind w:left="3600" w:hanging="360"/>
      </w:pPr>
    </w:lvl>
    <w:lvl w:ilvl="5" w:tplc="E9921E14">
      <w:start w:val="1"/>
      <w:numFmt w:val="lowerRoman"/>
      <w:lvlText w:val="%6."/>
      <w:lvlJc w:val="right"/>
      <w:pPr>
        <w:ind w:left="4320" w:hanging="180"/>
      </w:pPr>
    </w:lvl>
    <w:lvl w:ilvl="6" w:tplc="5D7E0AF0">
      <w:start w:val="1"/>
      <w:numFmt w:val="decimal"/>
      <w:lvlText w:val="%7."/>
      <w:lvlJc w:val="left"/>
      <w:pPr>
        <w:ind w:left="5040" w:hanging="360"/>
      </w:pPr>
    </w:lvl>
    <w:lvl w:ilvl="7" w:tplc="0FE66F56">
      <w:start w:val="1"/>
      <w:numFmt w:val="lowerLetter"/>
      <w:lvlText w:val="%8."/>
      <w:lvlJc w:val="left"/>
      <w:pPr>
        <w:ind w:left="5760" w:hanging="360"/>
      </w:pPr>
    </w:lvl>
    <w:lvl w:ilvl="8" w:tplc="9B42D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1C78"/>
    <w:multiLevelType w:val="hybridMultilevel"/>
    <w:tmpl w:val="C89A6B88"/>
    <w:lvl w:ilvl="0" w:tplc="D2E41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74B0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C0D8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5EC6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E8F1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0A56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E223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442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023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411C2B"/>
    <w:multiLevelType w:val="hybridMultilevel"/>
    <w:tmpl w:val="B2CE1722"/>
    <w:lvl w:ilvl="0" w:tplc="B41E8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E0523E">
      <w:start w:val="1"/>
      <w:numFmt w:val="lowerLetter"/>
      <w:lvlText w:val="%2."/>
      <w:lvlJc w:val="left"/>
      <w:pPr>
        <w:ind w:left="1440" w:hanging="360"/>
      </w:pPr>
    </w:lvl>
    <w:lvl w:ilvl="2" w:tplc="966A00B0">
      <w:start w:val="1"/>
      <w:numFmt w:val="lowerRoman"/>
      <w:lvlText w:val="%3."/>
      <w:lvlJc w:val="right"/>
      <w:pPr>
        <w:ind w:left="2160" w:hanging="180"/>
      </w:pPr>
    </w:lvl>
    <w:lvl w:ilvl="3" w:tplc="A6FEC78A">
      <w:start w:val="1"/>
      <w:numFmt w:val="decimal"/>
      <w:lvlText w:val="%4."/>
      <w:lvlJc w:val="left"/>
      <w:pPr>
        <w:ind w:left="2880" w:hanging="360"/>
      </w:pPr>
    </w:lvl>
    <w:lvl w:ilvl="4" w:tplc="AFE2F282">
      <w:start w:val="1"/>
      <w:numFmt w:val="lowerLetter"/>
      <w:lvlText w:val="%5."/>
      <w:lvlJc w:val="left"/>
      <w:pPr>
        <w:ind w:left="3600" w:hanging="360"/>
      </w:pPr>
    </w:lvl>
    <w:lvl w:ilvl="5" w:tplc="01465976">
      <w:start w:val="1"/>
      <w:numFmt w:val="lowerRoman"/>
      <w:lvlText w:val="%6."/>
      <w:lvlJc w:val="right"/>
      <w:pPr>
        <w:ind w:left="4320" w:hanging="180"/>
      </w:pPr>
    </w:lvl>
    <w:lvl w:ilvl="6" w:tplc="66D8C418">
      <w:start w:val="1"/>
      <w:numFmt w:val="decimal"/>
      <w:lvlText w:val="%7."/>
      <w:lvlJc w:val="left"/>
      <w:pPr>
        <w:ind w:left="5040" w:hanging="360"/>
      </w:pPr>
    </w:lvl>
    <w:lvl w:ilvl="7" w:tplc="6F1ABAC4">
      <w:start w:val="1"/>
      <w:numFmt w:val="lowerLetter"/>
      <w:lvlText w:val="%8."/>
      <w:lvlJc w:val="left"/>
      <w:pPr>
        <w:ind w:left="5760" w:hanging="360"/>
      </w:pPr>
    </w:lvl>
    <w:lvl w:ilvl="8" w:tplc="77208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765C"/>
    <w:multiLevelType w:val="multilevel"/>
    <w:tmpl w:val="6A969E1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abstractNum w:abstractNumId="5" w15:restartNumberingAfterBreak="0">
    <w:nsid w:val="71855DF6"/>
    <w:multiLevelType w:val="multilevel"/>
    <w:tmpl w:val="20DCF30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6" w15:restartNumberingAfterBreak="0">
    <w:nsid w:val="7C506819"/>
    <w:multiLevelType w:val="multilevel"/>
    <w:tmpl w:val="127EED3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7EC055D8"/>
    <w:multiLevelType w:val="hybridMultilevel"/>
    <w:tmpl w:val="2AEE2FEE"/>
    <w:lvl w:ilvl="0" w:tplc="1D34B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F0A6014">
      <w:start w:val="1"/>
      <w:numFmt w:val="lowerLetter"/>
      <w:lvlText w:val="%2."/>
      <w:lvlJc w:val="left"/>
      <w:pPr>
        <w:ind w:left="1440" w:hanging="360"/>
      </w:pPr>
    </w:lvl>
    <w:lvl w:ilvl="2" w:tplc="46F6DB52">
      <w:start w:val="1"/>
      <w:numFmt w:val="lowerRoman"/>
      <w:lvlText w:val="%3."/>
      <w:lvlJc w:val="right"/>
      <w:pPr>
        <w:ind w:left="2160" w:hanging="180"/>
      </w:pPr>
    </w:lvl>
    <w:lvl w:ilvl="3" w:tplc="93165008">
      <w:start w:val="1"/>
      <w:numFmt w:val="decimal"/>
      <w:lvlText w:val="%4."/>
      <w:lvlJc w:val="left"/>
      <w:pPr>
        <w:ind w:left="2880" w:hanging="360"/>
      </w:pPr>
    </w:lvl>
    <w:lvl w:ilvl="4" w:tplc="D76ABBC2">
      <w:start w:val="1"/>
      <w:numFmt w:val="lowerLetter"/>
      <w:lvlText w:val="%5."/>
      <w:lvlJc w:val="left"/>
      <w:pPr>
        <w:ind w:left="3600" w:hanging="360"/>
      </w:pPr>
    </w:lvl>
    <w:lvl w:ilvl="5" w:tplc="974A8AEA">
      <w:start w:val="1"/>
      <w:numFmt w:val="lowerRoman"/>
      <w:lvlText w:val="%6."/>
      <w:lvlJc w:val="right"/>
      <w:pPr>
        <w:ind w:left="4320" w:hanging="180"/>
      </w:pPr>
    </w:lvl>
    <w:lvl w:ilvl="6" w:tplc="D9C63780">
      <w:start w:val="1"/>
      <w:numFmt w:val="decimal"/>
      <w:lvlText w:val="%7."/>
      <w:lvlJc w:val="left"/>
      <w:pPr>
        <w:ind w:left="5040" w:hanging="360"/>
      </w:pPr>
    </w:lvl>
    <w:lvl w:ilvl="7" w:tplc="B764F9E0">
      <w:start w:val="1"/>
      <w:numFmt w:val="lowerLetter"/>
      <w:lvlText w:val="%8."/>
      <w:lvlJc w:val="left"/>
      <w:pPr>
        <w:ind w:left="5760" w:hanging="360"/>
      </w:pPr>
    </w:lvl>
    <w:lvl w:ilvl="8" w:tplc="A6A0F0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7662EA"/>
    <w:rsid w:val="008A66B0"/>
    <w:rsid w:val="0093245A"/>
    <w:rsid w:val="00BB1C57"/>
    <w:rsid w:val="00C15990"/>
    <w:rsid w:val="00D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4DFB"/>
  <w15:docId w15:val="{14166BF1-D084-4BF1-A004-AC8BE97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No Spacing"/>
    <w:link w:val="ac"/>
    <w:uiPriority w:val="99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pPr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rPr>
      <w:rFonts w:ascii="Calibri" w:eastAsia="Times New Roman" w:hAnsi="Calibri" w:cs="Times New Roman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Times New Roman" w:hAnsi="Calibri" w:cs="Times New Roman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13">
    <w:name w:val="Без интервала1"/>
    <w:rPr>
      <w:rFonts w:eastAsia="Times New Roman"/>
      <w:sz w:val="22"/>
      <w:szCs w:val="22"/>
    </w:rPr>
  </w:style>
  <w:style w:type="paragraph" w:customStyle="1" w:styleId="14">
    <w:name w:val="Без интервала1"/>
    <w:uiPriority w:val="99"/>
    <w:rPr>
      <w:sz w:val="22"/>
      <w:szCs w:val="22"/>
      <w:lang w:eastAsia="en-US"/>
    </w:rPr>
  </w:style>
  <w:style w:type="paragraph" w:styleId="af5">
    <w:name w:val="Balloon Text"/>
    <w:basedOn w:val="a"/>
    <w:link w:val="af6"/>
    <w:semiHidden/>
    <w:rPr>
      <w:rFonts w:ascii="Tahoma" w:hAnsi="Tahoma" w:cs="Tahoma"/>
      <w:sz w:val="16"/>
      <w:szCs w:val="16"/>
    </w:rPr>
  </w:style>
  <w:style w:type="paragraph" w:customStyle="1" w:styleId="textbastxt0">
    <w:name w:val="textbastx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7">
    <w:name w:val="endnote text"/>
    <w:basedOn w:val="a"/>
    <w:link w:val="af8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8">
    <w:name w:val="Текст концевой сноски Знак"/>
    <w:link w:val="af7"/>
    <w:rPr>
      <w:rFonts w:ascii="Arial" w:eastAsia="Times New Roman" w:hAnsi="Arial"/>
    </w:rPr>
  </w:style>
  <w:style w:type="character" w:customStyle="1" w:styleId="ae">
    <w:name w:val="Абзац списка Знак"/>
    <w:link w:val="ad"/>
    <w:uiPriority w:val="34"/>
    <w:rPr>
      <w:rFonts w:ascii="Calibri" w:hAnsi="Calibri"/>
      <w:sz w:val="22"/>
      <w:szCs w:val="22"/>
      <w:lang w:val="ru-RU" w:eastAsia="en-US" w:bidi="ar-SA"/>
    </w:rPr>
  </w:style>
  <w:style w:type="paragraph" w:customStyle="1" w:styleId="af9">
    <w:name w:val="наименование"/>
    <w:basedOn w:val="a"/>
    <w:pPr>
      <w:widowControl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a">
    <w:name w:val="Plain Text"/>
    <w:basedOn w:val="a"/>
    <w:link w:val="a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Gen0">
    <w:name w:val="StGen0"/>
    <w:basedOn w:val="a"/>
    <w:next w:val="afe"/>
    <w:link w:val="aff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link w:val="1"/>
    <w:rPr>
      <w:sz w:val="28"/>
      <w:lang w:val="ru-RU" w:eastAsia="ru-RU" w:bidi="ar-SA"/>
    </w:rPr>
  </w:style>
  <w:style w:type="character" w:customStyle="1" w:styleId="afb">
    <w:name w:val="Текст Знак"/>
    <w:link w:val="afa"/>
    <w:rPr>
      <w:rFonts w:ascii="Courier New" w:hAnsi="Courier New" w:cs="Courier New"/>
      <w:lang w:val="ru-RU" w:eastAsia="ru-RU" w:bidi="ar-SA"/>
    </w:rPr>
  </w:style>
  <w:style w:type="paragraph" w:styleId="aff0">
    <w:name w:val="Normal (Web)"/>
    <w:basedOn w:val="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f1">
    <w:name w:val="Emphasis"/>
    <w:qFormat/>
    <w:rPr>
      <w:i/>
      <w:iCs/>
    </w:r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/>
      <w:sz w:val="24"/>
      <w:szCs w:val="24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сновной текст1"/>
    <w:pPr>
      <w:widowControl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f3">
    <w:name w:val="footnote text"/>
    <w:basedOn w:val="a"/>
    <w:link w:val="aff4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link w:val="aff3"/>
    <w:semiHidden/>
    <w:rPr>
      <w:rFonts w:ascii="Times New Roman" w:eastAsia="Times New Roman" w:hAnsi="Times New Roman"/>
    </w:rPr>
  </w:style>
  <w:style w:type="character" w:styleId="aff5">
    <w:name w:val="footnote reference"/>
    <w:semiHidden/>
    <w:rPr>
      <w:vertAlign w:val="superscript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f">
    <w:name w:val="Название Знак"/>
    <w:link w:val="StGen0"/>
    <w:rPr>
      <w:rFonts w:ascii="Times New Roman" w:eastAsia="Times New Roman" w:hAnsi="Times New Roman"/>
      <w:b/>
      <w:sz w:val="28"/>
    </w:rPr>
  </w:style>
  <w:style w:type="character" w:customStyle="1" w:styleId="xdexpressionboxxddatabindingui">
    <w:name w:val="xdexpressionbox xddatabindingui"/>
  </w:style>
  <w:style w:type="paragraph" w:customStyle="1" w:styleId="aff6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rezul">
    <w:name w:val="rezul"/>
    <w:basedOn w:val="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 w:val="20"/>
      <w:szCs w:val="20"/>
      <w:lang w:val="en-US"/>
    </w:rPr>
  </w:style>
  <w:style w:type="paragraph" w:customStyle="1" w:styleId="adress">
    <w:name w:val="adress"/>
    <w:basedOn w:val="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rPr>
      <w:rFonts w:eastAsia="Times New Roman"/>
      <w:sz w:val="22"/>
      <w:szCs w:val="22"/>
      <w:lang w:eastAsia="en-US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Pr>
      <w:rFonts w:eastAsia="Times New Roman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Pr>
      <w:rFonts w:eastAsia="Times New Roman"/>
      <w:b/>
      <w:bCs/>
      <w:lang w:eastAsia="en-US"/>
    </w:rPr>
  </w:style>
  <w:style w:type="paragraph" w:customStyle="1" w:styleId="affc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ffd">
    <w:name w:val="Normal Indent"/>
    <w:basedOn w:val="a"/>
    <w:pPr>
      <w:spacing w:before="120" w:after="120" w:line="240" w:lineRule="auto"/>
      <w:ind w:left="708" w:firstLine="709"/>
      <w:jc w:val="both"/>
    </w:pPr>
    <w:rPr>
      <w:rFonts w:ascii="Times New Roman" w:eastAsia="Calibri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affe">
    <w:name w:val="Основной текст_"/>
    <w:link w:val="8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87">
    <w:name w:val="Основной текст87"/>
    <w:basedOn w:val="a"/>
    <w:link w:val="affe"/>
    <w:pPr>
      <w:shd w:val="clear" w:color="auto" w:fill="FFFFFF"/>
      <w:spacing w:after="420" w:line="0" w:lineRule="atLeast"/>
      <w:ind w:hanging="360"/>
    </w:pPr>
    <w:rPr>
      <w:rFonts w:ascii="Times New Roman" w:hAnsi="Times New Roman"/>
      <w:sz w:val="24"/>
      <w:szCs w:val="24"/>
    </w:rPr>
  </w:style>
  <w:style w:type="character" w:customStyle="1" w:styleId="16">
    <w:name w:val="Заголовок №1_"/>
    <w:link w:val="1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pPr>
      <w:shd w:val="clear" w:color="auto" w:fill="FFFFFF"/>
      <w:spacing w:before="420" w:after="0" w:line="317" w:lineRule="exact"/>
      <w:ind w:firstLine="3500"/>
      <w:outlineLvl w:val="0"/>
    </w:pPr>
    <w:rPr>
      <w:rFonts w:ascii="Times New Roman" w:hAnsi="Times New Roman"/>
      <w:sz w:val="24"/>
      <w:szCs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paragraph" w:customStyle="1" w:styleId="afff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fe">
    <w:name w:val="Title"/>
    <w:basedOn w:val="a"/>
    <w:next w:val="a"/>
    <w:link w:val="afff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0">
    <w:name w:val="Заголовок Знак"/>
    <w:basedOn w:val="a0"/>
    <w:link w:val="afe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18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StGen1">
    <w:name w:val="StGen1"/>
    <w:basedOn w:val="a"/>
    <w:next w:val="afe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table" w:customStyle="1" w:styleId="25">
    <w:name w:val="Сетка таблицы2"/>
    <w:basedOn w:val="a1"/>
    <w:next w:val="aff2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next w:val="aff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Текст выноски Знак"/>
    <w:basedOn w:val="a0"/>
    <w:link w:val="af5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f1">
    <w:name w:val="Strong"/>
    <w:basedOn w:val="a0"/>
    <w:uiPriority w:val="22"/>
    <w:qFormat/>
    <w:rPr>
      <w:b/>
      <w:bCs/>
    </w:rPr>
  </w:style>
  <w:style w:type="character" w:styleId="af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D0D9DD4-DC96-4DFD-B818-CA3A450A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Таксер Е.Ю.</dc:creator>
  <cp:lastModifiedBy>User-22-12</cp:lastModifiedBy>
  <cp:revision>3</cp:revision>
  <dcterms:created xsi:type="dcterms:W3CDTF">2024-09-25T11:19:00Z</dcterms:created>
  <dcterms:modified xsi:type="dcterms:W3CDTF">2024-09-26T09:22:00Z</dcterms:modified>
</cp:coreProperties>
</file>