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B0" w:rsidRDefault="008A66B0">
      <w:pPr>
        <w:widowControl w:val="0"/>
        <w:spacing w:line="223" w:lineRule="auto"/>
        <w:ind w:right="-284"/>
        <w:jc w:val="both"/>
        <w:rPr>
          <w:rFonts w:ascii="PT Astra Serif" w:hAnsi="PT Astra Serif" w:cs="PT Astra Serif"/>
          <w:b/>
          <w:color w:val="000000"/>
          <w:sz w:val="24"/>
          <w:szCs w:val="24"/>
        </w:rPr>
      </w:pPr>
    </w:p>
    <w:p w:rsidR="008A66B0" w:rsidRDefault="00D43CF6">
      <w:pPr>
        <w:widowControl w:val="0"/>
        <w:spacing w:after="0" w:line="240" w:lineRule="auto"/>
        <w:ind w:left="7226" w:right="-284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Приложение 2</w:t>
      </w:r>
    </w:p>
    <w:p w:rsidR="008A66B0" w:rsidRDefault="00D43CF6">
      <w:pPr>
        <w:widowControl w:val="0"/>
        <w:spacing w:after="0" w:line="240" w:lineRule="auto"/>
        <w:ind w:left="3545" w:right="-284"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 xml:space="preserve">                           к документации об открытом аукционе</w:t>
      </w:r>
    </w:p>
    <w:p w:rsidR="008A66B0" w:rsidRDefault="008A66B0">
      <w:pPr>
        <w:widowControl w:val="0"/>
        <w:spacing w:after="0" w:line="240" w:lineRule="auto"/>
        <w:ind w:left="-567" w:right="-284"/>
        <w:jc w:val="both"/>
        <w:rPr>
          <w:rFonts w:ascii="PT Astra Serif" w:hAnsi="PT Astra Serif" w:cs="PT Astra Serif"/>
          <w:color w:val="000000"/>
        </w:rPr>
      </w:pPr>
    </w:p>
    <w:p w:rsidR="008A66B0" w:rsidRDefault="00D43CF6" w:rsidP="00BB1C57">
      <w:pPr>
        <w:pStyle w:val="1"/>
        <w:widowControl w:val="0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  <w:bookmarkStart w:id="0" w:name="_Toc358641186"/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Форма заявки на участие в открытом аукционе</w:t>
      </w:r>
      <w:bookmarkEnd w:id="0"/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 в электронной форме на право</w:t>
      </w:r>
    </w:p>
    <w:p w:rsidR="008A66B0" w:rsidRDefault="00D43CF6" w:rsidP="00BB1C57">
      <w:pPr>
        <w:pStyle w:val="1"/>
        <w:widowControl w:val="0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>заключения договора о предоставлении права на размещение нестационарного</w:t>
      </w:r>
    </w:p>
    <w:p w:rsidR="008A66B0" w:rsidRDefault="00D43CF6" w:rsidP="00BB1C57">
      <w:pPr>
        <w:pStyle w:val="1"/>
        <w:widowControl w:val="0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торгового объекта на территории </w:t>
      </w:r>
      <w:r w:rsidR="00BB1C57"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>Кропоткинского городского поселения Кавказский район</w:t>
      </w:r>
    </w:p>
    <w:p w:rsidR="008A66B0" w:rsidRDefault="008A66B0">
      <w:pPr>
        <w:widowControl w:val="0"/>
        <w:spacing w:after="0" w:line="240" w:lineRule="auto"/>
        <w:ind w:left="5812" w:hanging="283"/>
        <w:jc w:val="both"/>
        <w:outlineLvl w:val="2"/>
        <w:rPr>
          <w:rFonts w:ascii="PT Astra Serif" w:hAnsi="PT Astra Serif" w:cs="PT Astra Serif"/>
          <w:color w:val="000000"/>
        </w:rPr>
      </w:pPr>
      <w:bookmarkStart w:id="1" w:name="_Toc358640972"/>
      <w:bookmarkStart w:id="2" w:name="_Toc358641187"/>
    </w:p>
    <w:p w:rsidR="008A66B0" w:rsidRDefault="00D43CF6">
      <w:pPr>
        <w:widowControl w:val="0"/>
        <w:spacing w:after="0" w:line="240" w:lineRule="auto"/>
        <w:ind w:left="5670"/>
        <w:jc w:val="both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Организатор </w:t>
      </w: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открытого</w:t>
      </w:r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 аукциона:</w:t>
      </w:r>
      <w:bookmarkEnd w:id="1"/>
      <w:bookmarkEnd w:id="2"/>
    </w:p>
    <w:p w:rsidR="008A66B0" w:rsidRDefault="00BB1C57">
      <w:pPr>
        <w:widowControl w:val="0"/>
        <w:pBdr>
          <w:bottom w:val="single" w:sz="12" w:space="0" w:color="000000"/>
        </w:pBdr>
        <w:spacing w:after="0" w:line="240" w:lineRule="auto"/>
        <w:ind w:left="5670"/>
        <w:jc w:val="both"/>
        <w:outlineLvl w:val="2"/>
        <w:rPr>
          <w:rFonts w:ascii="PT Astra Serif" w:hAnsi="PT Astra Serif" w:cs="PT Astra Serif"/>
          <w:color w:val="000000"/>
        </w:rPr>
      </w:pPr>
      <w:bookmarkStart w:id="3" w:name="_Toc358640973"/>
      <w:bookmarkStart w:id="4" w:name="_Toc358641188"/>
      <w:r>
        <w:rPr>
          <w:rFonts w:ascii="PT Astra Serif" w:eastAsia="PT Astra Serif" w:hAnsi="PT Astra Serif" w:cs="PT Astra Serif"/>
          <w:b/>
          <w:bCs/>
          <w:i/>
          <w:color w:val="000000"/>
          <w:sz w:val="24"/>
          <w:szCs w:val="24"/>
        </w:rPr>
        <w:t>Отдел потребительской сферы администрации муниципального образования Кавказский район</w:t>
      </w:r>
    </w:p>
    <w:p w:rsidR="008A66B0" w:rsidRDefault="008A66B0">
      <w:pPr>
        <w:widowControl w:val="0"/>
        <w:pBdr>
          <w:bottom w:val="single" w:sz="12" w:space="0" w:color="000000"/>
        </w:pBdr>
        <w:spacing w:after="0" w:line="240" w:lineRule="auto"/>
        <w:ind w:left="5670"/>
        <w:jc w:val="both"/>
        <w:outlineLvl w:val="2"/>
        <w:rPr>
          <w:rFonts w:ascii="PT Astra Serif" w:hAnsi="PT Astra Serif" w:cs="PT Astra Serif"/>
          <w:color w:val="000000"/>
        </w:rPr>
      </w:pPr>
    </w:p>
    <w:p w:rsidR="008A66B0" w:rsidRDefault="00BB1C57">
      <w:pPr>
        <w:widowControl w:val="0"/>
        <w:pBdr>
          <w:bottom w:val="single" w:sz="12" w:space="0" w:color="000000"/>
        </w:pBdr>
        <w:spacing w:after="0" w:line="240" w:lineRule="auto"/>
        <w:ind w:left="5670"/>
        <w:jc w:val="both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Наименование </w:t>
      </w:r>
      <w:r w:rsidR="00D43CF6"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>оператора электронной площадки:</w:t>
      </w:r>
      <w:bookmarkEnd w:id="3"/>
      <w:bookmarkEnd w:id="4"/>
    </w:p>
    <w:p w:rsidR="008A66B0" w:rsidRDefault="00D43CF6">
      <w:pPr>
        <w:widowControl w:val="0"/>
        <w:pBdr>
          <w:bottom w:val="single" w:sz="12" w:space="0" w:color="000000"/>
        </w:pBdr>
        <w:spacing w:after="0"/>
        <w:ind w:left="5670"/>
        <w:jc w:val="both"/>
        <w:outlineLvl w:val="2"/>
        <w:rPr>
          <w:rFonts w:ascii="PT Astra Serif" w:hAnsi="PT Astra Serif" w:cs="PT Astra Serif"/>
          <w:b/>
          <w:i/>
          <w:sz w:val="24"/>
        </w:rPr>
      </w:pPr>
      <w:bookmarkStart w:id="5" w:name="_Toc358640974"/>
      <w:bookmarkStart w:id="6" w:name="_Toc358641189"/>
      <w:r>
        <w:rPr>
          <w:rFonts w:ascii="PT Astra Serif" w:eastAsia="PT Astra Serif" w:hAnsi="PT Astra Serif" w:cs="PT Astra Serif"/>
          <w:b/>
          <w:i/>
          <w:sz w:val="24"/>
          <w:szCs w:val="24"/>
        </w:rPr>
        <w:t>«</w:t>
      </w:r>
      <w:r w:rsidR="00BB1C57">
        <w:rPr>
          <w:rFonts w:ascii="PT Astra Serif" w:eastAsia="PT Astra Serif" w:hAnsi="PT Astra Serif" w:cs="PT Astra Serif"/>
          <w:b/>
          <w:i/>
          <w:sz w:val="24"/>
          <w:szCs w:val="24"/>
        </w:rPr>
        <w:t>РТС-Тендер</w:t>
      </w:r>
      <w:r>
        <w:rPr>
          <w:rFonts w:ascii="PT Astra Serif" w:eastAsia="PT Astra Serif" w:hAnsi="PT Astra Serif" w:cs="PT Astra Serif"/>
          <w:b/>
          <w:i/>
          <w:sz w:val="24"/>
          <w:szCs w:val="24"/>
        </w:rPr>
        <w:t>»</w:t>
      </w:r>
    </w:p>
    <w:p w:rsidR="008A66B0" w:rsidRDefault="00BB1C57">
      <w:pPr>
        <w:widowControl w:val="0"/>
        <w:pBdr>
          <w:bottom w:val="single" w:sz="12" w:space="0" w:color="000000"/>
        </w:pBdr>
        <w:spacing w:after="0"/>
        <w:ind w:left="5670"/>
        <w:jc w:val="both"/>
        <w:outlineLvl w:val="2"/>
        <w:rPr>
          <w:rFonts w:ascii="PT Astra Serif" w:hAnsi="PT Astra Serif" w:cs="PT Astra Serif"/>
          <w:color w:val="000000"/>
          <w:sz w:val="24"/>
          <w:szCs w:val="24"/>
        </w:rPr>
      </w:pPr>
      <w:r w:rsidRPr="00BB1C57">
        <w:rPr>
          <w:rFonts w:ascii="PT Astra Serif" w:eastAsia="PT Astra Serif" w:hAnsi="PT Astra Serif" w:cs="PT Astra Serif"/>
          <w:b/>
          <w:i/>
          <w:sz w:val="24"/>
          <w:szCs w:val="24"/>
        </w:rPr>
        <w:t>https://www.rts-tender.ru/</w:t>
      </w:r>
    </w:p>
    <w:p w:rsidR="008A66B0" w:rsidRDefault="00D43CF6">
      <w:pPr>
        <w:widowControl w:val="0"/>
        <w:pBdr>
          <w:bottom w:val="single" w:sz="12" w:space="0" w:color="000000"/>
        </w:pBdr>
        <w:spacing w:after="0" w:line="240" w:lineRule="auto"/>
        <w:ind w:left="5670"/>
        <w:jc w:val="both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>Реестровый номер торгов:</w:t>
      </w:r>
      <w:bookmarkEnd w:id="5"/>
      <w:bookmarkEnd w:id="6"/>
    </w:p>
    <w:p w:rsidR="008A66B0" w:rsidRDefault="008A66B0">
      <w:pPr>
        <w:widowControl w:val="0"/>
        <w:pBdr>
          <w:bottom w:val="single" w:sz="12" w:space="0" w:color="000000"/>
        </w:pBdr>
        <w:spacing w:after="0" w:line="240" w:lineRule="auto"/>
        <w:ind w:left="5670"/>
        <w:jc w:val="both"/>
        <w:outlineLvl w:val="2"/>
        <w:rPr>
          <w:rFonts w:ascii="PT Astra Serif" w:hAnsi="PT Astra Serif" w:cs="PT Astra Serif"/>
          <w:color w:val="000000"/>
        </w:rPr>
      </w:pPr>
    </w:p>
    <w:p w:rsidR="008A66B0" w:rsidRDefault="008A66B0">
      <w:pPr>
        <w:widowControl w:val="0"/>
        <w:spacing w:after="0" w:line="240" w:lineRule="auto"/>
        <w:ind w:left="7080" w:firstLine="6660"/>
        <w:jc w:val="both"/>
        <w:outlineLvl w:val="2"/>
        <w:rPr>
          <w:rFonts w:ascii="PT Astra Serif" w:hAnsi="PT Astra Serif" w:cs="PT Astra Serif"/>
          <w:color w:val="000000"/>
        </w:rPr>
      </w:pPr>
    </w:p>
    <w:p w:rsidR="008A66B0" w:rsidRDefault="00D43CF6">
      <w:pPr>
        <w:widowControl w:val="0"/>
        <w:spacing w:after="0" w:line="240" w:lineRule="auto"/>
        <w:jc w:val="center"/>
        <w:outlineLvl w:val="2"/>
        <w:rPr>
          <w:rFonts w:ascii="PT Astra Serif" w:hAnsi="PT Astra Serif" w:cs="PT Astra Serif"/>
          <w:color w:val="000000"/>
        </w:rPr>
      </w:pPr>
      <w:bookmarkStart w:id="7" w:name="_Toc358640975"/>
      <w:bookmarkStart w:id="8" w:name="_Toc358641190"/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>Заявка</w:t>
      </w:r>
      <w:bookmarkEnd w:id="7"/>
      <w:bookmarkEnd w:id="8"/>
    </w:p>
    <w:p w:rsidR="008A66B0" w:rsidRDefault="00D43CF6">
      <w:pPr>
        <w:widowControl w:val="0"/>
        <w:spacing w:after="0" w:line="240" w:lineRule="auto"/>
        <w:jc w:val="both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  <w:bookmarkStart w:id="9" w:name="_Toc358640976"/>
      <w:bookmarkStart w:id="10" w:name="_Toc358641191"/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на участие в открытом аукционе в электронной форме на право заключения договора </w:t>
      </w:r>
      <w:bookmarkEnd w:id="9"/>
      <w:bookmarkEnd w:id="10"/>
      <w:r>
        <w:rPr>
          <w:rFonts w:ascii="PT Astra Serif" w:eastAsia="PT Astra Serif" w:hAnsi="PT Astra Serif" w:cs="PT Astra Serif"/>
          <w:b/>
          <w:bCs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 xml:space="preserve">о предоставлении права на размещение нестационарного торгового объекта: </w:t>
      </w:r>
      <w:bookmarkStart w:id="11" w:name="_GoBack"/>
      <w:r w:rsidR="009504CE" w:rsidRPr="003666DD">
        <w:rPr>
          <w:rFonts w:ascii="PT Astra Serif" w:eastAsia="PT Astra Serif" w:hAnsi="PT Astra Serif" w:cs="PT Astra Serif"/>
          <w:b/>
          <w:bCs/>
          <w:i/>
          <w:color w:val="000000"/>
          <w:sz w:val="24"/>
          <w:szCs w:val="24"/>
        </w:rPr>
        <w:t>________________</w:t>
      </w:r>
      <w:proofErr w:type="gramStart"/>
      <w:r w:rsidR="009504CE" w:rsidRPr="003666DD">
        <w:rPr>
          <w:rFonts w:ascii="PT Astra Serif" w:eastAsia="PT Astra Serif" w:hAnsi="PT Astra Serif" w:cs="PT Astra Serif"/>
          <w:b/>
          <w:bCs/>
          <w:i/>
          <w:color w:val="000000"/>
          <w:sz w:val="24"/>
          <w:szCs w:val="24"/>
        </w:rPr>
        <w:t>_(</w:t>
      </w:r>
      <w:proofErr w:type="gramEnd"/>
      <w:r w:rsidR="009504CE" w:rsidRPr="003666DD">
        <w:rPr>
          <w:rFonts w:ascii="PT Astra Serif" w:eastAsia="PT Astra Serif" w:hAnsi="PT Astra Serif" w:cs="PT Astra Serif"/>
          <w:b/>
          <w:bCs/>
          <w:i/>
          <w:color w:val="FF0000"/>
          <w:sz w:val="24"/>
          <w:szCs w:val="24"/>
        </w:rPr>
        <w:t>сведения заполняются в соответствии с</w:t>
      </w:r>
      <w:r w:rsidR="00073BCC" w:rsidRPr="003666DD">
        <w:rPr>
          <w:rFonts w:ascii="PT Astra Serif" w:eastAsia="PT Astra Serif" w:hAnsi="PT Astra Serif" w:cs="PT Astra Serif"/>
          <w:b/>
          <w:bCs/>
          <w:i/>
          <w:color w:val="FF0000"/>
          <w:sz w:val="24"/>
          <w:szCs w:val="24"/>
        </w:rPr>
        <w:t xml:space="preserve"> заявленным лотом</w:t>
      </w:r>
      <w:bookmarkEnd w:id="11"/>
      <w:r w:rsidR="009504CE">
        <w:rPr>
          <w:rFonts w:ascii="PT Astra Serif" w:eastAsia="PT Astra Serif" w:hAnsi="PT Astra Serif" w:cs="PT Astra Serif"/>
          <w:b/>
          <w:bCs/>
          <w:color w:val="FF0000"/>
          <w:sz w:val="24"/>
          <w:szCs w:val="24"/>
        </w:rPr>
        <w:t>)</w:t>
      </w: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 xml:space="preserve">, расположенного по адресу: </w:t>
      </w:r>
    </w:p>
    <w:p w:rsidR="00485699" w:rsidRDefault="00D43CF6">
      <w:pPr>
        <w:widowControl w:val="0"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_____________________</w:t>
      </w:r>
      <w:r w:rsidR="00485699"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_______</w:t>
      </w: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____</w:t>
      </w:r>
    </w:p>
    <w:p w:rsidR="008A66B0" w:rsidRDefault="00D43CF6">
      <w:pPr>
        <w:widowControl w:val="0"/>
        <w:spacing w:after="0" w:line="240" w:lineRule="auto"/>
        <w:jc w:val="center"/>
        <w:rPr>
          <w:rStyle w:val="ae"/>
          <w:rFonts w:ascii="PT Astra Serif" w:eastAsia="PT Astra Serif" w:hAnsi="PT Astra Serif" w:cs="PT Astra Serif"/>
          <w:b/>
          <w:color w:val="000000"/>
          <w:sz w:val="24"/>
          <w:szCs w:val="28"/>
        </w:rPr>
      </w:pPr>
      <w:r>
        <w:rPr>
          <w:rStyle w:val="ae"/>
          <w:rFonts w:ascii="PT Astra Serif" w:eastAsia="PT Astra Serif" w:hAnsi="PT Astra Serif" w:cs="PT Astra Serif"/>
          <w:b/>
          <w:color w:val="000000"/>
          <w:sz w:val="24"/>
          <w:szCs w:val="28"/>
        </w:rPr>
        <w:t>(</w:t>
      </w:r>
      <w:r>
        <w:rPr>
          <w:rStyle w:val="ae"/>
          <w:rFonts w:ascii="PT Astra Serif" w:eastAsia="PT Astra Serif" w:hAnsi="PT Astra Serif" w:cs="PT Astra Serif"/>
          <w:b/>
          <w:i/>
          <w:color w:val="000000"/>
          <w:sz w:val="24"/>
          <w:szCs w:val="28"/>
          <w:u w:val="single"/>
        </w:rPr>
        <w:t>указать адрес лота</w:t>
      </w:r>
      <w:r>
        <w:rPr>
          <w:rStyle w:val="ae"/>
          <w:rFonts w:ascii="PT Astra Serif" w:eastAsia="PT Astra Serif" w:hAnsi="PT Astra Serif" w:cs="PT Astra Serif"/>
          <w:b/>
          <w:color w:val="000000"/>
          <w:sz w:val="24"/>
          <w:szCs w:val="28"/>
        </w:rPr>
        <w:t>)</w:t>
      </w:r>
    </w:p>
    <w:p w:rsidR="00485699" w:rsidRDefault="00485699">
      <w:pPr>
        <w:widowControl w:val="0"/>
        <w:spacing w:after="0" w:line="240" w:lineRule="auto"/>
        <w:jc w:val="center"/>
        <w:rPr>
          <w:rFonts w:ascii="PT Astra Serif" w:hAnsi="PT Astra Serif" w:cs="PT Astra Serif"/>
          <w:color w:val="000000"/>
        </w:rPr>
      </w:pPr>
    </w:p>
    <w:p w:rsidR="008A66B0" w:rsidRDefault="00485699">
      <w:pPr>
        <w:widowControl w:val="0"/>
        <w:spacing w:after="0" w:line="240" w:lineRule="auto"/>
        <w:jc w:val="center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Лот № ____</w:t>
      </w:r>
    </w:p>
    <w:p w:rsidR="008A66B0" w:rsidRDefault="008A66B0">
      <w:pPr>
        <w:widowControl w:val="0"/>
        <w:spacing w:after="0" w:line="240" w:lineRule="auto"/>
        <w:ind w:firstLine="539"/>
        <w:jc w:val="center"/>
        <w:rPr>
          <w:rFonts w:ascii="PT Astra Serif" w:hAnsi="PT Astra Serif" w:cs="PT Astra Serif"/>
          <w:color w:val="000000"/>
        </w:rPr>
      </w:pPr>
    </w:p>
    <w:p w:rsidR="008A66B0" w:rsidRDefault="00D43CF6">
      <w:pPr>
        <w:pStyle w:val="1"/>
        <w:widowControl w:val="0"/>
        <w:ind w:left="502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eastAsia="PT Astra Serif" w:hAnsi="PT Astra Serif" w:cs="PT Astra Serif"/>
          <w:b/>
          <w:sz w:val="24"/>
          <w:szCs w:val="24"/>
        </w:rPr>
        <w:t>Сведения о заявителе</w:t>
      </w:r>
    </w:p>
    <w:p w:rsidR="008A66B0" w:rsidRDefault="008A66B0">
      <w:pPr>
        <w:widowControl w:val="0"/>
        <w:spacing w:after="240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4897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3"/>
        <w:gridCol w:w="3162"/>
        <w:gridCol w:w="5658"/>
      </w:tblGrid>
      <w:tr w:rsidR="008A66B0">
        <w:trPr>
          <w:trHeight w:val="20"/>
        </w:trPr>
        <w:tc>
          <w:tcPr>
            <w:tcW w:w="5000" w:type="pct"/>
            <w:gridSpan w:val="3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Сведения о заявителе:</w:t>
            </w:r>
          </w:p>
        </w:tc>
      </w:tr>
      <w:tr w:rsidR="008A66B0">
        <w:trPr>
          <w:trHeight w:val="20"/>
        </w:trPr>
        <w:tc>
          <w:tcPr>
            <w:tcW w:w="320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1678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Наименование (Наименование юр. лица/ ФИО индивидуального предпринимателя, 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физического лица) </w:t>
            </w:r>
          </w:p>
        </w:tc>
        <w:tc>
          <w:tcPr>
            <w:tcW w:w="3002" w:type="pc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A66B0">
        <w:trPr>
          <w:trHeight w:val="20"/>
        </w:trPr>
        <w:tc>
          <w:tcPr>
            <w:tcW w:w="320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1678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ИНН, информация о налоговом органе</w:t>
            </w:r>
          </w:p>
        </w:tc>
        <w:tc>
          <w:tcPr>
            <w:tcW w:w="3002" w:type="pc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A66B0">
        <w:trPr>
          <w:trHeight w:val="276"/>
        </w:trPr>
        <w:tc>
          <w:tcPr>
            <w:tcW w:w="320" w:type="pct"/>
            <w:vMerge w:val="restar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678" w:type="pct"/>
            <w:vMerge w:val="restar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паспортные данные (для  индивидуального предпринимателя, 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физического лица</w:t>
            </w:r>
          </w:p>
        </w:tc>
        <w:tc>
          <w:tcPr>
            <w:tcW w:w="3002" w:type="pct"/>
            <w:vMerge w:val="restar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A66B0">
        <w:trPr>
          <w:trHeight w:val="368"/>
        </w:trPr>
        <w:tc>
          <w:tcPr>
            <w:tcW w:w="320" w:type="pct"/>
            <w:vMerge w:val="restar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1678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Место нахождения для юридического лица/место жительства для индивидуального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 xml:space="preserve">предпринимателя, 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физического лица</w:t>
            </w:r>
          </w:p>
        </w:tc>
        <w:tc>
          <w:tcPr>
            <w:tcW w:w="3002" w:type="pc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A66B0">
        <w:trPr>
          <w:trHeight w:val="20"/>
        </w:trPr>
        <w:tc>
          <w:tcPr>
            <w:tcW w:w="320" w:type="pct"/>
            <w:vMerge/>
            <w:vAlign w:val="center"/>
          </w:tcPr>
          <w:p w:rsidR="008A66B0" w:rsidRDefault="008A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Почтовый адрес</w:t>
            </w:r>
          </w:p>
        </w:tc>
        <w:tc>
          <w:tcPr>
            <w:tcW w:w="3002" w:type="pc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A66B0">
        <w:trPr>
          <w:trHeight w:val="20"/>
        </w:trPr>
        <w:tc>
          <w:tcPr>
            <w:tcW w:w="320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1678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Контактный телефон</w:t>
            </w:r>
          </w:p>
        </w:tc>
        <w:tc>
          <w:tcPr>
            <w:tcW w:w="3002" w:type="pc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A66B0">
        <w:trPr>
          <w:trHeight w:val="20"/>
        </w:trPr>
        <w:tc>
          <w:tcPr>
            <w:tcW w:w="320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1678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E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-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002" w:type="pc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A66B0">
        <w:trPr>
          <w:trHeight w:val="955"/>
        </w:trPr>
        <w:tc>
          <w:tcPr>
            <w:tcW w:w="320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1678" w:type="pct"/>
            <w:vAlign w:val="center"/>
          </w:tcPr>
          <w:p w:rsidR="008A66B0" w:rsidRDefault="00D43CF6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Банковские реквизиты для возврата обеспечения заявки и/или заключения договора</w:t>
            </w:r>
          </w:p>
        </w:tc>
        <w:tc>
          <w:tcPr>
            <w:tcW w:w="3002" w:type="pct"/>
            <w:vAlign w:val="center"/>
          </w:tcPr>
          <w:p w:rsidR="008A66B0" w:rsidRDefault="008A66B0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8A66B0" w:rsidRDefault="008A66B0">
      <w:pPr>
        <w:widowControl w:val="0"/>
        <w:tabs>
          <w:tab w:val="left" w:pos="993"/>
        </w:tabs>
        <w:ind w:left="5321"/>
        <w:jc w:val="both"/>
        <w:rPr>
          <w:rFonts w:ascii="PT Astra Serif" w:hAnsi="PT Astra Serif" w:cs="PT Astra Serif"/>
          <w:sz w:val="24"/>
          <w:szCs w:val="24"/>
        </w:rPr>
      </w:pPr>
    </w:p>
    <w:p w:rsidR="008A66B0" w:rsidRDefault="00D43CF6">
      <w:pPr>
        <w:widowControl w:val="0"/>
        <w:spacing w:after="0" w:line="240" w:lineRule="auto"/>
        <w:ind w:firstLine="53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1. Изучив документацию об открытом аукционе </w:t>
      </w:r>
      <w:r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>в электронной форме на право заключения договора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о предоставлении права на размещение нестационарного торгового объекта на территории </w:t>
      </w:r>
      <w:r w:rsidR="00BB1C57">
        <w:rPr>
          <w:rFonts w:ascii="PT Astra Serif" w:eastAsia="PT Astra Serif" w:hAnsi="PT Astra Serif" w:cs="PT Astra Serif"/>
          <w:color w:val="000000"/>
          <w:sz w:val="24"/>
          <w:szCs w:val="24"/>
        </w:rPr>
        <w:t>Кропоткинского городского поселения Кавказского района</w:t>
      </w:r>
      <w:r w:rsidR="00073BCC"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(далее – аукцион) 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в том числе проект договора о предоставлении права на размещение нестационарного торгового объекта на территории </w:t>
      </w:r>
      <w:r w:rsidR="00BB1C57">
        <w:rPr>
          <w:rFonts w:ascii="PT Astra Serif" w:eastAsia="PT Astra Serif" w:hAnsi="PT Astra Serif" w:cs="PT Astra Serif"/>
          <w:color w:val="000000"/>
          <w:sz w:val="24"/>
          <w:szCs w:val="24"/>
        </w:rPr>
        <w:t>Кропоткинского городского поселения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, Заявитель сообщает о согласии участвовать в аукционе на условиях, установленных в указанной документации об аукционе.</w:t>
      </w:r>
    </w:p>
    <w:p w:rsidR="008A66B0" w:rsidRDefault="00D43CF6">
      <w:pPr>
        <w:widowControl w:val="0"/>
        <w:spacing w:after="0" w:line="240" w:lineRule="auto"/>
        <w:ind w:firstLine="539"/>
        <w:jc w:val="both"/>
        <w:outlineLvl w:val="2"/>
        <w:rPr>
          <w:rFonts w:ascii="PT Astra Serif" w:hAnsi="PT Astra Serif" w:cs="PT Astra Serif"/>
          <w:color w:val="000000"/>
        </w:rPr>
      </w:pPr>
      <w:bookmarkStart w:id="12" w:name="_Toc358640977"/>
      <w:bookmarkStart w:id="13" w:name="_Toc358641192"/>
      <w:bookmarkStart w:id="14" w:name="_Toc358640982"/>
      <w:bookmarkStart w:id="15" w:name="_Toc358641197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2. </w:t>
      </w:r>
      <w:bookmarkStart w:id="16" w:name="_Toc358640979"/>
      <w:bookmarkStart w:id="17" w:name="_Toc358641194"/>
      <w:bookmarkEnd w:id="12"/>
      <w:bookmarkEnd w:id="13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Заявитель уведомлен, что в случае несоответствия заявки на участие в аукционе требованиям документации об аукционе, Заявителю может быть отказано в приеме заявки на участие в аукционе.</w:t>
      </w:r>
      <w:bookmarkEnd w:id="16"/>
      <w:bookmarkEnd w:id="17"/>
    </w:p>
    <w:p w:rsidR="008A66B0" w:rsidRDefault="00D43CF6">
      <w:pPr>
        <w:widowControl w:val="0"/>
        <w:spacing w:after="0" w:line="240" w:lineRule="auto"/>
        <w:ind w:firstLine="540"/>
        <w:jc w:val="both"/>
        <w:outlineLvl w:val="1"/>
        <w:rPr>
          <w:rFonts w:ascii="PT Astra Serif" w:hAnsi="PT Astra Serif" w:cs="PT Astra Serif"/>
          <w:color w:val="000000"/>
        </w:rPr>
      </w:pPr>
      <w:bookmarkStart w:id="18" w:name="_Toc358640980"/>
      <w:bookmarkStart w:id="19" w:name="_Toc358641195"/>
      <w:r>
        <w:rPr>
          <w:rFonts w:ascii="PT Astra Serif" w:eastAsia="PT Astra Serif" w:hAnsi="PT Astra Serif" w:cs="PT Astra Serif"/>
          <w:iCs/>
          <w:color w:val="000000"/>
          <w:sz w:val="24"/>
          <w:szCs w:val="24"/>
        </w:rPr>
        <w:t>3. 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Заявитель</w:t>
      </w:r>
      <w:r>
        <w:rPr>
          <w:rFonts w:ascii="PT Astra Serif" w:eastAsia="PT Astra Serif" w:hAnsi="PT Astra Serif" w:cs="PT Astra Serif"/>
          <w:iCs/>
          <w:color w:val="000000"/>
          <w:sz w:val="24"/>
          <w:szCs w:val="24"/>
        </w:rPr>
        <w:t xml:space="preserve"> уведомлен, что направление настоящей заявки на участие в аукционе является согласием на блокирование денежных средств, находящихся на счете Заявителя, открытом для проведения операций по обеспечению участия в открытом аукционе</w:t>
      </w:r>
      <w:bookmarkEnd w:id="18"/>
      <w:bookmarkEnd w:id="19"/>
      <w:r>
        <w:rPr>
          <w:rFonts w:ascii="PT Astra Serif" w:eastAsia="PT Astra Serif" w:hAnsi="PT Astra Serif" w:cs="PT Astra Serif"/>
          <w:iCs/>
          <w:color w:val="000000"/>
          <w:sz w:val="24"/>
          <w:szCs w:val="24"/>
        </w:rPr>
        <w:t>.</w:t>
      </w:r>
    </w:p>
    <w:p w:rsidR="008A66B0" w:rsidRDefault="00D43CF6">
      <w:pPr>
        <w:widowControl w:val="0"/>
        <w:spacing w:after="0" w:line="240" w:lineRule="auto"/>
        <w:ind w:firstLine="540"/>
        <w:jc w:val="both"/>
        <w:outlineLvl w:val="2"/>
        <w:rPr>
          <w:rFonts w:ascii="PT Astra Serif" w:hAnsi="PT Astra Serif" w:cs="PT Astra Serif"/>
          <w:color w:val="000000"/>
        </w:rPr>
      </w:pPr>
      <w:bookmarkStart w:id="20" w:name="_Toc358640981"/>
      <w:bookmarkStart w:id="21" w:name="_Toc358641196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4. Заявитель несет ответственность за представление недостоверной, неполной и/или ложной информации в соответствии с документацией об открытом аукционе и действующим законодательством Российской Федерации.</w:t>
      </w:r>
      <w:bookmarkEnd w:id="20"/>
      <w:bookmarkEnd w:id="21"/>
    </w:p>
    <w:p w:rsidR="008A66B0" w:rsidRDefault="00D43CF6">
      <w:pPr>
        <w:widowControl w:val="0"/>
        <w:spacing w:after="0" w:line="240" w:lineRule="auto"/>
        <w:ind w:firstLine="540"/>
        <w:jc w:val="both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5. Настоящим Заявитель подтверждает, что:</w:t>
      </w:r>
      <w:bookmarkEnd w:id="14"/>
      <w:bookmarkEnd w:id="15"/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</w:t>
      </w:r>
    </w:p>
    <w:p w:rsidR="008A66B0" w:rsidRDefault="00D43CF6">
      <w:pPr>
        <w:widowControl w:val="0"/>
        <w:spacing w:after="0" w:line="240" w:lineRule="auto"/>
        <w:ind w:firstLine="540"/>
        <w:jc w:val="both"/>
        <w:outlineLvl w:val="2"/>
        <w:rPr>
          <w:rFonts w:ascii="PT Astra Serif" w:hAnsi="PT Astra Serif" w:cs="PT Astra Serif"/>
          <w:color w:val="000000"/>
        </w:rPr>
      </w:pPr>
      <w:bookmarkStart w:id="22" w:name="_Toc358640983"/>
      <w:bookmarkStart w:id="23" w:name="_Toc358641198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 </w:t>
      </w:r>
      <w:bookmarkStart w:id="24" w:name="_Toc358640984"/>
      <w:bookmarkStart w:id="25" w:name="_Toc358641199"/>
      <w:bookmarkEnd w:id="22"/>
      <w:bookmarkEnd w:id="23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- с условиями и сроками заключения договора на размещение нес</w:t>
      </w:r>
      <w:r w:rsidR="00073BCC">
        <w:rPr>
          <w:rFonts w:ascii="PT Astra Serif" w:eastAsia="PT Astra Serif" w:hAnsi="PT Astra Serif" w:cs="PT Astra Serif"/>
          <w:color w:val="000000"/>
          <w:sz w:val="24"/>
          <w:szCs w:val="24"/>
        </w:rPr>
        <w:t>тационарного торгового объекта</w:t>
      </w:r>
      <w:r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ознакомлен и согласен;</w:t>
      </w:r>
    </w:p>
    <w:p w:rsidR="008A66B0" w:rsidRDefault="00D43CF6">
      <w:pPr>
        <w:widowControl w:val="0"/>
        <w:spacing w:after="0" w:line="240" w:lineRule="auto"/>
        <w:ind w:firstLine="540"/>
        <w:jc w:val="both"/>
        <w:outlineLvl w:val="1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- с условиями и сроками перечисления денежных средств по итогам аукциона ознакомлен и согласен;</w:t>
      </w:r>
    </w:p>
    <w:p w:rsidR="008A66B0" w:rsidRDefault="00D43CF6">
      <w:pPr>
        <w:widowControl w:val="0"/>
        <w:spacing w:after="0" w:line="240" w:lineRule="auto"/>
        <w:ind w:firstLine="540"/>
        <w:jc w:val="both"/>
        <w:outlineLvl w:val="1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- с условиями и сроками размещения нестационарного торгового объекта ознакомлен и согласен;</w:t>
      </w:r>
    </w:p>
    <w:p w:rsidR="008A66B0" w:rsidRDefault="00D43CF6">
      <w:pPr>
        <w:widowControl w:val="0"/>
        <w:spacing w:after="0" w:line="240" w:lineRule="auto"/>
        <w:ind w:firstLine="540"/>
        <w:jc w:val="both"/>
        <w:outlineLvl w:val="1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- является субъектом малого или среднего предпринимательства (в случае проведения аукциона среди субъектов малого или среднего предпринимательства).</w:t>
      </w:r>
      <w:bookmarkEnd w:id="24"/>
      <w:bookmarkEnd w:id="25"/>
    </w:p>
    <w:p w:rsidR="008A66B0" w:rsidRDefault="00D43CF6">
      <w:pPr>
        <w:widowControl w:val="0"/>
        <w:spacing w:after="0" w:line="240" w:lineRule="auto"/>
        <w:ind w:firstLine="540"/>
        <w:jc w:val="both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6. Заявитель обязуется:</w:t>
      </w:r>
    </w:p>
    <w:p w:rsidR="008A66B0" w:rsidRDefault="00D43CF6">
      <w:pPr>
        <w:widowControl w:val="0"/>
        <w:spacing w:after="0" w:line="240" w:lineRule="auto"/>
        <w:ind w:firstLine="709"/>
        <w:jc w:val="both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- в случае признания Заявителя победителем открытого аукциона перечислить денежные средства по итогам аукциона в сроки, установленные документацией об аукционе;</w:t>
      </w:r>
    </w:p>
    <w:p w:rsidR="008A66B0" w:rsidRDefault="00D43CF6">
      <w:pPr>
        <w:widowControl w:val="0"/>
        <w:spacing w:after="0" w:line="240" w:lineRule="auto"/>
        <w:ind w:firstLine="709"/>
        <w:jc w:val="both"/>
        <w:outlineLvl w:val="2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- в случае признания Заявителя победителем заключить Договор на размещение не</w:t>
      </w:r>
      <w:r w:rsidR="00073BCC">
        <w:rPr>
          <w:rFonts w:ascii="PT Astra Serif" w:eastAsia="PT Astra Serif" w:hAnsi="PT Astra Serif" w:cs="PT Astra Serif"/>
          <w:color w:val="000000"/>
          <w:sz w:val="24"/>
          <w:szCs w:val="24"/>
        </w:rPr>
        <w:t>стационарного торгового объекта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, на условиях и в сроки, установленные документацией об аукционе;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- в случае признания победителя аукциона уклонившимся от заключения договора Заявитель, признанный участником аукциона, который сделал предпоследнее предложение о цене аукциона, перечислить денежные средства по итогам аукциона в сроки, установленные документацией об открытом аукционе;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- в случае признания победителя аукциона уклонившимся от заключения договора Заявитель, признанный участником аукциона, который сделал предпоследнее предложение о цене аукциона, заключить договор на размещение нестационарного торгового объекта</w:t>
      </w:r>
      <w:r w:rsidR="00073BCC"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на условиях и в сроки, установленные документацией об аукционе.</w:t>
      </w:r>
    </w:p>
    <w:p w:rsidR="00073BCC" w:rsidRDefault="00073BCC">
      <w:pPr>
        <w:widowControl w:val="0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</w:p>
    <w:p w:rsidR="00073BCC" w:rsidRDefault="00073BCC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</w:rPr>
      </w:pP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highlight w:val="magenta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lastRenderedPageBreak/>
        <w:t>7. Заявитель согласен с тем, что: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7.1. В случае признания Заявителя победителем аукциона и (или) участником аукциона, сделавшим предпоследнее предложение о цене аукциона, и не перечисления такими Заявителями денежных средств по итогам аукциона в сроки, установленные документацией об аукционе, и не заключения такими Заявителями договора на размещение нес</w:t>
      </w:r>
      <w:r w:rsidR="00073BCC">
        <w:rPr>
          <w:rFonts w:ascii="PT Astra Serif" w:eastAsia="PT Astra Serif" w:hAnsi="PT Astra Serif" w:cs="PT Astra Serif"/>
          <w:color w:val="000000"/>
          <w:sz w:val="24"/>
          <w:szCs w:val="24"/>
        </w:rPr>
        <w:t>тационарного торгового объекта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, на условиях и в сроки установленные документацией об аукционе, победитель аукциона и (или) участник аукциона, сделавший предпоследнее предложение о цене аукциона, признаются уклонившимися от заключения договора, и денежные средства, внесенные ими в качестве задатка, не возвращаются и подлежат перечислению на счет администрации </w:t>
      </w:r>
      <w:r w:rsidR="00C15990">
        <w:rPr>
          <w:rFonts w:ascii="PT Astra Serif" w:eastAsia="PT Astra Serif" w:hAnsi="PT Astra Serif" w:cs="PT Astra Serif"/>
          <w:color w:val="000000"/>
          <w:sz w:val="24"/>
          <w:szCs w:val="24"/>
        </w:rPr>
        <w:t>Кропоткинского городского поселения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.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7.2.</w:t>
      </w: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t> 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В случае если ни от одного из участников аукциона не поступило предложение о повышении начальной цены аукциона, победителем аукциона признается участник аукциона, чья заявка на участие в аукционе поступила первой. При этом в случае отказа или уклонения такого Заявителя от заключения договора на размещение нестационарного торгового объекта</w:t>
      </w:r>
      <w:r w:rsidR="00073BCC"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на условиях и в сроки, установленные документацией об аукционе, и не перечислении таким Заявителем денежных средств по </w:t>
      </w:r>
      <w:r w:rsidR="00073BCC">
        <w:rPr>
          <w:rFonts w:ascii="PT Astra Serif" w:eastAsia="PT Astra Serif" w:hAnsi="PT Astra Serif" w:cs="PT Astra Serif"/>
          <w:color w:val="000000"/>
          <w:sz w:val="24"/>
          <w:szCs w:val="24"/>
        </w:rPr>
        <w:t>итогам аукциона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в сроки, установленные документацией об аукционе, денежные средства, внесенные таким Заявителем в качестве задатка, не возвращаются и подлежат перечислению на счет администрации </w:t>
      </w:r>
      <w:r w:rsidR="00BB1C57">
        <w:rPr>
          <w:rFonts w:ascii="PT Astra Serif" w:eastAsia="PT Astra Serif" w:hAnsi="PT Astra Serif" w:cs="PT Astra Serif"/>
          <w:color w:val="000000"/>
          <w:sz w:val="24"/>
          <w:szCs w:val="24"/>
        </w:rPr>
        <w:t>Кропоткинского городского поселения Кавказского района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.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7.3. В случае если аукцион признан несостоявшимся по причине участия в аукционе менее двух участников Заявитель и организатор проведения аукциона обязаны заключить договор на размещение нестационарного торгового объекта</w:t>
      </w:r>
      <w:r w:rsidR="00073BCC"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по начальной цене аукциона в порядке, установленном документацией об аукционе. При этом в случае отказа или уклонения такого Заявителя от заключения договора на размещение </w:t>
      </w:r>
      <w:r w:rsidR="00073BCC">
        <w:rPr>
          <w:rFonts w:ascii="PT Astra Serif" w:eastAsia="PT Astra Serif" w:hAnsi="PT Astra Serif" w:cs="PT Astra Serif"/>
          <w:bCs/>
          <w:color w:val="000000"/>
          <w:sz w:val="24"/>
          <w:szCs w:val="24"/>
        </w:rPr>
        <w:t xml:space="preserve">нестационарного торгового объекта 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на условиях и в сроки, установленные документацией об аукционе, и не перечислении таким Заявителем денежных средств по итогам аукциона в сроки, установленные документацией об аукционе, денежные средства, внесенные таким Заявителем в качестве задатка, не возвращаются и подлежат перечислению на счет администрации </w:t>
      </w:r>
      <w:r w:rsidR="00C15990" w:rsidRPr="00C15990">
        <w:rPr>
          <w:rFonts w:ascii="PT Astra Serif" w:eastAsia="PT Astra Serif" w:hAnsi="PT Astra Serif" w:cs="PT Astra Serif"/>
          <w:color w:val="000000"/>
          <w:sz w:val="24"/>
          <w:szCs w:val="24"/>
        </w:rPr>
        <w:t>Кропоткинского городского поселения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.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8. Заявитель согласен на обработку своих персональных данных и персональных данных доверителя (в случае передоверия). Заявитель подтверждает, что ознакомлен с положениями Федерального закона от 27 июля 2006 г. № 152-ФЗ «О персональных данных», права и обязанности в области защиты персональных данных ему разъяснены.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Даю согласие на использование моих персональных данных в соответствии с нормами и требованиями Федерального закона от 27 июля 2006 г. № 152-ФЗ «О персональных данных».</w:t>
      </w: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8A66B0" w:rsidRDefault="008A66B0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7662EA" w:rsidRDefault="007662EA">
      <w:pPr>
        <w:widowControl w:val="0"/>
        <w:tabs>
          <w:tab w:val="left" w:pos="993"/>
        </w:tabs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8A66B0" w:rsidRDefault="00D43CF6" w:rsidP="00C541BF">
      <w:pPr>
        <w:widowControl w:val="0"/>
        <w:spacing w:after="0" w:line="240" w:lineRule="auto"/>
        <w:ind w:left="3545"/>
        <w:rPr>
          <w:rFonts w:ascii="PT Astra Serif" w:hAnsi="PT Astra Serif" w:cs="PT Astra Serif"/>
          <w:b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b/>
          <w:color w:val="000000"/>
          <w:sz w:val="24"/>
          <w:szCs w:val="24"/>
        </w:rPr>
        <w:lastRenderedPageBreak/>
        <w:t>Заявление</w:t>
      </w:r>
    </w:p>
    <w:p w:rsidR="008A66B0" w:rsidRDefault="008A66B0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8A66B0" w:rsidRDefault="008A66B0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_________________________</w:t>
      </w:r>
      <w:r w:rsidR="00485699">
        <w:rPr>
          <w:rFonts w:ascii="PT Astra Serif" w:eastAsia="PT Astra Serif" w:hAnsi="PT Astra Serif" w:cs="PT Astra Serif"/>
          <w:color w:val="000000"/>
          <w:sz w:val="24"/>
          <w:szCs w:val="24"/>
        </w:rPr>
        <w:t>________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_________________________________________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наименование заявителя с указанием организационно-правовой формы (для юридического лица), фамилия, имя, отчество, (для индивидуального предпринимателя, </w:t>
      </w:r>
      <w:proofErr w:type="spellStart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самозанятого</w:t>
      </w:r>
      <w:proofErr w:type="spellEnd"/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физического лица),</w:t>
      </w:r>
    </w:p>
    <w:p w:rsidR="008A66B0" w:rsidRDefault="008A66B0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в лице, _____________________</w:t>
      </w:r>
      <w:r w:rsidR="00485699">
        <w:rPr>
          <w:rFonts w:ascii="PT Astra Serif" w:eastAsia="PT Astra Serif" w:hAnsi="PT Astra Serif" w:cs="PT Astra Serif"/>
          <w:color w:val="000000"/>
          <w:sz w:val="24"/>
          <w:szCs w:val="24"/>
        </w:rPr>
        <w:t>__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_____________________________________________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i/>
          <w:iCs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i/>
          <w:iCs/>
          <w:color w:val="000000"/>
          <w:sz w:val="24"/>
          <w:szCs w:val="24"/>
        </w:rPr>
        <w:t>(наименование должности, Ф.И.О. руководителя, уполномоченного лица (для юридического лица)</w:t>
      </w:r>
    </w:p>
    <w:p w:rsidR="008A66B0" w:rsidRDefault="008A66B0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сообщает, 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_________________________________________________________________: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i/>
          <w:iCs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i/>
          <w:iCs/>
          <w:color w:val="000000"/>
          <w:sz w:val="24"/>
          <w:szCs w:val="24"/>
        </w:rPr>
        <w:t xml:space="preserve">наименование заявителя с указанием организационно-правовой формы (для юридического лица), фамилия, имя, отчество, (для индивидуального предпринимателя, </w:t>
      </w:r>
      <w:proofErr w:type="spellStart"/>
      <w:r>
        <w:rPr>
          <w:rFonts w:ascii="PT Astra Serif" w:eastAsia="PT Astra Serif" w:hAnsi="PT Astra Serif" w:cs="PT Astra Serif"/>
          <w:i/>
          <w:iCs/>
          <w:color w:val="000000"/>
          <w:sz w:val="24"/>
          <w:szCs w:val="24"/>
        </w:rPr>
        <w:t>самозанятого</w:t>
      </w:r>
      <w:proofErr w:type="spellEnd"/>
      <w:r>
        <w:rPr>
          <w:rFonts w:ascii="PT Astra Serif" w:eastAsia="PT Astra Serif" w:hAnsi="PT Astra Serif" w:cs="PT Astra Serif"/>
          <w:i/>
          <w:iCs/>
          <w:color w:val="000000"/>
          <w:sz w:val="24"/>
          <w:szCs w:val="24"/>
        </w:rPr>
        <w:t xml:space="preserve"> физического лица)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экономическая деятельность указанного лица не приостановлена в порядке, предусмотренном Кодексом Российской Федерации об административных правонарушениях;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не находится в процессе ликвидации (в отношении юридического лица) или в случае отсутствия решения арбитражного суда о признании юридического лица (индивидуального предпринимателя, </w:t>
      </w:r>
      <w:proofErr w:type="spellStart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самозанятого</w:t>
      </w:r>
      <w:proofErr w:type="spellEnd"/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физического лица) банкротом и об открытии конкурсного производства;</w:t>
      </w:r>
    </w:p>
    <w:p w:rsidR="008A66B0" w:rsidRDefault="00D43CF6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не имеет в течение 12 месяцев, предшествующих месяцу, в котором размещено извещение о проведении аукциона, нарушений обязательств по заключённым ранее договорам, подтверждённых документально (уведомления, акты, решения судов об уклонении от заключения договоров, о неисполнении (ненадлежащем исполнении) обязательств по договорам, постановления о привлечении к административной ответственности при осуществлении торговой деятельности). </w:t>
      </w:r>
    </w:p>
    <w:p w:rsidR="008A66B0" w:rsidRDefault="008A66B0">
      <w:pPr>
        <w:widowControl w:val="0"/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sectPr w:rsidR="008A66B0">
      <w:headerReference w:type="even" r:id="rId9"/>
      <w:headerReference w:type="default" r:id="rId10"/>
      <w:footerReference w:type="default" r:id="rId11"/>
      <w:pgSz w:w="11906" w:h="16838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AF7" w:rsidRDefault="00AC2AF7">
      <w:pPr>
        <w:spacing w:after="0" w:line="240" w:lineRule="auto"/>
      </w:pPr>
      <w:r>
        <w:separator/>
      </w:r>
    </w:p>
  </w:endnote>
  <w:endnote w:type="continuationSeparator" w:id="0">
    <w:p w:rsidR="00AC2AF7" w:rsidRDefault="00AC2AF7">
      <w:pPr>
        <w:spacing w:after="0" w:line="240" w:lineRule="auto"/>
      </w:pPr>
      <w:r>
        <w:continuationSeparator/>
      </w:r>
    </w:p>
  </w:endnote>
  <w:endnote w:type="continuationNotice" w:id="1">
    <w:p w:rsidR="00AC2AF7" w:rsidRDefault="00AC2A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6B0" w:rsidRDefault="008A66B0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AF7" w:rsidRDefault="00AC2AF7">
      <w:pPr>
        <w:spacing w:after="0" w:line="240" w:lineRule="auto"/>
      </w:pPr>
      <w:r>
        <w:separator/>
      </w:r>
    </w:p>
  </w:footnote>
  <w:footnote w:type="continuationSeparator" w:id="0">
    <w:p w:rsidR="00AC2AF7" w:rsidRDefault="00AC2AF7">
      <w:pPr>
        <w:spacing w:after="0" w:line="240" w:lineRule="auto"/>
      </w:pPr>
      <w:r>
        <w:continuationSeparator/>
      </w:r>
    </w:p>
  </w:footnote>
  <w:footnote w:type="continuationNotice" w:id="1">
    <w:p w:rsidR="00AC2AF7" w:rsidRDefault="00AC2A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6B0" w:rsidRDefault="00D43CF6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A66B0" w:rsidRDefault="008A66B0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6B0" w:rsidRDefault="00D43CF6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666DD">
      <w:rPr>
        <w:rStyle w:val="af4"/>
        <w:noProof/>
      </w:rPr>
      <w:t>4</w:t>
    </w:r>
    <w:r>
      <w:rPr>
        <w:rStyle w:val="af4"/>
      </w:rPr>
      <w:fldChar w:fldCharType="end"/>
    </w:r>
  </w:p>
  <w:p w:rsidR="008A66B0" w:rsidRDefault="008A66B0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631"/>
    <w:multiLevelType w:val="hybridMultilevel"/>
    <w:tmpl w:val="3B62700E"/>
    <w:lvl w:ilvl="0" w:tplc="45F08F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EFCF384">
      <w:start w:val="1"/>
      <w:numFmt w:val="lowerLetter"/>
      <w:lvlText w:val="%2."/>
      <w:lvlJc w:val="left"/>
      <w:pPr>
        <w:ind w:left="1222" w:hanging="360"/>
      </w:pPr>
    </w:lvl>
    <w:lvl w:ilvl="2" w:tplc="9948E880">
      <w:start w:val="1"/>
      <w:numFmt w:val="lowerRoman"/>
      <w:lvlText w:val="%3."/>
      <w:lvlJc w:val="right"/>
      <w:pPr>
        <w:ind w:left="1942" w:hanging="180"/>
      </w:pPr>
    </w:lvl>
    <w:lvl w:ilvl="3" w:tplc="2BEE9426">
      <w:start w:val="1"/>
      <w:numFmt w:val="decimal"/>
      <w:lvlText w:val="%4."/>
      <w:lvlJc w:val="left"/>
      <w:pPr>
        <w:ind w:left="2662" w:hanging="360"/>
      </w:pPr>
    </w:lvl>
    <w:lvl w:ilvl="4" w:tplc="1F4284FC">
      <w:start w:val="1"/>
      <w:numFmt w:val="lowerLetter"/>
      <w:lvlText w:val="%5."/>
      <w:lvlJc w:val="left"/>
      <w:pPr>
        <w:ind w:left="3382" w:hanging="360"/>
      </w:pPr>
    </w:lvl>
    <w:lvl w:ilvl="5" w:tplc="62329002">
      <w:start w:val="1"/>
      <w:numFmt w:val="lowerRoman"/>
      <w:lvlText w:val="%6."/>
      <w:lvlJc w:val="right"/>
      <w:pPr>
        <w:ind w:left="4102" w:hanging="180"/>
      </w:pPr>
    </w:lvl>
    <w:lvl w:ilvl="6" w:tplc="01B00AAE">
      <w:start w:val="1"/>
      <w:numFmt w:val="decimal"/>
      <w:lvlText w:val="%7."/>
      <w:lvlJc w:val="left"/>
      <w:pPr>
        <w:ind w:left="4822" w:hanging="360"/>
      </w:pPr>
    </w:lvl>
    <w:lvl w:ilvl="7" w:tplc="F996801C">
      <w:start w:val="1"/>
      <w:numFmt w:val="lowerLetter"/>
      <w:lvlText w:val="%8."/>
      <w:lvlJc w:val="left"/>
      <w:pPr>
        <w:ind w:left="5542" w:hanging="360"/>
      </w:pPr>
    </w:lvl>
    <w:lvl w:ilvl="8" w:tplc="168A216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68E6D35"/>
    <w:multiLevelType w:val="hybridMultilevel"/>
    <w:tmpl w:val="BD088D72"/>
    <w:lvl w:ilvl="0" w:tplc="D3DA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20A8964">
      <w:start w:val="1"/>
      <w:numFmt w:val="lowerLetter"/>
      <w:lvlText w:val="%2."/>
      <w:lvlJc w:val="left"/>
      <w:pPr>
        <w:ind w:left="1440" w:hanging="360"/>
      </w:pPr>
    </w:lvl>
    <w:lvl w:ilvl="2" w:tplc="4E22D58E">
      <w:start w:val="1"/>
      <w:numFmt w:val="lowerRoman"/>
      <w:lvlText w:val="%3."/>
      <w:lvlJc w:val="right"/>
      <w:pPr>
        <w:ind w:left="2160" w:hanging="180"/>
      </w:pPr>
    </w:lvl>
    <w:lvl w:ilvl="3" w:tplc="549C80C4">
      <w:start w:val="1"/>
      <w:numFmt w:val="decimal"/>
      <w:lvlText w:val="%4."/>
      <w:lvlJc w:val="left"/>
      <w:pPr>
        <w:ind w:left="2880" w:hanging="360"/>
      </w:pPr>
    </w:lvl>
    <w:lvl w:ilvl="4" w:tplc="63900CDE">
      <w:start w:val="1"/>
      <w:numFmt w:val="lowerLetter"/>
      <w:lvlText w:val="%5."/>
      <w:lvlJc w:val="left"/>
      <w:pPr>
        <w:ind w:left="3600" w:hanging="360"/>
      </w:pPr>
    </w:lvl>
    <w:lvl w:ilvl="5" w:tplc="E9921E14">
      <w:start w:val="1"/>
      <w:numFmt w:val="lowerRoman"/>
      <w:lvlText w:val="%6."/>
      <w:lvlJc w:val="right"/>
      <w:pPr>
        <w:ind w:left="4320" w:hanging="180"/>
      </w:pPr>
    </w:lvl>
    <w:lvl w:ilvl="6" w:tplc="5D7E0AF0">
      <w:start w:val="1"/>
      <w:numFmt w:val="decimal"/>
      <w:lvlText w:val="%7."/>
      <w:lvlJc w:val="left"/>
      <w:pPr>
        <w:ind w:left="5040" w:hanging="360"/>
      </w:pPr>
    </w:lvl>
    <w:lvl w:ilvl="7" w:tplc="0FE66F56">
      <w:start w:val="1"/>
      <w:numFmt w:val="lowerLetter"/>
      <w:lvlText w:val="%8."/>
      <w:lvlJc w:val="left"/>
      <w:pPr>
        <w:ind w:left="5760" w:hanging="360"/>
      </w:pPr>
    </w:lvl>
    <w:lvl w:ilvl="8" w:tplc="9B42D7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D1C78"/>
    <w:multiLevelType w:val="hybridMultilevel"/>
    <w:tmpl w:val="C89A6B88"/>
    <w:lvl w:ilvl="0" w:tplc="D2E418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C74B0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C0D8F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15EC65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0E8F1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20A56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E223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442B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C0239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411C2B"/>
    <w:multiLevelType w:val="hybridMultilevel"/>
    <w:tmpl w:val="B2CE1722"/>
    <w:lvl w:ilvl="0" w:tplc="B41E8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E0523E">
      <w:start w:val="1"/>
      <w:numFmt w:val="lowerLetter"/>
      <w:lvlText w:val="%2."/>
      <w:lvlJc w:val="left"/>
      <w:pPr>
        <w:ind w:left="1440" w:hanging="360"/>
      </w:pPr>
    </w:lvl>
    <w:lvl w:ilvl="2" w:tplc="966A00B0">
      <w:start w:val="1"/>
      <w:numFmt w:val="lowerRoman"/>
      <w:lvlText w:val="%3."/>
      <w:lvlJc w:val="right"/>
      <w:pPr>
        <w:ind w:left="2160" w:hanging="180"/>
      </w:pPr>
    </w:lvl>
    <w:lvl w:ilvl="3" w:tplc="A6FEC78A">
      <w:start w:val="1"/>
      <w:numFmt w:val="decimal"/>
      <w:lvlText w:val="%4."/>
      <w:lvlJc w:val="left"/>
      <w:pPr>
        <w:ind w:left="2880" w:hanging="360"/>
      </w:pPr>
    </w:lvl>
    <w:lvl w:ilvl="4" w:tplc="AFE2F282">
      <w:start w:val="1"/>
      <w:numFmt w:val="lowerLetter"/>
      <w:lvlText w:val="%5."/>
      <w:lvlJc w:val="left"/>
      <w:pPr>
        <w:ind w:left="3600" w:hanging="360"/>
      </w:pPr>
    </w:lvl>
    <w:lvl w:ilvl="5" w:tplc="01465976">
      <w:start w:val="1"/>
      <w:numFmt w:val="lowerRoman"/>
      <w:lvlText w:val="%6."/>
      <w:lvlJc w:val="right"/>
      <w:pPr>
        <w:ind w:left="4320" w:hanging="180"/>
      </w:pPr>
    </w:lvl>
    <w:lvl w:ilvl="6" w:tplc="66D8C418">
      <w:start w:val="1"/>
      <w:numFmt w:val="decimal"/>
      <w:lvlText w:val="%7."/>
      <w:lvlJc w:val="left"/>
      <w:pPr>
        <w:ind w:left="5040" w:hanging="360"/>
      </w:pPr>
    </w:lvl>
    <w:lvl w:ilvl="7" w:tplc="6F1ABAC4">
      <w:start w:val="1"/>
      <w:numFmt w:val="lowerLetter"/>
      <w:lvlText w:val="%8."/>
      <w:lvlJc w:val="left"/>
      <w:pPr>
        <w:ind w:left="5760" w:hanging="360"/>
      </w:pPr>
    </w:lvl>
    <w:lvl w:ilvl="8" w:tplc="772080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E765C"/>
    <w:multiLevelType w:val="multilevel"/>
    <w:tmpl w:val="6A969E1C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abstractNum w:abstractNumId="5" w15:restartNumberingAfterBreak="0">
    <w:nsid w:val="71855DF6"/>
    <w:multiLevelType w:val="multilevel"/>
    <w:tmpl w:val="20DCF30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6" w15:restartNumberingAfterBreak="0">
    <w:nsid w:val="7C506819"/>
    <w:multiLevelType w:val="multilevel"/>
    <w:tmpl w:val="127EED3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7" w15:restartNumberingAfterBreak="0">
    <w:nsid w:val="7EC055D8"/>
    <w:multiLevelType w:val="hybridMultilevel"/>
    <w:tmpl w:val="2AEE2FEE"/>
    <w:lvl w:ilvl="0" w:tplc="1D34B9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F0A6014">
      <w:start w:val="1"/>
      <w:numFmt w:val="lowerLetter"/>
      <w:lvlText w:val="%2."/>
      <w:lvlJc w:val="left"/>
      <w:pPr>
        <w:ind w:left="1440" w:hanging="360"/>
      </w:pPr>
    </w:lvl>
    <w:lvl w:ilvl="2" w:tplc="46F6DB52">
      <w:start w:val="1"/>
      <w:numFmt w:val="lowerRoman"/>
      <w:lvlText w:val="%3."/>
      <w:lvlJc w:val="right"/>
      <w:pPr>
        <w:ind w:left="2160" w:hanging="180"/>
      </w:pPr>
    </w:lvl>
    <w:lvl w:ilvl="3" w:tplc="93165008">
      <w:start w:val="1"/>
      <w:numFmt w:val="decimal"/>
      <w:lvlText w:val="%4."/>
      <w:lvlJc w:val="left"/>
      <w:pPr>
        <w:ind w:left="2880" w:hanging="360"/>
      </w:pPr>
    </w:lvl>
    <w:lvl w:ilvl="4" w:tplc="D76ABBC2">
      <w:start w:val="1"/>
      <w:numFmt w:val="lowerLetter"/>
      <w:lvlText w:val="%5."/>
      <w:lvlJc w:val="left"/>
      <w:pPr>
        <w:ind w:left="3600" w:hanging="360"/>
      </w:pPr>
    </w:lvl>
    <w:lvl w:ilvl="5" w:tplc="974A8AEA">
      <w:start w:val="1"/>
      <w:numFmt w:val="lowerRoman"/>
      <w:lvlText w:val="%6."/>
      <w:lvlJc w:val="right"/>
      <w:pPr>
        <w:ind w:left="4320" w:hanging="180"/>
      </w:pPr>
    </w:lvl>
    <w:lvl w:ilvl="6" w:tplc="D9C63780">
      <w:start w:val="1"/>
      <w:numFmt w:val="decimal"/>
      <w:lvlText w:val="%7."/>
      <w:lvlJc w:val="left"/>
      <w:pPr>
        <w:ind w:left="5040" w:hanging="360"/>
      </w:pPr>
    </w:lvl>
    <w:lvl w:ilvl="7" w:tplc="B764F9E0">
      <w:start w:val="1"/>
      <w:numFmt w:val="lowerLetter"/>
      <w:lvlText w:val="%8."/>
      <w:lvlJc w:val="left"/>
      <w:pPr>
        <w:ind w:left="5760" w:hanging="360"/>
      </w:pPr>
    </w:lvl>
    <w:lvl w:ilvl="8" w:tplc="A6A0F0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B0"/>
    <w:rsid w:val="000075DD"/>
    <w:rsid w:val="00073BCC"/>
    <w:rsid w:val="00094BA6"/>
    <w:rsid w:val="000A15EA"/>
    <w:rsid w:val="00156B6D"/>
    <w:rsid w:val="003666DD"/>
    <w:rsid w:val="003723F3"/>
    <w:rsid w:val="00436E8C"/>
    <w:rsid w:val="00485699"/>
    <w:rsid w:val="004E014F"/>
    <w:rsid w:val="007662EA"/>
    <w:rsid w:val="008A66B0"/>
    <w:rsid w:val="0093245A"/>
    <w:rsid w:val="0093325B"/>
    <w:rsid w:val="009504CE"/>
    <w:rsid w:val="00AC2AF7"/>
    <w:rsid w:val="00BB1C57"/>
    <w:rsid w:val="00C15990"/>
    <w:rsid w:val="00C541BF"/>
    <w:rsid w:val="00D43CF6"/>
    <w:rsid w:val="00E5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66BF1-D084-4BF1-A004-AC8BE975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styleId="ab">
    <w:name w:val="No Spacing"/>
    <w:link w:val="ac"/>
    <w:uiPriority w:val="99"/>
    <w:qFormat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pPr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pPr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4">
    <w:name w:val="Основной текст с отступом 3 Знак"/>
    <w:link w:val="33"/>
    <w:uiPriority w:val="99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link w:val="af"/>
    <w:uiPriority w:val="99"/>
    <w:rPr>
      <w:rFonts w:ascii="Calibri" w:eastAsia="Times New Roman" w:hAnsi="Calibri" w:cs="Times New Roman"/>
    </w:r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link w:val="af2"/>
    <w:uiPriority w:val="99"/>
    <w:rPr>
      <w:rFonts w:ascii="Calibri" w:eastAsia="Times New Roman" w:hAnsi="Calibri" w:cs="Times New Roman"/>
    </w:rPr>
  </w:style>
  <w:style w:type="character" w:styleId="af4">
    <w:name w:val="page number"/>
    <w:uiPriority w:val="99"/>
    <w:rPr>
      <w:rFonts w:cs="Times New Roman"/>
    </w:rPr>
  </w:style>
  <w:style w:type="paragraph" w:customStyle="1" w:styleId="13">
    <w:name w:val="Без интервала1"/>
    <w:rPr>
      <w:rFonts w:eastAsia="Times New Roman"/>
      <w:sz w:val="22"/>
      <w:szCs w:val="22"/>
    </w:rPr>
  </w:style>
  <w:style w:type="paragraph" w:customStyle="1" w:styleId="14">
    <w:name w:val="Без интервала1"/>
    <w:uiPriority w:val="99"/>
    <w:rPr>
      <w:sz w:val="22"/>
      <w:szCs w:val="22"/>
      <w:lang w:eastAsia="en-US"/>
    </w:rPr>
  </w:style>
  <w:style w:type="paragraph" w:styleId="af5">
    <w:name w:val="Balloon Text"/>
    <w:basedOn w:val="a"/>
    <w:link w:val="af6"/>
    <w:semiHidden/>
    <w:rPr>
      <w:rFonts w:ascii="Tahoma" w:hAnsi="Tahoma" w:cs="Tahoma"/>
      <w:sz w:val="16"/>
      <w:szCs w:val="16"/>
    </w:rPr>
  </w:style>
  <w:style w:type="paragraph" w:customStyle="1" w:styleId="textbastxt0">
    <w:name w:val="textbastxt"/>
    <w:basedOn w:val="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7">
    <w:name w:val="endnote text"/>
    <w:basedOn w:val="a"/>
    <w:link w:val="af8"/>
    <w:pPr>
      <w:spacing w:after="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f8">
    <w:name w:val="Текст концевой сноски Знак"/>
    <w:link w:val="af7"/>
    <w:rPr>
      <w:rFonts w:ascii="Arial" w:eastAsia="Times New Roman" w:hAnsi="Arial"/>
    </w:rPr>
  </w:style>
  <w:style w:type="character" w:customStyle="1" w:styleId="ae">
    <w:name w:val="Абзац списка Знак"/>
    <w:link w:val="ad"/>
    <w:uiPriority w:val="34"/>
    <w:rPr>
      <w:rFonts w:ascii="Calibri" w:hAnsi="Calibri"/>
      <w:sz w:val="22"/>
      <w:szCs w:val="22"/>
      <w:lang w:val="ru-RU" w:eastAsia="en-US" w:bidi="ar-SA"/>
    </w:rPr>
  </w:style>
  <w:style w:type="paragraph" w:customStyle="1" w:styleId="af9">
    <w:name w:val="наименование"/>
    <w:basedOn w:val="a"/>
    <w:pPr>
      <w:widowControl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a">
    <w:name w:val="Plain Text"/>
    <w:basedOn w:val="a"/>
    <w:link w:val="a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Gen0">
    <w:name w:val="StGen0"/>
    <w:basedOn w:val="a"/>
    <w:next w:val="afe"/>
    <w:link w:val="aff"/>
    <w:qFormat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10">
    <w:name w:val="Заголовок 1 Знак"/>
    <w:link w:val="1"/>
    <w:rPr>
      <w:sz w:val="28"/>
      <w:lang w:val="ru-RU" w:eastAsia="ru-RU" w:bidi="ar-SA"/>
    </w:rPr>
  </w:style>
  <w:style w:type="character" w:customStyle="1" w:styleId="afb">
    <w:name w:val="Текст Знак"/>
    <w:link w:val="afa"/>
    <w:rPr>
      <w:rFonts w:ascii="Courier New" w:hAnsi="Courier New" w:cs="Courier New"/>
      <w:lang w:val="ru-RU" w:eastAsia="ru-RU" w:bidi="ar-SA"/>
    </w:rPr>
  </w:style>
  <w:style w:type="paragraph" w:styleId="aff0">
    <w:name w:val="Normal (Web)"/>
    <w:basedOn w:val="a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f1">
    <w:name w:val="Emphasis"/>
    <w:qFormat/>
    <w:rPr>
      <w:i/>
      <w:iCs/>
    </w:rPr>
  </w:style>
  <w:style w:type="character" w:customStyle="1" w:styleId="afd">
    <w:name w:val="Нижний колонтитул Знак"/>
    <w:link w:val="afc"/>
    <w:uiPriority w:val="99"/>
    <w:rPr>
      <w:rFonts w:ascii="Times New Roman" w:eastAsia="Times New Roman" w:hAnsi="Times New Roman"/>
      <w:sz w:val="24"/>
      <w:szCs w:val="24"/>
    </w:rPr>
  </w:style>
  <w:style w:type="table" w:styleId="af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сновной текст1"/>
    <w:pPr>
      <w:widowControl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f3">
    <w:name w:val="footnote text"/>
    <w:basedOn w:val="a"/>
    <w:link w:val="aff4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link w:val="aff3"/>
    <w:semiHidden/>
    <w:rPr>
      <w:rFonts w:ascii="Times New Roman" w:eastAsia="Times New Roman" w:hAnsi="Times New Roman"/>
    </w:rPr>
  </w:style>
  <w:style w:type="character" w:styleId="aff5">
    <w:name w:val="footnote reference"/>
    <w:semiHidden/>
    <w:rPr>
      <w:vertAlign w:val="superscript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ff">
    <w:name w:val="Название Знак"/>
    <w:link w:val="StGen0"/>
    <w:rPr>
      <w:rFonts w:ascii="Times New Roman" w:eastAsia="Times New Roman" w:hAnsi="Times New Roman"/>
      <w:b/>
      <w:sz w:val="28"/>
    </w:rPr>
  </w:style>
  <w:style w:type="character" w:customStyle="1" w:styleId="xdexpressionboxxddatabindingui">
    <w:name w:val="xdexpressionbox xddatabindingui"/>
  </w:style>
  <w:style w:type="paragraph" w:customStyle="1" w:styleId="aff6">
    <w:name w:val="основной"/>
    <w:basedOn w:val="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 w:val="20"/>
      <w:szCs w:val="20"/>
      <w:lang w:val="en-US"/>
    </w:rPr>
  </w:style>
  <w:style w:type="paragraph" w:customStyle="1" w:styleId="rezul">
    <w:name w:val="rezul"/>
    <w:basedOn w:val="a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 w:val="20"/>
      <w:szCs w:val="20"/>
      <w:lang w:val="en-US"/>
    </w:rPr>
  </w:style>
  <w:style w:type="paragraph" w:customStyle="1" w:styleId="adress">
    <w:name w:val="adress"/>
    <w:basedOn w:val="a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pPr>
      <w:widowControl w:val="0"/>
      <w:spacing w:after="0" w:line="331" w:lineRule="exact"/>
      <w:ind w:firstLine="73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rPr>
      <w:rFonts w:eastAsia="Times New Roman"/>
      <w:sz w:val="22"/>
      <w:szCs w:val="22"/>
      <w:lang w:eastAsia="en-US"/>
    </w:rPr>
  </w:style>
  <w:style w:type="character" w:styleId="aff7">
    <w:name w:val="annotation reference"/>
    <w:uiPriority w:val="99"/>
    <w:semiHidden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Pr>
      <w:sz w:val="20"/>
      <w:szCs w:val="20"/>
    </w:rPr>
  </w:style>
  <w:style w:type="character" w:customStyle="1" w:styleId="aff9">
    <w:name w:val="Текст примечания Знак"/>
    <w:link w:val="aff8"/>
    <w:uiPriority w:val="99"/>
    <w:semiHidden/>
    <w:rPr>
      <w:rFonts w:eastAsia="Times New Roman"/>
      <w:lang w:eastAsia="en-US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Pr>
      <w:b/>
      <w:bCs/>
    </w:rPr>
  </w:style>
  <w:style w:type="character" w:customStyle="1" w:styleId="affb">
    <w:name w:val="Тема примечания Знак"/>
    <w:link w:val="affa"/>
    <w:uiPriority w:val="99"/>
    <w:semiHidden/>
    <w:rPr>
      <w:rFonts w:eastAsia="Times New Roman"/>
      <w:b/>
      <w:bCs/>
      <w:lang w:eastAsia="en-US"/>
    </w:rPr>
  </w:style>
  <w:style w:type="paragraph" w:customStyle="1" w:styleId="affc">
    <w:name w:val="Таблицы (моноширинный)"/>
    <w:basedOn w:val="a"/>
    <w:next w:val="a"/>
    <w:uiPriority w:val="99"/>
    <w:pPr>
      <w:widowControl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ru-RU"/>
    </w:rPr>
  </w:style>
  <w:style w:type="paragraph" w:styleId="affd">
    <w:name w:val="Normal Indent"/>
    <w:basedOn w:val="a"/>
    <w:pPr>
      <w:spacing w:before="120" w:after="120" w:line="240" w:lineRule="auto"/>
      <w:ind w:left="708" w:firstLine="709"/>
      <w:jc w:val="both"/>
    </w:pPr>
    <w:rPr>
      <w:rFonts w:ascii="Times New Roman" w:eastAsia="Calibri" w:hAnsi="Times New Roman"/>
      <w:sz w:val="28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character" w:customStyle="1" w:styleId="affe">
    <w:name w:val="Основной текст_"/>
    <w:link w:val="87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87">
    <w:name w:val="Основной текст87"/>
    <w:basedOn w:val="a"/>
    <w:link w:val="affe"/>
    <w:pPr>
      <w:shd w:val="clear" w:color="auto" w:fill="FFFFFF"/>
      <w:spacing w:after="420" w:line="0" w:lineRule="atLeast"/>
      <w:ind w:hanging="360"/>
    </w:pPr>
    <w:rPr>
      <w:rFonts w:ascii="Times New Roman" w:hAnsi="Times New Roman"/>
      <w:sz w:val="24"/>
      <w:szCs w:val="24"/>
    </w:rPr>
  </w:style>
  <w:style w:type="character" w:customStyle="1" w:styleId="16">
    <w:name w:val="Заголовок №1_"/>
    <w:link w:val="17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7">
    <w:name w:val="Заголовок №1"/>
    <w:basedOn w:val="a"/>
    <w:link w:val="16"/>
    <w:pPr>
      <w:shd w:val="clear" w:color="auto" w:fill="FFFFFF"/>
      <w:spacing w:before="420" w:after="0" w:line="317" w:lineRule="exact"/>
      <w:ind w:firstLine="3500"/>
      <w:outlineLvl w:val="0"/>
    </w:pPr>
    <w:rPr>
      <w:rFonts w:ascii="Times New Roman" w:hAnsi="Times New Roman"/>
      <w:sz w:val="24"/>
      <w:szCs w:val="24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 w:hint="default"/>
      <w:sz w:val="20"/>
      <w:szCs w:val="20"/>
      <w:shd w:val="clear" w:color="auto" w:fill="FFFFFF"/>
    </w:rPr>
  </w:style>
  <w:style w:type="paragraph" w:customStyle="1" w:styleId="afff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fe">
    <w:name w:val="Title"/>
    <w:basedOn w:val="a"/>
    <w:next w:val="a"/>
    <w:link w:val="afff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f0">
    <w:name w:val="Заголовок Знак"/>
    <w:basedOn w:val="a0"/>
    <w:link w:val="afe"/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paragraph" w:customStyle="1" w:styleId="18">
    <w:name w:val="Название1"/>
    <w:basedOn w:val="a"/>
    <w:qFormat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StGen1">
    <w:name w:val="StGen1"/>
    <w:basedOn w:val="a"/>
    <w:next w:val="afe"/>
    <w:qFormat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table" w:customStyle="1" w:styleId="25">
    <w:name w:val="Сетка таблицы2"/>
    <w:basedOn w:val="a1"/>
    <w:next w:val="aff2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1"/>
    <w:next w:val="aff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Текст выноски Знак"/>
    <w:basedOn w:val="a0"/>
    <w:link w:val="af5"/>
    <w:semiHidden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a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f1">
    <w:name w:val="Strong"/>
    <w:basedOn w:val="a0"/>
    <w:uiPriority w:val="22"/>
    <w:qFormat/>
    <w:rPr>
      <w:b/>
      <w:bCs/>
    </w:rPr>
  </w:style>
  <w:style w:type="character" w:styleId="af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A9ED6E6-DC95-46BF-BA83-0857D322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Hewlett-Packard Company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Таксер Е.Ю.</dc:creator>
  <cp:lastModifiedBy>User-22-12</cp:lastModifiedBy>
  <cp:revision>3</cp:revision>
  <cp:lastPrinted>2025-04-11T07:24:00Z</cp:lastPrinted>
  <dcterms:created xsi:type="dcterms:W3CDTF">2025-07-15T09:23:00Z</dcterms:created>
  <dcterms:modified xsi:type="dcterms:W3CDTF">2025-07-15T09:27:00Z</dcterms:modified>
</cp:coreProperties>
</file>