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tbl>
      <w:tblPr>
        <w:tblStyle w:val="Style_2"/>
        <w:tblLayout w:type="fixed"/>
      </w:tblPr>
      <w:tblGrid>
        <w:gridCol w:w="4928"/>
        <w:gridCol w:w="4785"/>
      </w:tblGrid>
      <w:tr>
        <w:tc>
          <w:tcPr>
            <w:tcW w:type="dxa" w:w="4928"/>
            <w:shd w:fill="auto" w:val="clear"/>
          </w:tcPr>
          <w:p w14:paraId="03000000">
            <w:pPr>
              <w:tabs>
                <w:tab w:leader="none" w:pos="3330" w:val="left"/>
                <w:tab w:leader="none" w:pos="4563" w:val="center"/>
              </w:tabs>
              <w:ind/>
              <w:rPr>
                <w:sz w:val="28"/>
              </w:rPr>
            </w:pPr>
          </w:p>
        </w:tc>
        <w:tc>
          <w:tcPr>
            <w:tcW w:type="dxa" w:w="4785"/>
            <w:shd w:fill="auto" w:val="clear"/>
          </w:tcPr>
          <w:p w14:paraId="04000000">
            <w:pPr>
              <w:rPr>
                <w:sz w:val="28"/>
              </w:rPr>
            </w:pPr>
            <w:r>
              <w:rPr>
                <w:sz w:val="28"/>
              </w:rPr>
              <w:t>Приложение</w:t>
            </w:r>
          </w:p>
          <w:p w14:paraId="05000000">
            <w:pPr>
              <w:rPr>
                <w:sz w:val="28"/>
              </w:rPr>
            </w:pPr>
            <w:r>
              <w:rPr>
                <w:sz w:val="28"/>
              </w:rPr>
              <w:t xml:space="preserve">к решению </w:t>
            </w:r>
            <w:r>
              <w:rPr>
                <w:sz w:val="28"/>
              </w:rPr>
              <w:t>Совета</w:t>
            </w:r>
          </w:p>
          <w:p w14:paraId="06000000">
            <w:pPr>
              <w:rPr>
                <w:sz w:val="28"/>
              </w:rPr>
            </w:pPr>
            <w:r>
              <w:rPr>
                <w:sz w:val="28"/>
              </w:rPr>
              <w:t xml:space="preserve">муниципального образования </w:t>
            </w:r>
          </w:p>
          <w:p w14:paraId="07000000">
            <w:pPr>
              <w:rPr>
                <w:sz w:val="28"/>
              </w:rPr>
            </w:pPr>
            <w:r>
              <w:rPr>
                <w:sz w:val="28"/>
              </w:rPr>
              <w:t>Кавказский район</w:t>
            </w:r>
          </w:p>
          <w:p w14:paraId="08000000">
            <w:pPr>
              <w:rPr>
                <w:sz w:val="28"/>
              </w:rPr>
            </w:pPr>
            <w:r>
              <w:rPr>
                <w:sz w:val="28"/>
              </w:rPr>
              <w:t>от 26 марта</w:t>
            </w:r>
            <w:r>
              <w:rPr>
                <w:sz w:val="28"/>
              </w:rPr>
              <w:t xml:space="preserve"> года № 345</w:t>
            </w:r>
          </w:p>
        </w:tc>
      </w:tr>
    </w:tbl>
    <w:p w14:paraId="09000000">
      <w:pPr>
        <w:tabs>
          <w:tab w:leader="none" w:pos="3330" w:val="left"/>
          <w:tab w:leader="none" w:pos="4563" w:val="center"/>
        </w:tabs>
        <w:ind/>
        <w:rPr>
          <w:sz w:val="28"/>
        </w:rPr>
      </w:pPr>
    </w:p>
    <w:p w14:paraId="0A000000">
      <w:pPr>
        <w:ind/>
        <w:jc w:val="center"/>
        <w:rPr>
          <w:b w:val="1"/>
          <w:sz w:val="28"/>
        </w:rPr>
      </w:pPr>
    </w:p>
    <w:p w14:paraId="0B000000">
      <w:pPr>
        <w:ind/>
        <w:jc w:val="center"/>
        <w:rPr>
          <w:b w:val="1"/>
          <w:sz w:val="28"/>
        </w:rPr>
      </w:pPr>
      <w:r>
        <w:rPr>
          <w:b w:val="1"/>
          <w:sz w:val="28"/>
        </w:rPr>
        <w:t>Отчет</w:t>
      </w:r>
    </w:p>
    <w:p w14:paraId="0C000000">
      <w:pPr>
        <w:ind/>
        <w:jc w:val="center"/>
        <w:rPr>
          <w:b w:val="1"/>
          <w:sz w:val="28"/>
        </w:rPr>
      </w:pPr>
      <w:r>
        <w:rPr>
          <w:b w:val="1"/>
          <w:sz w:val="28"/>
        </w:rPr>
        <w:t xml:space="preserve">о </w:t>
      </w:r>
      <w:r>
        <w:rPr>
          <w:b w:val="1"/>
          <w:sz w:val="28"/>
        </w:rPr>
        <w:t xml:space="preserve">деятельности </w:t>
      </w:r>
      <w:r>
        <w:rPr>
          <w:b w:val="1"/>
          <w:sz w:val="28"/>
        </w:rPr>
        <w:t xml:space="preserve">Контрольно-счетной палаты </w:t>
      </w:r>
    </w:p>
    <w:p w14:paraId="0D000000">
      <w:pPr>
        <w:ind/>
        <w:jc w:val="center"/>
        <w:rPr>
          <w:b w:val="1"/>
          <w:sz w:val="28"/>
        </w:rPr>
      </w:pPr>
      <w:r>
        <w:rPr>
          <w:b w:val="1"/>
          <w:sz w:val="28"/>
        </w:rPr>
        <w:t>муниципального образования</w:t>
      </w:r>
      <w:r>
        <w:rPr>
          <w:b w:val="1"/>
          <w:sz w:val="28"/>
        </w:rPr>
        <w:t xml:space="preserve"> </w:t>
      </w:r>
      <w:r>
        <w:rPr>
          <w:b w:val="1"/>
          <w:sz w:val="28"/>
        </w:rPr>
        <w:t>Кавказский район</w:t>
      </w:r>
      <w:r>
        <w:rPr>
          <w:b w:val="1"/>
          <w:sz w:val="28"/>
        </w:rPr>
        <w:t xml:space="preserve"> за 20</w:t>
      </w:r>
      <w:r>
        <w:rPr>
          <w:b w:val="1"/>
          <w:sz w:val="28"/>
        </w:rPr>
        <w:t>2</w:t>
      </w:r>
      <w:r>
        <w:rPr>
          <w:b w:val="1"/>
          <w:sz w:val="28"/>
        </w:rPr>
        <w:t>5</w:t>
      </w:r>
      <w:r>
        <w:rPr>
          <w:b w:val="1"/>
          <w:sz w:val="28"/>
        </w:rPr>
        <w:t xml:space="preserve"> год</w:t>
      </w:r>
    </w:p>
    <w:p w14:paraId="0E000000">
      <w:pPr>
        <w:ind/>
        <w:jc w:val="center"/>
        <w:rPr>
          <w:b w:val="1"/>
          <w:sz w:val="28"/>
        </w:rPr>
      </w:pPr>
    </w:p>
    <w:p w14:paraId="0F000000">
      <w:pPr>
        <w:ind/>
        <w:jc w:val="center"/>
        <w:rPr>
          <w:b w:val="1"/>
          <w:sz w:val="28"/>
        </w:rPr>
      </w:pPr>
      <w:r>
        <w:rPr>
          <w:b w:val="1"/>
          <w:sz w:val="28"/>
        </w:rPr>
        <w:t>Общие положения</w:t>
      </w:r>
    </w:p>
    <w:p w14:paraId="10000000">
      <w:pPr>
        <w:ind w:firstLine="851"/>
        <w:jc w:val="both"/>
        <w:rPr>
          <w:sz w:val="28"/>
        </w:rPr>
      </w:pPr>
      <w:r>
        <w:rPr>
          <w:sz w:val="28"/>
        </w:rPr>
        <w:t xml:space="preserve">Отчет о деятельности Контрольно-счетной палаты муниципального образования Кавказский район (далее – КСП) подготовлен в соответствии со ст.19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w:t>
      </w:r>
      <w:r>
        <w:rPr>
          <w:sz w:val="28"/>
        </w:rPr>
        <w:t>ст.</w:t>
      </w:r>
      <w:r>
        <w:rPr>
          <w:sz w:val="28"/>
        </w:rPr>
        <w:t xml:space="preserve">20 </w:t>
      </w:r>
      <w:r>
        <w:rPr>
          <w:sz w:val="28"/>
        </w:rPr>
        <w:t>Положения «О Контрольно-счетной пал</w:t>
      </w:r>
      <w:r>
        <w:rPr>
          <w:sz w:val="28"/>
        </w:rPr>
        <w:t>ате муниципального образования К</w:t>
      </w:r>
      <w:r>
        <w:rPr>
          <w:sz w:val="28"/>
        </w:rPr>
        <w:t>авказский район»</w:t>
      </w:r>
      <w:r>
        <w:rPr>
          <w:sz w:val="28"/>
        </w:rPr>
        <w:t>,</w:t>
      </w:r>
      <w:r>
        <w:rPr>
          <w:sz w:val="28"/>
        </w:rPr>
        <w:t xml:space="preserve"> утвержденного Советом муниципального образования Кавказский район</w:t>
      </w:r>
      <w:r>
        <w:rPr>
          <w:sz w:val="28"/>
        </w:rPr>
        <w:t xml:space="preserve"> </w:t>
      </w:r>
      <w:r>
        <w:rPr>
          <w:sz w:val="28"/>
        </w:rPr>
        <w:t xml:space="preserve">от </w:t>
      </w:r>
      <w:r>
        <w:rPr>
          <w:sz w:val="28"/>
        </w:rPr>
        <w:t>2</w:t>
      </w:r>
      <w:r>
        <w:rPr>
          <w:sz w:val="28"/>
        </w:rPr>
        <w:t>8</w:t>
      </w:r>
      <w:r>
        <w:rPr>
          <w:sz w:val="28"/>
        </w:rPr>
        <w:t>.</w:t>
      </w:r>
      <w:r>
        <w:rPr>
          <w:sz w:val="28"/>
        </w:rPr>
        <w:t>1</w:t>
      </w:r>
      <w:r>
        <w:rPr>
          <w:sz w:val="28"/>
        </w:rPr>
        <w:t>0</w:t>
      </w:r>
      <w:r>
        <w:rPr>
          <w:sz w:val="28"/>
        </w:rPr>
        <w:t>.20</w:t>
      </w:r>
      <w:r>
        <w:rPr>
          <w:sz w:val="28"/>
        </w:rPr>
        <w:t>2</w:t>
      </w:r>
      <w:r>
        <w:rPr>
          <w:sz w:val="28"/>
        </w:rPr>
        <w:t>1 №</w:t>
      </w:r>
      <w:r>
        <w:rPr>
          <w:sz w:val="28"/>
        </w:rPr>
        <w:t>353</w:t>
      </w:r>
      <w:r>
        <w:rPr>
          <w:sz w:val="28"/>
        </w:rPr>
        <w:t xml:space="preserve"> </w:t>
      </w:r>
      <w:r>
        <w:rPr>
          <w:sz w:val="28"/>
        </w:rPr>
        <w:t>(далее – Положение)</w:t>
      </w:r>
      <w:r>
        <w:rPr>
          <w:sz w:val="28"/>
        </w:rPr>
        <w:t>.</w:t>
      </w:r>
    </w:p>
    <w:p w14:paraId="11000000">
      <w:pPr>
        <w:ind w:firstLine="851"/>
        <w:jc w:val="both"/>
        <w:rPr>
          <w:sz w:val="28"/>
        </w:rPr>
      </w:pPr>
      <w:r>
        <w:rPr>
          <w:sz w:val="28"/>
        </w:rPr>
        <w:t xml:space="preserve">В отчете отражены результаты деятельности КСП по реализации задач, возложенных на КСП Бюджетным кодексом РФ, Федеральными законами «Об общих принципах организации местного самоуправления в РФ», «Об общих принципах организации и деятельности контрольно-счетных органов субъектов РФ и муниципальных образований», «О контрактной системе в сфере закупок товаров, работ, услуг для обеспечения государственных и муниципальных нужд», иными нормативными правовыми актами Российской Федерации и Краснодарского края, муниципальными правовыми актами Кавказского района. </w:t>
      </w:r>
    </w:p>
    <w:p w14:paraId="12000000">
      <w:pPr>
        <w:ind w:firstLine="851"/>
        <w:jc w:val="both"/>
        <w:rPr>
          <w:sz w:val="28"/>
        </w:rPr>
      </w:pPr>
      <w:r>
        <w:rPr>
          <w:sz w:val="28"/>
        </w:rPr>
        <w:t>Контрольно-счётная палата является полноправным участником бюджетного процесса муниципального образования Кавказский район, обладающим достаточными полномочиями для осуществления контроля</w:t>
      </w:r>
      <w:r>
        <w:rPr>
          <w:sz w:val="28"/>
        </w:rPr>
        <w:t>,</w:t>
      </w:r>
      <w:r>
        <w:rPr>
          <w:sz w:val="28"/>
        </w:rPr>
        <w:t xml:space="preserve"> за средствами бюджета района, а также за соблюдением установленного порядка управления и распоряжения муниципальной собственностью муниципального образования Кавказский район.</w:t>
      </w:r>
    </w:p>
    <w:p w14:paraId="13000000">
      <w:pPr>
        <w:pStyle w:val="Style_3"/>
        <w:spacing w:after="0" w:before="0"/>
        <w:ind w:firstLine="539"/>
        <w:jc w:val="center"/>
        <w:rPr>
          <w:b w:val="1"/>
          <w:sz w:val="28"/>
        </w:rPr>
      </w:pPr>
    </w:p>
    <w:p w14:paraId="14000000">
      <w:pPr>
        <w:pStyle w:val="Style_3"/>
        <w:spacing w:after="0" w:before="0"/>
        <w:ind w:firstLine="539"/>
        <w:jc w:val="center"/>
        <w:rPr>
          <w:sz w:val="28"/>
          <w:u w:val="single"/>
        </w:rPr>
      </w:pPr>
      <w:r>
        <w:rPr>
          <w:sz w:val="28"/>
          <w:u w:val="single"/>
        </w:rPr>
        <w:t xml:space="preserve">1. </w:t>
      </w:r>
      <w:r>
        <w:rPr>
          <w:sz w:val="28"/>
          <w:u w:val="single"/>
        </w:rPr>
        <w:t xml:space="preserve">Основные итоги и результаты </w:t>
      </w:r>
    </w:p>
    <w:p w14:paraId="15000000">
      <w:pPr>
        <w:pStyle w:val="Style_3"/>
        <w:spacing w:after="0" w:before="0"/>
        <w:ind w:firstLine="539"/>
        <w:jc w:val="center"/>
        <w:rPr>
          <w:sz w:val="28"/>
          <w:u w:val="single"/>
        </w:rPr>
      </w:pPr>
      <w:r>
        <w:rPr>
          <w:sz w:val="28"/>
          <w:u w:val="single"/>
        </w:rPr>
        <w:t>деятельности Контрольно-счётной палаты муниципального образования Кавказский район в 202</w:t>
      </w:r>
      <w:r>
        <w:rPr>
          <w:sz w:val="28"/>
          <w:u w:val="single"/>
        </w:rPr>
        <w:t>5</w:t>
      </w:r>
      <w:r>
        <w:rPr>
          <w:sz w:val="28"/>
          <w:u w:val="single"/>
        </w:rPr>
        <w:t xml:space="preserve"> году</w:t>
      </w:r>
    </w:p>
    <w:p w14:paraId="16000000">
      <w:pPr>
        <w:pStyle w:val="Style_3"/>
        <w:spacing w:after="0" w:before="0"/>
        <w:ind w:firstLine="539"/>
        <w:jc w:val="both"/>
        <w:rPr>
          <w:sz w:val="28"/>
        </w:rPr>
      </w:pPr>
      <w:r>
        <w:rPr>
          <w:sz w:val="28"/>
        </w:rPr>
        <w:t xml:space="preserve">Основы деятельности Контрольно-счётной палаты определены Уставом муниципального образования Кавказский район, </w:t>
      </w:r>
      <w:r>
        <w:rPr>
          <w:sz w:val="28"/>
        </w:rPr>
        <w:t>Положением</w:t>
      </w:r>
      <w:r>
        <w:rPr>
          <w:sz w:val="28"/>
        </w:rPr>
        <w:t xml:space="preserve"> о Контрольно-счётной палате муниципального образования Кавказский район, а также нормами Бюджетного кодекса Российской Федерации, </w:t>
      </w:r>
      <w:r>
        <w:rPr>
          <w:sz w:val="28"/>
        </w:rPr>
        <w:t>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w:t>
      </w:r>
      <w:r>
        <w:rPr>
          <w:sz w:val="28"/>
        </w:rPr>
        <w:t xml:space="preserve">, иными федеральными законами и нормативными правовыми актами Российской Федерации и Краснодарского края, правовыми актами муниципального образования Кавказский район. </w:t>
      </w:r>
    </w:p>
    <w:p w14:paraId="17000000">
      <w:pPr>
        <w:pStyle w:val="Style_3"/>
        <w:spacing w:after="0" w:before="0"/>
        <w:ind w:firstLine="539"/>
        <w:jc w:val="both"/>
        <w:rPr>
          <w:sz w:val="28"/>
        </w:rPr>
      </w:pPr>
      <w:r>
        <w:rPr>
          <w:sz w:val="28"/>
        </w:rPr>
        <w:t>План работы Контрольно-счётной палаты на 202</w:t>
      </w:r>
      <w:r>
        <w:rPr>
          <w:sz w:val="28"/>
        </w:rPr>
        <w:t>5</w:t>
      </w:r>
      <w:r>
        <w:rPr>
          <w:sz w:val="28"/>
        </w:rPr>
        <w:t xml:space="preserve"> год был сформирован исходя из необходимости реализации задач, поставленных перед контрольным органом муниципального образования Кавказский район, с учётом обращения Союза МКСО и Контрольно-счётной палаты Краснодарского края (утверждён распоряжением КСП от </w:t>
      </w:r>
      <w:r>
        <w:rPr>
          <w:sz w:val="28"/>
        </w:rPr>
        <w:t>20</w:t>
      </w:r>
      <w:r>
        <w:rPr>
          <w:sz w:val="28"/>
        </w:rPr>
        <w:t>.12.20</w:t>
      </w:r>
      <w:r>
        <w:rPr>
          <w:sz w:val="28"/>
        </w:rPr>
        <w:t>2</w:t>
      </w:r>
      <w:r>
        <w:rPr>
          <w:sz w:val="28"/>
        </w:rPr>
        <w:t>4</w:t>
      </w:r>
      <w:r>
        <w:rPr>
          <w:sz w:val="28"/>
        </w:rPr>
        <w:t xml:space="preserve"> № </w:t>
      </w:r>
      <w:r>
        <w:rPr>
          <w:sz w:val="28"/>
        </w:rPr>
        <w:t>1</w:t>
      </w:r>
      <w:r>
        <w:rPr>
          <w:sz w:val="28"/>
        </w:rPr>
        <w:t>6</w:t>
      </w:r>
      <w:r>
        <w:rPr>
          <w:sz w:val="28"/>
        </w:rPr>
        <w:t>-р</w:t>
      </w:r>
      <w:r>
        <w:rPr>
          <w:sz w:val="28"/>
        </w:rPr>
        <w:t xml:space="preserve"> (далее – план работы</w:t>
      </w:r>
      <w:r>
        <w:rPr>
          <w:sz w:val="28"/>
        </w:rPr>
        <w:t>). В 202</w:t>
      </w:r>
      <w:r>
        <w:rPr>
          <w:sz w:val="28"/>
        </w:rPr>
        <w:t>5</w:t>
      </w:r>
      <w:r>
        <w:rPr>
          <w:sz w:val="28"/>
        </w:rPr>
        <w:t xml:space="preserve"> году (далее - отчётный период) в соответствии с планом работы КСП осуществляла контрольно-ревизионную, экспертно-аналитическую, информационную деятельность, обеспечивая единую систему контроля исполнения </w:t>
      </w:r>
      <w:r>
        <w:rPr>
          <w:sz w:val="28"/>
        </w:rPr>
        <w:t>районного</w:t>
      </w:r>
      <w:r>
        <w:rPr>
          <w:sz w:val="28"/>
        </w:rPr>
        <w:t xml:space="preserve"> бюджета и управления муниципальным имуществом. Приоритетным направлением муниципального финансового контроля в 202</w:t>
      </w:r>
      <w:r>
        <w:rPr>
          <w:sz w:val="28"/>
        </w:rPr>
        <w:t>5</w:t>
      </w:r>
      <w:r>
        <w:rPr>
          <w:sz w:val="28"/>
        </w:rPr>
        <w:t xml:space="preserve"> году палаты являлись: контроль за исполнением местного бюджета, за расходованием бюджетных средств в рамках муниципальных программ, за эффективностью и законност</w:t>
      </w:r>
      <w:r>
        <w:rPr>
          <w:sz w:val="28"/>
        </w:rPr>
        <w:t>ью</w:t>
      </w:r>
      <w:r>
        <w:rPr>
          <w:sz w:val="28"/>
        </w:rPr>
        <w:t xml:space="preserve"> использования бюджетных средств. </w:t>
      </w:r>
    </w:p>
    <w:p w14:paraId="18000000">
      <w:pPr>
        <w:pStyle w:val="Style_3"/>
        <w:spacing w:after="0" w:before="0"/>
        <w:ind w:firstLine="539"/>
        <w:jc w:val="both"/>
        <w:rPr>
          <w:sz w:val="28"/>
        </w:rPr>
      </w:pPr>
      <w:r>
        <w:rPr>
          <w:sz w:val="28"/>
        </w:rPr>
        <w:t>Неотъемлемой частью деятельности</w:t>
      </w:r>
      <w:r>
        <w:rPr>
          <w:sz w:val="28"/>
        </w:rPr>
        <w:t xml:space="preserve"> КСП</w:t>
      </w:r>
      <w:r>
        <w:rPr>
          <w:sz w:val="28"/>
        </w:rPr>
        <w:t xml:space="preserve"> является предоставление Главе </w:t>
      </w:r>
      <w:r>
        <w:rPr>
          <w:sz w:val="28"/>
        </w:rPr>
        <w:t>муниципального образования Кавказский район</w:t>
      </w:r>
      <w:r>
        <w:rPr>
          <w:sz w:val="28"/>
        </w:rPr>
        <w:t xml:space="preserve">, </w:t>
      </w:r>
      <w:r>
        <w:rPr>
          <w:sz w:val="28"/>
        </w:rPr>
        <w:t>Председателю Совета депутатов муниципального образования Кавказский район</w:t>
      </w:r>
      <w:r>
        <w:rPr>
          <w:sz w:val="28"/>
        </w:rPr>
        <w:t xml:space="preserve">, населению </w:t>
      </w:r>
      <w:r>
        <w:rPr>
          <w:sz w:val="28"/>
        </w:rPr>
        <w:t>муниципального образования Кавказский район</w:t>
      </w:r>
      <w:r>
        <w:rPr>
          <w:sz w:val="28"/>
        </w:rPr>
        <w:t xml:space="preserve"> (в средствах массовой информации), иным пользователям объективной, независимой информации о результатах проверок использования муниципальных финансовых и имущественных ресурсов. </w:t>
      </w:r>
    </w:p>
    <w:p w14:paraId="19000000">
      <w:pPr>
        <w:pStyle w:val="Style_3"/>
        <w:spacing w:after="0" w:before="0"/>
        <w:ind w:firstLine="539"/>
        <w:jc w:val="both"/>
        <w:rPr>
          <w:b w:val="1"/>
          <w:sz w:val="28"/>
        </w:rPr>
      </w:pPr>
      <w:r>
        <w:rPr>
          <w:sz w:val="28"/>
        </w:rPr>
        <w:t>Важным элементом деятельности Контрольно-счётной палаты являлся</w:t>
      </w:r>
      <w:r>
        <w:rPr>
          <w:sz w:val="28"/>
        </w:rPr>
        <w:t>,</w:t>
      </w:r>
      <w:r>
        <w:rPr>
          <w:sz w:val="28"/>
        </w:rPr>
        <w:t xml:space="preserve"> контроль</w:t>
      </w:r>
      <w:r>
        <w:rPr>
          <w:sz w:val="28"/>
        </w:rPr>
        <w:t>,</w:t>
      </w:r>
      <w:r>
        <w:rPr>
          <w:sz w:val="28"/>
        </w:rPr>
        <w:t xml:space="preserve"> за реализацией объектами контроля мероприятий по устранению нарушений и недостатков, выявленных как в отчётном периоде, так и в предшествующих периодах.</w:t>
      </w:r>
    </w:p>
    <w:p w14:paraId="1A000000">
      <w:pPr>
        <w:pStyle w:val="Style_3"/>
        <w:spacing w:after="0" w:before="0"/>
        <w:ind w:firstLine="539"/>
        <w:jc w:val="both"/>
        <w:rPr>
          <w:b w:val="1"/>
          <w:sz w:val="28"/>
        </w:rPr>
      </w:pPr>
      <w:r>
        <w:rPr>
          <w:sz w:val="28"/>
        </w:rPr>
        <w:t>Продолжено развитие межмуниципального сотрудничества посредством членства в Союзе муниципальных контрольно-счётных органов (далее – Союз МКСО) и его Представительстве в ЮФО, в Совете контрольно-счётных органов муниципальных образований Краснодарского края.</w:t>
      </w:r>
    </w:p>
    <w:p w14:paraId="1B000000">
      <w:pPr>
        <w:pStyle w:val="Style_3"/>
        <w:spacing w:after="0" w:before="0"/>
        <w:ind w:firstLine="709"/>
        <w:jc w:val="both"/>
        <w:rPr>
          <w:color w:val="000000"/>
          <w:sz w:val="28"/>
        </w:rPr>
      </w:pPr>
      <w:r>
        <w:rPr>
          <w:color w:val="000000"/>
          <w:sz w:val="28"/>
        </w:rPr>
        <w:t>На основании заключенных Соглашений с представительными органами городского и сельских поселений Кавказского района, КСП МО КР переданы полномочия контрольно – счетных органов 9 поселений.</w:t>
      </w:r>
    </w:p>
    <w:p w14:paraId="1C000000">
      <w:pPr>
        <w:pStyle w:val="Style_3"/>
        <w:spacing w:after="0" w:before="0"/>
        <w:ind w:firstLine="539"/>
        <w:jc w:val="both"/>
        <w:rPr>
          <w:sz w:val="28"/>
        </w:rPr>
      </w:pPr>
      <w:r>
        <w:rPr>
          <w:sz w:val="28"/>
        </w:rPr>
        <w:t>В отчётном периоде Контрольно-счётная палата сосредоточила внимание на проверках:</w:t>
      </w:r>
    </w:p>
    <w:p w14:paraId="1D000000">
      <w:pPr>
        <w:ind w:firstLine="567"/>
        <w:jc w:val="both"/>
        <w:rPr>
          <w:color w:val="000000"/>
          <w:sz w:val="28"/>
        </w:rPr>
      </w:pPr>
      <w:r>
        <w:rPr>
          <w:sz w:val="28"/>
        </w:rPr>
        <w:t xml:space="preserve">- </w:t>
      </w:r>
      <w:r>
        <w:rPr>
          <w:color w:val="000000"/>
          <w:sz w:val="28"/>
        </w:rPr>
        <w:t>по проверке финансово-хозяйственной деятельности в Муниципальных унитарных предприятиях МО Кавказский район (МУП «Мирское», МУП «Привольное», МУП «ТВК «Темижбекский»)</w:t>
      </w:r>
      <w:r>
        <w:rPr>
          <w:sz w:val="28"/>
        </w:rPr>
        <w:t xml:space="preserve">; </w:t>
      </w:r>
    </w:p>
    <w:p w14:paraId="1E000000">
      <w:pPr>
        <w:ind w:firstLine="539"/>
        <w:jc w:val="both"/>
        <w:rPr>
          <w:color w:val="000000"/>
          <w:sz w:val="28"/>
        </w:rPr>
      </w:pPr>
      <w:r>
        <w:rPr>
          <w:color w:val="000000"/>
          <w:sz w:val="28"/>
        </w:rPr>
        <w:t xml:space="preserve">- </w:t>
      </w:r>
      <w:r>
        <w:rPr>
          <w:color w:val="000000"/>
          <w:sz w:val="28"/>
        </w:rPr>
        <w:t xml:space="preserve">по проверке </w:t>
      </w:r>
      <w:r>
        <w:rPr>
          <w:color w:val="000000"/>
          <w:spacing w:val="-7"/>
          <w:sz w:val="28"/>
        </w:rPr>
        <w:t>соблюдения действующего законодательства при расходовании средств бюджета Краснодарского края на размещение и питание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вынуждено покинувших жилые помещения и находившихся в пунктах временного размещения и питания на территории Краснодарского края</w:t>
      </w:r>
      <w:r>
        <w:rPr>
          <w:color w:val="000000"/>
          <w:spacing w:val="-7"/>
          <w:sz w:val="28"/>
        </w:rPr>
        <w:t>;</w:t>
      </w:r>
    </w:p>
    <w:p w14:paraId="1F000000">
      <w:pPr>
        <w:ind w:firstLine="709"/>
        <w:jc w:val="both"/>
        <w:rPr>
          <w:sz w:val="28"/>
        </w:rPr>
      </w:pPr>
      <w:r>
        <w:rPr>
          <w:color w:val="000000"/>
          <w:sz w:val="28"/>
        </w:rPr>
        <w:t>- годовой бюджетной отчетности главных администраторов бюджетных средств администраций городского и сельских поселений Кавказского района за 202</w:t>
      </w:r>
      <w:r>
        <w:rPr>
          <w:color w:val="000000"/>
          <w:sz w:val="28"/>
        </w:rPr>
        <w:t>4</w:t>
      </w:r>
      <w:r>
        <w:rPr>
          <w:color w:val="000000"/>
          <w:sz w:val="28"/>
        </w:rPr>
        <w:t xml:space="preserve"> год</w:t>
      </w:r>
      <w:r>
        <w:rPr>
          <w:color w:val="000000"/>
          <w:sz w:val="28"/>
        </w:rPr>
        <w:t>;</w:t>
      </w:r>
    </w:p>
    <w:p w14:paraId="20000000">
      <w:pPr>
        <w:ind w:firstLine="567"/>
        <w:jc w:val="both"/>
        <w:rPr>
          <w:b w:val="1"/>
          <w:color w:val="000000"/>
          <w:sz w:val="28"/>
        </w:rPr>
      </w:pPr>
      <w:r>
        <w:rPr>
          <w:color w:val="000000"/>
          <w:sz w:val="28"/>
        </w:rPr>
        <w:t xml:space="preserve"> </w:t>
      </w:r>
      <w:r>
        <w:rPr>
          <w:color w:val="000000"/>
          <w:sz w:val="28"/>
        </w:rPr>
        <w:t xml:space="preserve">- </w:t>
      </w:r>
      <w:r>
        <w:rPr>
          <w:color w:val="000000"/>
          <w:sz w:val="28"/>
        </w:rPr>
        <w:t>«Анализ планирования и использования бюджетных средств, направленных в 2024 году, на финансовое обеспечение проведения углубленных медицинских осмотров лиц, занимающихся физической культурой и спортом в организациях Краснодарского края, реализующих программы спортивной подготовки, и (или) дополнительные образовательные программы в области физической культуры и спорта (выборочно) (в формате параллельного экспертно – аналитического мероприятия с Контрольно – счетной палатой Краснодарского края»</w:t>
      </w:r>
      <w:r>
        <w:rPr>
          <w:color w:val="000000"/>
          <w:sz w:val="28"/>
        </w:rPr>
        <w:t>.</w:t>
      </w:r>
    </w:p>
    <w:p w14:paraId="21000000">
      <w:pPr>
        <w:ind w:firstLine="709"/>
        <w:jc w:val="both"/>
        <w:rPr>
          <w:sz w:val="28"/>
        </w:rPr>
      </w:pPr>
    </w:p>
    <w:p w14:paraId="22000000">
      <w:pPr>
        <w:ind w:firstLine="709"/>
        <w:jc w:val="both"/>
        <w:rPr>
          <w:sz w:val="28"/>
        </w:rPr>
      </w:pPr>
      <w:r>
        <w:rPr>
          <w:sz w:val="28"/>
        </w:rPr>
        <w:t>Основные показатели деятельности Контрольно-счетной палаты</w:t>
      </w:r>
      <w:r>
        <w:rPr>
          <w:sz w:val="28"/>
        </w:rPr>
        <w:t xml:space="preserve"> </w:t>
      </w:r>
      <w:r>
        <w:rPr>
          <w:sz w:val="28"/>
        </w:rPr>
        <w:t>за 202</w:t>
      </w:r>
      <w:r>
        <w:rPr>
          <w:sz w:val="28"/>
        </w:rPr>
        <w:t>5</w:t>
      </w:r>
      <w:r>
        <w:rPr>
          <w:sz w:val="28"/>
        </w:rPr>
        <w:t xml:space="preserve"> год приведены в таблице</w:t>
      </w:r>
      <w:r>
        <w:rPr>
          <w:sz w:val="28"/>
        </w:rPr>
        <w:t>:</w:t>
      </w:r>
      <w:r>
        <w:rPr>
          <w:sz w:val="28"/>
        </w:rPr>
        <w:t xml:space="preserve"> </w:t>
      </w:r>
    </w:p>
    <w:p w14:paraId="23000000">
      <w:pPr>
        <w:ind w:firstLine="709" w:left="7079"/>
        <w:jc w:val="center"/>
      </w:pPr>
      <w:r>
        <w:t>тыс.</w:t>
      </w:r>
      <w:r>
        <w:t xml:space="preserve"> </w:t>
      </w:r>
      <w:r>
        <w:t>рублей</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794"/>
        <w:gridCol w:w="1843"/>
        <w:gridCol w:w="1984"/>
        <w:gridCol w:w="1949"/>
      </w:tblGrid>
      <w:tr>
        <w:tc>
          <w:tcPr>
            <w:tcW w:type="dxa" w:w="3794"/>
            <w:tcBorders>
              <w:top w:color="000000" w:sz="4" w:val="single"/>
              <w:left w:color="000000" w:sz="4" w:val="single"/>
              <w:bottom w:color="000000" w:sz="4" w:val="single"/>
              <w:right w:color="000000" w:sz="4" w:val="single"/>
            </w:tcBorders>
          </w:tcPr>
          <w:p w14:paraId="24000000">
            <w:pPr>
              <w:ind/>
              <w:jc w:val="both"/>
              <w:rPr>
                <w:color w:val="000000"/>
              </w:rPr>
            </w:pPr>
            <w:r>
              <w:rPr>
                <w:color w:val="000000"/>
              </w:rPr>
              <w:t>Показатели</w:t>
            </w:r>
          </w:p>
        </w:tc>
        <w:tc>
          <w:tcPr>
            <w:tcW w:type="dxa" w:w="1843"/>
            <w:tcBorders>
              <w:top w:color="000000" w:sz="4" w:val="single"/>
              <w:left w:color="000000" w:sz="4" w:val="single"/>
              <w:bottom w:color="000000" w:sz="4" w:val="single"/>
              <w:right w:color="000000" w:sz="4" w:val="single"/>
            </w:tcBorders>
          </w:tcPr>
          <w:p w14:paraId="25000000">
            <w:pPr>
              <w:ind/>
              <w:jc w:val="both"/>
              <w:rPr>
                <w:color w:val="000000"/>
              </w:rPr>
            </w:pPr>
            <w:r>
              <w:rPr>
                <w:color w:val="000000"/>
              </w:rPr>
              <w:t>Всего</w:t>
            </w:r>
          </w:p>
        </w:tc>
        <w:tc>
          <w:tcPr>
            <w:tcW w:type="dxa" w:w="1984"/>
            <w:tcBorders>
              <w:top w:color="000000" w:sz="4" w:val="single"/>
              <w:left w:color="000000" w:sz="4" w:val="single"/>
              <w:bottom w:color="000000" w:sz="4" w:val="single"/>
              <w:right w:color="000000" w:sz="4" w:val="single"/>
            </w:tcBorders>
          </w:tcPr>
          <w:p w14:paraId="26000000">
            <w:pPr>
              <w:ind/>
              <w:jc w:val="both"/>
              <w:rPr>
                <w:color w:val="000000"/>
              </w:rPr>
            </w:pPr>
            <w:r>
              <w:rPr>
                <w:color w:val="000000"/>
              </w:rPr>
              <w:t>Бюджет района</w:t>
            </w:r>
          </w:p>
        </w:tc>
        <w:tc>
          <w:tcPr>
            <w:tcW w:type="dxa" w:w="1949"/>
            <w:tcBorders>
              <w:top w:color="000000" w:sz="4" w:val="single"/>
              <w:left w:color="000000" w:sz="4" w:val="single"/>
              <w:bottom w:color="000000" w:sz="4" w:val="single"/>
              <w:right w:color="000000" w:sz="4" w:val="single"/>
            </w:tcBorders>
          </w:tcPr>
          <w:p w14:paraId="27000000">
            <w:pPr>
              <w:ind/>
              <w:jc w:val="both"/>
              <w:rPr>
                <w:color w:val="000000"/>
              </w:rPr>
            </w:pPr>
            <w:r>
              <w:rPr>
                <w:color w:val="000000"/>
              </w:rPr>
              <w:t>Бюджеты поселений</w:t>
            </w:r>
          </w:p>
        </w:tc>
      </w:tr>
      <w:tr>
        <w:tc>
          <w:tcPr>
            <w:tcW w:type="dxa" w:w="3794"/>
            <w:tcBorders>
              <w:top w:color="000000" w:sz="4" w:val="single"/>
              <w:left w:color="000000" w:sz="4" w:val="single"/>
              <w:bottom w:color="000000" w:sz="4" w:val="single"/>
              <w:right w:color="000000" w:sz="4" w:val="single"/>
            </w:tcBorders>
          </w:tcPr>
          <w:p w14:paraId="28000000">
            <w:pPr>
              <w:ind/>
              <w:jc w:val="both"/>
              <w:rPr>
                <w:color w:val="000000"/>
              </w:rPr>
            </w:pPr>
            <w:r>
              <w:rPr>
                <w:color w:val="000000"/>
              </w:rPr>
              <w:t>Количество мероприятий (контрольных и экспертно-аналитических) (ед.)</w:t>
            </w:r>
          </w:p>
        </w:tc>
        <w:tc>
          <w:tcPr>
            <w:tcW w:type="dxa" w:w="1843"/>
            <w:tcBorders>
              <w:top w:color="000000" w:sz="4" w:val="single"/>
              <w:left w:color="000000" w:sz="4" w:val="single"/>
              <w:bottom w:color="000000" w:sz="4" w:val="single"/>
              <w:right w:color="000000" w:sz="4" w:val="single"/>
            </w:tcBorders>
          </w:tcPr>
          <w:p w14:paraId="29000000">
            <w:pPr>
              <w:ind/>
              <w:jc w:val="both"/>
              <w:rPr>
                <w:color w:val="000000"/>
              </w:rPr>
            </w:pPr>
            <w:r>
              <w:rPr>
                <w:color w:val="000000"/>
              </w:rPr>
              <w:t>105</w:t>
            </w:r>
          </w:p>
        </w:tc>
        <w:tc>
          <w:tcPr>
            <w:tcW w:type="dxa" w:w="1984"/>
            <w:tcBorders>
              <w:top w:color="000000" w:sz="4" w:val="single"/>
              <w:left w:color="000000" w:sz="4" w:val="single"/>
              <w:bottom w:color="000000" w:sz="4" w:val="single"/>
              <w:right w:color="000000" w:sz="4" w:val="single"/>
            </w:tcBorders>
          </w:tcPr>
          <w:p w14:paraId="2A000000">
            <w:pPr>
              <w:ind/>
              <w:jc w:val="both"/>
              <w:rPr>
                <w:color w:val="000000"/>
              </w:rPr>
            </w:pPr>
            <w:r>
              <w:rPr>
                <w:color w:val="000000"/>
              </w:rPr>
              <w:t>15</w:t>
            </w:r>
          </w:p>
        </w:tc>
        <w:tc>
          <w:tcPr>
            <w:tcW w:type="dxa" w:w="1949"/>
            <w:tcBorders>
              <w:top w:color="000000" w:sz="4" w:val="single"/>
              <w:left w:color="000000" w:sz="4" w:val="single"/>
              <w:bottom w:color="000000" w:sz="4" w:val="single"/>
              <w:right w:color="000000" w:sz="4" w:val="single"/>
            </w:tcBorders>
          </w:tcPr>
          <w:p w14:paraId="2B000000">
            <w:pPr>
              <w:ind/>
              <w:jc w:val="both"/>
              <w:rPr>
                <w:color w:val="000000"/>
              </w:rPr>
            </w:pPr>
            <w:r>
              <w:rPr>
                <w:color w:val="000000"/>
              </w:rPr>
              <w:t>90</w:t>
            </w:r>
          </w:p>
        </w:tc>
      </w:tr>
      <w:tr>
        <w:tc>
          <w:tcPr>
            <w:tcW w:type="dxa" w:w="3794"/>
            <w:tcBorders>
              <w:top w:color="000000" w:sz="4" w:val="single"/>
              <w:left w:color="000000" w:sz="4" w:val="single"/>
              <w:bottom w:color="000000" w:sz="4" w:val="single"/>
              <w:right w:color="000000" w:sz="4" w:val="single"/>
            </w:tcBorders>
          </w:tcPr>
          <w:p w14:paraId="2C000000">
            <w:pPr>
              <w:ind/>
              <w:jc w:val="both"/>
              <w:rPr>
                <w:color w:val="000000"/>
              </w:rPr>
            </w:pPr>
            <w:r>
              <w:rPr>
                <w:color w:val="000000"/>
              </w:rPr>
              <w:t>Общий объем проверенных средств,  в т.ч.</w:t>
            </w:r>
          </w:p>
        </w:tc>
        <w:tc>
          <w:tcPr>
            <w:tcW w:type="dxa" w:w="1843"/>
            <w:tcBorders>
              <w:top w:color="000000" w:sz="4" w:val="single"/>
              <w:left w:color="000000" w:sz="4" w:val="single"/>
              <w:bottom w:color="000000" w:sz="4" w:val="single"/>
              <w:right w:color="000000" w:sz="4" w:val="single"/>
            </w:tcBorders>
          </w:tcPr>
          <w:p w14:paraId="2D000000">
            <w:pPr>
              <w:ind/>
              <w:jc w:val="both"/>
              <w:rPr>
                <w:color w:val="000000"/>
              </w:rPr>
            </w:pPr>
            <w:r>
              <w:rPr>
                <w:color w:val="000000"/>
              </w:rPr>
              <w:t>5 916 079,9</w:t>
            </w:r>
          </w:p>
        </w:tc>
        <w:tc>
          <w:tcPr>
            <w:tcW w:type="dxa" w:w="1984"/>
            <w:tcBorders>
              <w:top w:color="000000" w:sz="4" w:val="single"/>
              <w:left w:color="000000" w:sz="4" w:val="single"/>
              <w:bottom w:color="000000" w:sz="4" w:val="single"/>
              <w:right w:color="000000" w:sz="4" w:val="single"/>
            </w:tcBorders>
          </w:tcPr>
          <w:p w14:paraId="2E000000">
            <w:pPr>
              <w:ind/>
              <w:jc w:val="both"/>
              <w:rPr>
                <w:color w:val="000000"/>
              </w:rPr>
            </w:pPr>
            <w:r>
              <w:rPr>
                <w:color w:val="000000"/>
              </w:rPr>
              <w:t>3 705 964,4</w:t>
            </w:r>
          </w:p>
        </w:tc>
        <w:tc>
          <w:tcPr>
            <w:tcW w:type="dxa" w:w="1949"/>
            <w:tcBorders>
              <w:top w:color="000000" w:sz="4" w:val="single"/>
              <w:left w:color="000000" w:sz="4" w:val="single"/>
              <w:bottom w:color="000000" w:sz="4" w:val="single"/>
              <w:right w:color="000000" w:sz="4" w:val="single"/>
            </w:tcBorders>
          </w:tcPr>
          <w:p w14:paraId="2F000000">
            <w:pPr>
              <w:ind/>
              <w:jc w:val="both"/>
              <w:rPr>
                <w:color w:val="000000"/>
              </w:rPr>
            </w:pPr>
            <w:r>
              <w:rPr>
                <w:color w:val="000000"/>
              </w:rPr>
              <w:t>2 210 115,5</w:t>
            </w:r>
          </w:p>
        </w:tc>
      </w:tr>
      <w:tr>
        <w:tc>
          <w:tcPr>
            <w:tcW w:type="dxa" w:w="3794"/>
            <w:tcBorders>
              <w:top w:color="000000" w:sz="4" w:val="single"/>
              <w:left w:color="000000" w:sz="4" w:val="single"/>
              <w:bottom w:color="000000" w:sz="4" w:val="single"/>
              <w:right w:color="000000" w:sz="4" w:val="single"/>
            </w:tcBorders>
          </w:tcPr>
          <w:p w14:paraId="30000000">
            <w:pPr>
              <w:ind/>
              <w:jc w:val="both"/>
              <w:rPr>
                <w:color w:val="000000"/>
              </w:rPr>
            </w:pPr>
            <w:r>
              <w:rPr>
                <w:color w:val="000000"/>
              </w:rPr>
              <w:t>- проверено средств в ходе аудита закупок</w:t>
            </w:r>
          </w:p>
        </w:tc>
        <w:tc>
          <w:tcPr>
            <w:tcW w:type="dxa" w:w="1843"/>
            <w:tcBorders>
              <w:top w:color="000000" w:sz="4" w:val="single"/>
              <w:left w:color="000000" w:sz="4" w:val="single"/>
              <w:bottom w:color="000000" w:sz="4" w:val="single"/>
              <w:right w:color="000000" w:sz="4" w:val="single"/>
            </w:tcBorders>
          </w:tcPr>
          <w:p w14:paraId="31000000">
            <w:pPr>
              <w:ind/>
              <w:jc w:val="both"/>
              <w:rPr>
                <w:color w:val="000000"/>
              </w:rPr>
            </w:pPr>
            <w:r>
              <w:rPr>
                <w:color w:val="000000"/>
              </w:rPr>
              <w:t>37 300,2</w:t>
            </w:r>
          </w:p>
        </w:tc>
        <w:tc>
          <w:tcPr>
            <w:tcW w:type="dxa" w:w="1984"/>
            <w:tcBorders>
              <w:top w:color="000000" w:sz="4" w:val="single"/>
              <w:left w:color="000000" w:sz="4" w:val="single"/>
              <w:bottom w:color="000000" w:sz="4" w:val="single"/>
              <w:right w:color="000000" w:sz="4" w:val="single"/>
            </w:tcBorders>
          </w:tcPr>
          <w:p w14:paraId="32000000">
            <w:pPr>
              <w:ind/>
              <w:jc w:val="both"/>
              <w:rPr>
                <w:color w:val="000000"/>
              </w:rPr>
            </w:pPr>
            <w:r>
              <w:rPr>
                <w:color w:val="000000"/>
              </w:rPr>
              <w:t>3 205,3</w:t>
            </w:r>
          </w:p>
        </w:tc>
        <w:tc>
          <w:tcPr>
            <w:tcW w:type="dxa" w:w="1949"/>
            <w:tcBorders>
              <w:top w:color="000000" w:sz="4" w:val="single"/>
              <w:left w:color="000000" w:sz="4" w:val="single"/>
              <w:bottom w:color="000000" w:sz="4" w:val="single"/>
              <w:right w:color="000000" w:sz="4" w:val="single"/>
            </w:tcBorders>
          </w:tcPr>
          <w:p w14:paraId="33000000">
            <w:pPr>
              <w:ind/>
              <w:jc w:val="both"/>
              <w:rPr>
                <w:color w:val="000000"/>
              </w:rPr>
            </w:pPr>
            <w:r>
              <w:rPr>
                <w:color w:val="000000"/>
              </w:rPr>
              <w:t>34 09</w:t>
            </w:r>
            <w:r>
              <w:rPr>
                <w:color w:val="000000"/>
              </w:rPr>
              <w:t>4,9</w:t>
            </w:r>
          </w:p>
        </w:tc>
      </w:tr>
      <w:tr>
        <w:tc>
          <w:tcPr>
            <w:tcW w:type="dxa" w:w="3794"/>
            <w:tcBorders>
              <w:top w:color="000000" w:sz="4" w:val="single"/>
              <w:left w:color="000000" w:sz="4" w:val="single"/>
              <w:bottom w:color="000000" w:sz="4" w:val="single"/>
              <w:right w:color="000000" w:sz="4" w:val="single"/>
            </w:tcBorders>
          </w:tcPr>
          <w:p w14:paraId="34000000">
            <w:pPr>
              <w:ind/>
              <w:jc w:val="both"/>
              <w:rPr>
                <w:color w:val="000000"/>
              </w:rPr>
            </w:pPr>
            <w:r>
              <w:rPr>
                <w:color w:val="000000"/>
              </w:rPr>
              <w:t>Выявлено финансовых нарушений, в т.ч..</w:t>
            </w:r>
          </w:p>
          <w:p w14:paraId="35000000">
            <w:pPr>
              <w:ind/>
              <w:jc w:val="both"/>
              <w:rPr>
                <w:color w:val="000000"/>
              </w:rPr>
            </w:pPr>
          </w:p>
        </w:tc>
        <w:tc>
          <w:tcPr>
            <w:tcW w:type="dxa" w:w="1843"/>
            <w:tcBorders>
              <w:top w:color="000000" w:sz="4" w:val="single"/>
              <w:left w:color="000000" w:sz="4" w:val="single"/>
              <w:bottom w:color="000000" w:sz="4" w:val="single"/>
              <w:right w:color="000000" w:sz="4" w:val="single"/>
            </w:tcBorders>
            <w:shd w:fill="auto" w:val="clear"/>
          </w:tcPr>
          <w:p w14:paraId="36000000">
            <w:pPr>
              <w:ind/>
              <w:jc w:val="both"/>
              <w:rPr>
                <w:color w:val="000000"/>
              </w:rPr>
            </w:pPr>
            <w:r>
              <w:rPr>
                <w:color w:val="000000"/>
              </w:rPr>
              <w:t>471 832,0</w:t>
            </w:r>
          </w:p>
        </w:tc>
        <w:tc>
          <w:tcPr>
            <w:tcW w:type="dxa" w:w="1984"/>
            <w:tcBorders>
              <w:top w:color="000000" w:sz="4" w:val="single"/>
              <w:left w:color="000000" w:sz="4" w:val="single"/>
              <w:bottom w:color="000000" w:sz="4" w:val="single"/>
              <w:right w:color="000000" w:sz="4" w:val="single"/>
            </w:tcBorders>
            <w:shd w:fill="auto" w:val="clear"/>
          </w:tcPr>
          <w:p w14:paraId="37000000">
            <w:pPr>
              <w:ind/>
              <w:jc w:val="both"/>
              <w:rPr>
                <w:color w:val="000000"/>
              </w:rPr>
            </w:pPr>
            <w:r>
              <w:rPr>
                <w:color w:val="000000"/>
              </w:rPr>
              <w:t>369,7</w:t>
            </w:r>
          </w:p>
        </w:tc>
        <w:tc>
          <w:tcPr>
            <w:tcW w:type="dxa" w:w="1949"/>
            <w:tcBorders>
              <w:top w:color="000000" w:sz="4" w:val="single"/>
              <w:left w:color="000000" w:sz="4" w:val="single"/>
              <w:bottom w:color="000000" w:sz="4" w:val="single"/>
              <w:right w:color="000000" w:sz="4" w:val="single"/>
            </w:tcBorders>
            <w:shd w:fill="auto" w:val="clear"/>
          </w:tcPr>
          <w:p w14:paraId="38000000">
            <w:pPr>
              <w:ind/>
              <w:jc w:val="both"/>
              <w:rPr>
                <w:color w:val="000000"/>
              </w:rPr>
            </w:pPr>
            <w:r>
              <w:rPr>
                <w:color w:val="000000"/>
              </w:rPr>
              <w:t>471 462,3</w:t>
            </w:r>
          </w:p>
        </w:tc>
      </w:tr>
      <w:tr>
        <w:tc>
          <w:tcPr>
            <w:tcW w:type="dxa" w:w="3794"/>
            <w:tcBorders>
              <w:top w:color="000000" w:sz="4" w:val="single"/>
              <w:left w:color="000000" w:sz="4" w:val="single"/>
              <w:bottom w:color="000000" w:sz="4" w:val="single"/>
              <w:right w:color="000000" w:sz="4" w:val="single"/>
            </w:tcBorders>
          </w:tcPr>
          <w:p w14:paraId="39000000">
            <w:pPr>
              <w:ind/>
              <w:jc w:val="both"/>
              <w:rPr>
                <w:color w:val="000000"/>
              </w:rPr>
            </w:pPr>
            <w:r>
              <w:rPr>
                <w:color w:val="000000"/>
              </w:rPr>
              <w:t>-нарушение действующего законодательства, учета и отчетности</w:t>
            </w:r>
          </w:p>
        </w:tc>
        <w:tc>
          <w:tcPr>
            <w:tcW w:type="dxa" w:w="1843"/>
            <w:tcBorders>
              <w:top w:color="000000" w:sz="4" w:val="single"/>
              <w:left w:color="000000" w:sz="4" w:val="single"/>
              <w:bottom w:color="000000" w:sz="4" w:val="single"/>
              <w:right w:color="000000" w:sz="4" w:val="single"/>
            </w:tcBorders>
            <w:shd w:fill="auto" w:val="clear"/>
          </w:tcPr>
          <w:p w14:paraId="3A000000">
            <w:pPr>
              <w:ind/>
              <w:jc w:val="both"/>
              <w:rPr>
                <w:color w:val="000000"/>
              </w:rPr>
            </w:pPr>
            <w:r>
              <w:rPr>
                <w:color w:val="000000"/>
              </w:rPr>
              <w:t>471 544,9</w:t>
            </w:r>
          </w:p>
        </w:tc>
        <w:tc>
          <w:tcPr>
            <w:tcW w:type="dxa" w:w="1984"/>
            <w:tcBorders>
              <w:top w:color="000000" w:sz="4" w:val="single"/>
              <w:left w:color="000000" w:sz="4" w:val="single"/>
              <w:bottom w:color="000000" w:sz="4" w:val="single"/>
              <w:right w:color="000000" w:sz="4" w:val="single"/>
            </w:tcBorders>
            <w:shd w:fill="auto" w:val="clear"/>
          </w:tcPr>
          <w:p w14:paraId="3B000000">
            <w:pPr>
              <w:ind/>
              <w:jc w:val="both"/>
              <w:rPr>
                <w:color w:val="000000"/>
              </w:rPr>
            </w:pPr>
            <w:r>
              <w:rPr>
                <w:color w:val="000000"/>
              </w:rPr>
              <w:t>369,7</w:t>
            </w:r>
          </w:p>
        </w:tc>
        <w:tc>
          <w:tcPr>
            <w:tcW w:type="dxa" w:w="1949"/>
            <w:tcBorders>
              <w:top w:color="000000" w:sz="4" w:val="single"/>
              <w:left w:color="000000" w:sz="4" w:val="single"/>
              <w:bottom w:color="000000" w:sz="4" w:val="single"/>
              <w:right w:color="000000" w:sz="4" w:val="single"/>
            </w:tcBorders>
            <w:shd w:fill="auto" w:val="clear"/>
          </w:tcPr>
          <w:p w14:paraId="3C000000">
            <w:pPr>
              <w:ind/>
              <w:jc w:val="both"/>
              <w:rPr>
                <w:color w:val="000000"/>
              </w:rPr>
            </w:pPr>
            <w:r>
              <w:rPr>
                <w:color w:val="000000"/>
              </w:rPr>
              <w:t>471 175,2</w:t>
            </w:r>
          </w:p>
        </w:tc>
      </w:tr>
      <w:tr>
        <w:tc>
          <w:tcPr>
            <w:tcW w:type="dxa" w:w="3794"/>
            <w:tcBorders>
              <w:top w:color="000000" w:sz="4" w:val="single"/>
              <w:left w:color="000000" w:sz="4" w:val="single"/>
              <w:bottom w:color="000000" w:sz="4" w:val="single"/>
              <w:right w:color="000000" w:sz="4" w:val="single"/>
            </w:tcBorders>
          </w:tcPr>
          <w:p w14:paraId="3D000000">
            <w:pPr>
              <w:ind/>
              <w:jc w:val="both"/>
              <w:rPr>
                <w:color w:val="000000"/>
              </w:rPr>
            </w:pPr>
            <w:r>
              <w:rPr>
                <w:color w:val="000000"/>
              </w:rPr>
              <w:t>- нарушения, выявленные в ходе аудита в сфере закупок</w:t>
            </w:r>
          </w:p>
        </w:tc>
        <w:tc>
          <w:tcPr>
            <w:tcW w:type="dxa" w:w="1843"/>
            <w:tcBorders>
              <w:top w:color="000000" w:sz="4" w:val="single"/>
              <w:left w:color="000000" w:sz="4" w:val="single"/>
              <w:bottom w:color="000000" w:sz="4" w:val="single"/>
              <w:right w:color="000000" w:sz="4" w:val="single"/>
            </w:tcBorders>
            <w:shd w:fill="auto" w:val="clear"/>
          </w:tcPr>
          <w:p w14:paraId="3E000000">
            <w:pPr>
              <w:ind/>
              <w:jc w:val="both"/>
              <w:rPr>
                <w:color w:val="000000"/>
              </w:rPr>
            </w:pPr>
            <w:r>
              <w:rPr>
                <w:color w:val="000000"/>
              </w:rPr>
              <w:t>287,1</w:t>
            </w:r>
          </w:p>
        </w:tc>
        <w:tc>
          <w:tcPr>
            <w:tcW w:type="dxa" w:w="1984"/>
            <w:tcBorders>
              <w:top w:color="000000" w:sz="4" w:val="single"/>
              <w:left w:color="000000" w:sz="4" w:val="single"/>
              <w:bottom w:color="000000" w:sz="4" w:val="single"/>
              <w:right w:color="000000" w:sz="4" w:val="single"/>
            </w:tcBorders>
            <w:shd w:fill="auto" w:val="clear"/>
          </w:tcPr>
          <w:p w14:paraId="3F000000">
            <w:pPr>
              <w:ind/>
              <w:jc w:val="both"/>
              <w:rPr>
                <w:color w:val="000000"/>
              </w:rPr>
            </w:pPr>
            <w:r>
              <w:rPr>
                <w:color w:val="000000"/>
              </w:rPr>
              <w:t>-</w:t>
            </w:r>
          </w:p>
        </w:tc>
        <w:tc>
          <w:tcPr>
            <w:tcW w:type="dxa" w:w="1949"/>
            <w:tcBorders>
              <w:top w:color="000000" w:sz="4" w:val="single"/>
              <w:left w:color="000000" w:sz="4" w:val="single"/>
              <w:bottom w:color="000000" w:sz="4" w:val="single"/>
              <w:right w:color="000000" w:sz="4" w:val="single"/>
            </w:tcBorders>
            <w:shd w:fill="auto" w:val="clear"/>
          </w:tcPr>
          <w:p w14:paraId="40000000">
            <w:pPr>
              <w:ind/>
              <w:jc w:val="both"/>
              <w:rPr>
                <w:color w:val="000000"/>
              </w:rPr>
            </w:pPr>
            <w:r>
              <w:rPr>
                <w:color w:val="000000"/>
              </w:rPr>
              <w:t>287,1</w:t>
            </w:r>
          </w:p>
        </w:tc>
      </w:tr>
      <w:tr>
        <w:tc>
          <w:tcPr>
            <w:tcW w:type="dxa" w:w="3794"/>
            <w:tcBorders>
              <w:top w:color="000000" w:sz="4" w:val="single"/>
              <w:left w:color="000000" w:sz="4" w:val="single"/>
              <w:bottom w:color="000000" w:sz="4" w:val="single"/>
              <w:right w:color="000000" w:sz="4" w:val="single"/>
            </w:tcBorders>
          </w:tcPr>
          <w:p w14:paraId="41000000">
            <w:pPr>
              <w:ind/>
              <w:jc w:val="both"/>
              <w:rPr>
                <w:color w:val="000000"/>
              </w:rPr>
            </w:pPr>
            <w:r>
              <w:rPr>
                <w:color w:val="000000"/>
              </w:rPr>
              <w:t>-прочие</w:t>
            </w:r>
          </w:p>
        </w:tc>
        <w:tc>
          <w:tcPr>
            <w:tcW w:type="dxa" w:w="1843"/>
            <w:tcBorders>
              <w:top w:color="000000" w:sz="4" w:val="single"/>
              <w:left w:color="000000" w:sz="4" w:val="single"/>
              <w:bottom w:color="000000" w:sz="4" w:val="single"/>
              <w:right w:color="000000" w:sz="4" w:val="single"/>
            </w:tcBorders>
          </w:tcPr>
          <w:p w14:paraId="42000000">
            <w:pPr>
              <w:ind/>
              <w:jc w:val="both"/>
              <w:rPr>
                <w:color w:val="000000"/>
              </w:rPr>
            </w:pPr>
          </w:p>
        </w:tc>
        <w:tc>
          <w:tcPr>
            <w:tcW w:type="dxa" w:w="1984"/>
            <w:tcBorders>
              <w:top w:color="000000" w:sz="4" w:val="single"/>
              <w:left w:color="000000" w:sz="4" w:val="single"/>
              <w:bottom w:color="000000" w:sz="4" w:val="single"/>
              <w:right w:color="000000" w:sz="4" w:val="single"/>
            </w:tcBorders>
          </w:tcPr>
          <w:p w14:paraId="43000000">
            <w:pPr>
              <w:ind/>
              <w:jc w:val="both"/>
              <w:rPr>
                <w:color w:val="000000"/>
              </w:rPr>
            </w:pPr>
          </w:p>
        </w:tc>
        <w:tc>
          <w:tcPr>
            <w:tcW w:type="dxa" w:w="1949"/>
            <w:tcBorders>
              <w:top w:color="000000" w:sz="4" w:val="single"/>
              <w:left w:color="000000" w:sz="4" w:val="single"/>
              <w:bottom w:color="000000" w:sz="4" w:val="single"/>
              <w:right w:color="000000" w:sz="4" w:val="single"/>
            </w:tcBorders>
          </w:tcPr>
          <w:p w14:paraId="44000000">
            <w:pPr>
              <w:ind/>
              <w:jc w:val="both"/>
              <w:rPr>
                <w:color w:val="000000"/>
              </w:rPr>
            </w:pPr>
          </w:p>
        </w:tc>
      </w:tr>
      <w:tr>
        <w:tc>
          <w:tcPr>
            <w:tcW w:type="dxa" w:w="3794"/>
            <w:tcBorders>
              <w:top w:color="000000" w:sz="4" w:val="single"/>
              <w:left w:color="000000" w:sz="4" w:val="single"/>
              <w:bottom w:color="000000" w:sz="4" w:val="single"/>
              <w:right w:color="000000" w:sz="4" w:val="single"/>
            </w:tcBorders>
          </w:tcPr>
          <w:p w14:paraId="45000000">
            <w:pPr>
              <w:ind/>
              <w:jc w:val="both"/>
              <w:rPr>
                <w:color w:val="000000"/>
              </w:rPr>
            </w:pPr>
            <w:r>
              <w:rPr>
                <w:color w:val="000000"/>
              </w:rPr>
              <w:t>Сумма нарушений устраненных по результатам проверок</w:t>
            </w:r>
          </w:p>
        </w:tc>
        <w:tc>
          <w:tcPr>
            <w:tcW w:type="dxa" w:w="1843"/>
            <w:tcBorders>
              <w:top w:color="000000" w:sz="4" w:val="single"/>
              <w:left w:color="000000" w:sz="4" w:val="single"/>
              <w:bottom w:color="000000" w:sz="4" w:val="single"/>
              <w:right w:color="000000" w:sz="4" w:val="single"/>
            </w:tcBorders>
          </w:tcPr>
          <w:p w14:paraId="46000000">
            <w:pPr>
              <w:ind/>
              <w:jc w:val="both"/>
              <w:rPr>
                <w:color w:val="000000"/>
              </w:rPr>
            </w:pPr>
            <w:r>
              <w:rPr>
                <w:color w:val="000000"/>
              </w:rPr>
              <w:t>470 455,3</w:t>
            </w:r>
          </w:p>
        </w:tc>
        <w:tc>
          <w:tcPr>
            <w:tcW w:type="dxa" w:w="1984"/>
            <w:tcBorders>
              <w:top w:color="000000" w:sz="4" w:val="single"/>
              <w:left w:color="000000" w:sz="4" w:val="single"/>
              <w:bottom w:color="000000" w:sz="4" w:val="single"/>
              <w:right w:color="000000" w:sz="4" w:val="single"/>
            </w:tcBorders>
          </w:tcPr>
          <w:p w14:paraId="47000000">
            <w:pPr>
              <w:ind/>
              <w:jc w:val="both"/>
              <w:rPr>
                <w:color w:val="000000"/>
              </w:rPr>
            </w:pPr>
            <w:r>
              <w:rPr>
                <w:color w:val="000000"/>
              </w:rPr>
              <w:t>135,8</w:t>
            </w:r>
          </w:p>
        </w:tc>
        <w:tc>
          <w:tcPr>
            <w:tcW w:type="dxa" w:w="1949"/>
            <w:tcBorders>
              <w:top w:color="000000" w:sz="4" w:val="single"/>
              <w:left w:color="000000" w:sz="4" w:val="single"/>
              <w:bottom w:color="000000" w:sz="4" w:val="single"/>
              <w:right w:color="000000" w:sz="4" w:val="single"/>
            </w:tcBorders>
          </w:tcPr>
          <w:p w14:paraId="48000000">
            <w:pPr>
              <w:ind/>
              <w:jc w:val="both"/>
              <w:rPr>
                <w:color w:val="000000"/>
              </w:rPr>
            </w:pPr>
            <w:r>
              <w:rPr>
                <w:color w:val="000000"/>
              </w:rPr>
              <w:t>470 319,5</w:t>
            </w:r>
          </w:p>
        </w:tc>
      </w:tr>
    </w:tbl>
    <w:p w14:paraId="49000000">
      <w:pPr>
        <w:ind w:firstLine="709"/>
        <w:jc w:val="both"/>
        <w:rPr>
          <w:sz w:val="28"/>
        </w:rPr>
      </w:pPr>
      <w:r>
        <w:rPr>
          <w:sz w:val="28"/>
        </w:rPr>
        <w:t>В ходе выполнения плана в отчетном периоде проведено 105 мероприятий, в том числе 33 контрольных (17 контрольных плановых; 6 внеплановых: (4 по запросу прокуратуры, 2 по жалобе); 10 по внешней проверке годовых отчетов) и 72 экспертно-аналитических.</w:t>
      </w:r>
    </w:p>
    <w:p w14:paraId="4A000000">
      <w:pPr>
        <w:ind/>
        <w:jc w:val="both"/>
        <w:rPr>
          <w:sz w:val="28"/>
        </w:rPr>
      </w:pPr>
      <w:r>
        <w:rPr>
          <w:sz w:val="28"/>
        </w:rPr>
        <w:t xml:space="preserve">Общий объем средств, охваченный проверками (контрольными и экспертно-аналитическими) в 2025 году, составил </w:t>
      </w:r>
      <w:r>
        <w:rPr>
          <w:sz w:val="28"/>
        </w:rPr>
        <w:t>5 916 079,9</w:t>
      </w:r>
      <w:r>
        <w:rPr>
          <w:sz w:val="28"/>
        </w:rPr>
        <w:t xml:space="preserve"> тыс. рублей.</w:t>
      </w:r>
    </w:p>
    <w:p w14:paraId="4B000000">
      <w:pPr>
        <w:ind w:firstLine="709"/>
        <w:jc w:val="both"/>
        <w:rPr>
          <w:sz w:val="28"/>
        </w:rPr>
      </w:pPr>
      <w:r>
        <w:rPr>
          <w:sz w:val="28"/>
        </w:rPr>
        <w:t xml:space="preserve">Выявлены нарушения и недостатки на общую сумму 471 832,0 тыс. рублей, в том числе: </w:t>
      </w:r>
    </w:p>
    <w:p w14:paraId="4C000000">
      <w:pPr>
        <w:ind w:firstLine="709"/>
        <w:jc w:val="both"/>
        <w:rPr>
          <w:sz w:val="28"/>
        </w:rPr>
      </w:pPr>
      <w:r>
        <w:rPr>
          <w:sz w:val="28"/>
        </w:rPr>
        <w:t>-</w:t>
      </w:r>
      <w:r>
        <w:rPr>
          <w:rFonts w:ascii="Calibri" w:hAnsi="Calibri"/>
          <w:sz w:val="22"/>
        </w:rPr>
        <w:t xml:space="preserve"> </w:t>
      </w:r>
      <w:r>
        <w:rPr>
          <w:sz w:val="28"/>
        </w:rPr>
        <w:t xml:space="preserve">выявлено финансовых  нарушений, тыс. руб., всего 1315,5 тыс. рублей; </w:t>
      </w:r>
    </w:p>
    <w:p w14:paraId="4D000000">
      <w:pPr>
        <w:ind w:firstLine="709"/>
        <w:jc w:val="both"/>
        <w:rPr>
          <w:sz w:val="28"/>
        </w:rPr>
      </w:pPr>
      <w:r>
        <w:rPr>
          <w:sz w:val="28"/>
        </w:rPr>
        <w:t>- выявлено нарушений порядка ведения  бюджетного (бухгалтерского) учета, составления и предоставления бюджетной (бухгалтерской) отчетности 430072,6 тыс. рублей;</w:t>
      </w:r>
    </w:p>
    <w:p w14:paraId="4E000000">
      <w:pPr>
        <w:ind w:firstLine="709"/>
        <w:jc w:val="both"/>
        <w:rPr>
          <w:sz w:val="28"/>
          <w:highlight w:val="yellow"/>
        </w:rPr>
      </w:pPr>
      <w:r>
        <w:rPr>
          <w:sz w:val="28"/>
        </w:rPr>
        <w:t>- выявлено нарушением установленного порядка управления и распоряжения имуществом, неучтенное в Реестре муниципального имущества (в полном объеме и/или своевременно) 40156,8 тыс. рублей;</w:t>
      </w:r>
    </w:p>
    <w:p w14:paraId="4F000000">
      <w:pPr>
        <w:ind w:firstLine="709"/>
        <w:jc w:val="both"/>
        <w:rPr>
          <w:sz w:val="28"/>
        </w:rPr>
      </w:pPr>
      <w:r>
        <w:rPr>
          <w:sz w:val="28"/>
        </w:rPr>
        <w:t>- нарушение требований Федерального закона № 44-ФЗ «О контрактной системе в сфере закупок товаров, работ, услуг для обеспечения государственных и муниципальных нужд» (далее – Федеральный закон 44-ФЗ) на сумму 287,1 тыс. рублей.</w:t>
      </w:r>
    </w:p>
    <w:p w14:paraId="50000000">
      <w:pPr>
        <w:ind w:firstLine="709"/>
        <w:jc w:val="both"/>
        <w:rPr>
          <w:sz w:val="28"/>
        </w:rPr>
      </w:pPr>
      <w:r>
        <w:rPr>
          <w:sz w:val="28"/>
        </w:rPr>
        <w:t xml:space="preserve">Выявленные нарушения и недостатки отражены в актах Контрольно-счетной палаты по итогам контрольных мероприятий, которые направляются в органы местного самоуправления муниципального образования Кавказский район для принятия соответствующих решений и в Совет депутатов муниципального образования Кавказский район для сведения. </w:t>
      </w:r>
    </w:p>
    <w:p w14:paraId="51000000">
      <w:pPr>
        <w:ind w:firstLine="851"/>
        <w:jc w:val="both"/>
        <w:rPr>
          <w:sz w:val="28"/>
        </w:rPr>
      </w:pPr>
      <w:r>
        <w:rPr>
          <w:sz w:val="28"/>
        </w:rPr>
        <w:t>По итогам мероприятий внешнего муниц</w:t>
      </w:r>
      <w:r>
        <w:rPr>
          <w:sz w:val="28"/>
        </w:rPr>
        <w:t>ипального финансового контроля П</w:t>
      </w:r>
      <w:r>
        <w:rPr>
          <w:sz w:val="28"/>
        </w:rPr>
        <w:t xml:space="preserve">алатой разрабатываются предложения по устранению выявленных нарушений и недостатков. </w:t>
      </w:r>
    </w:p>
    <w:p w14:paraId="52000000">
      <w:pPr>
        <w:ind w:firstLine="709"/>
        <w:jc w:val="both"/>
        <w:rPr>
          <w:sz w:val="28"/>
        </w:rPr>
      </w:pPr>
      <w:r>
        <w:rPr>
          <w:sz w:val="28"/>
        </w:rPr>
        <w:t xml:space="preserve">За отчетный период для устранения установленных нарушений руководителям проверенных организаций (учреждений) направлено 10 Представлений. </w:t>
      </w:r>
    </w:p>
    <w:p w14:paraId="53000000">
      <w:pPr>
        <w:ind w:firstLine="709"/>
        <w:jc w:val="both"/>
        <w:rPr>
          <w:sz w:val="28"/>
        </w:rPr>
      </w:pPr>
      <w:r>
        <w:rPr>
          <w:sz w:val="28"/>
        </w:rPr>
        <w:t>Принятые КСП меры по итогам контрольных мероприятий способствовали устранению нарушений на сумму 470 455,3 тыс. рублей, в том числе:</w:t>
      </w:r>
    </w:p>
    <w:p w14:paraId="54000000">
      <w:pPr>
        <w:ind w:firstLine="709"/>
        <w:jc w:val="both"/>
        <w:rPr>
          <w:sz w:val="28"/>
        </w:rPr>
      </w:pPr>
      <w:r>
        <w:rPr>
          <w:sz w:val="28"/>
        </w:rPr>
        <w:t>- устранены нарушения порядка ведения  бюджетного (бухгалтерского) учета, составления и предоставления бюджетной (бухгалтерской) отчетности 430 072,6 тыс. рублей (Во II квартале 2025г. (ф.0503173) администрации привели в соответствие земельные участки и их кадастровую стоимость, находящихся в казне поселения и учитываемых на соответствующих счетах аналитического учета счета 0 108 55 000 «Непроизведенные активы, составляющие казну»);</w:t>
      </w:r>
    </w:p>
    <w:p w14:paraId="55000000">
      <w:pPr>
        <w:ind w:firstLine="709"/>
        <w:jc w:val="both"/>
        <w:rPr>
          <w:sz w:val="28"/>
          <w:highlight w:val="yellow"/>
        </w:rPr>
      </w:pPr>
      <w:r>
        <w:rPr>
          <w:sz w:val="28"/>
        </w:rPr>
        <w:t>- устранены нарушения установленного порядка управления и распоряжения имуществом, привели в соответствие земельные участки в  Реестре муниципального имущества на сумму 40 156,8 тыс. рублей;</w:t>
      </w:r>
    </w:p>
    <w:p w14:paraId="56000000">
      <w:pPr>
        <w:ind w:firstLine="709"/>
        <w:jc w:val="both"/>
        <w:rPr>
          <w:sz w:val="28"/>
        </w:rPr>
      </w:pPr>
      <w:r>
        <w:rPr>
          <w:sz w:val="28"/>
        </w:rPr>
        <w:t xml:space="preserve">- устранены нарушения трудового законодательства, сотрудникам произведена </w:t>
      </w:r>
      <w:r>
        <w:rPr>
          <w:color w:val="000000"/>
          <w:sz w:val="28"/>
        </w:rPr>
        <w:t>доплата по заработной плате в сумме 186,1 тыс. рублей;</w:t>
      </w:r>
    </w:p>
    <w:p w14:paraId="57000000">
      <w:pPr>
        <w:ind w:firstLine="709"/>
        <w:jc w:val="both"/>
        <w:rPr>
          <w:sz w:val="28"/>
        </w:rPr>
      </w:pPr>
      <w:r>
        <w:rPr>
          <w:sz w:val="28"/>
        </w:rPr>
        <w:t>- возмещено денежных средств в бюджет</w:t>
      </w:r>
      <w:r>
        <w:rPr>
          <w:sz w:val="28"/>
        </w:rPr>
        <w:t xml:space="preserve"> </w:t>
      </w:r>
      <w:r>
        <w:rPr>
          <w:sz w:val="28"/>
        </w:rPr>
        <w:t>39,8 тыс. рублей.</w:t>
      </w:r>
    </w:p>
    <w:p w14:paraId="58000000">
      <w:pPr>
        <w:ind w:firstLine="709"/>
        <w:jc w:val="both"/>
        <w:rPr>
          <w:sz w:val="28"/>
        </w:rPr>
      </w:pPr>
      <w:r>
        <w:rPr>
          <w:sz w:val="28"/>
        </w:rPr>
        <w:t>П</w:t>
      </w:r>
      <w:r>
        <w:rPr>
          <w:sz w:val="28"/>
        </w:rPr>
        <w:t>о представлениям, содержащих конкретные меры по устранению имеющихся нарушений</w:t>
      </w:r>
      <w:r>
        <w:rPr>
          <w:sz w:val="28"/>
        </w:rPr>
        <w:t>,</w:t>
      </w:r>
      <w:r>
        <w:rPr>
          <w:sz w:val="28"/>
        </w:rPr>
        <w:t xml:space="preserve"> </w:t>
      </w:r>
      <w:r>
        <w:rPr>
          <w:sz w:val="28"/>
        </w:rPr>
        <w:t>в</w:t>
      </w:r>
      <w:r>
        <w:rPr>
          <w:sz w:val="28"/>
        </w:rPr>
        <w:t>ынесен</w:t>
      </w:r>
      <w:r>
        <w:rPr>
          <w:sz w:val="28"/>
        </w:rPr>
        <w:t>ы</w:t>
      </w:r>
      <w:r>
        <w:rPr>
          <w:sz w:val="28"/>
        </w:rPr>
        <w:t xml:space="preserve"> предложени</w:t>
      </w:r>
      <w:r>
        <w:rPr>
          <w:sz w:val="28"/>
        </w:rPr>
        <w:t>я по их устранению</w:t>
      </w:r>
      <w:r>
        <w:rPr>
          <w:sz w:val="28"/>
        </w:rPr>
        <w:t>.</w:t>
      </w:r>
      <w:r>
        <w:rPr>
          <w:sz w:val="28"/>
        </w:rPr>
        <w:t xml:space="preserve"> По всем из них получены ответы, в которых, как правило, содержалась информация о выполнении предложений палаты либо о том, что работа по ним ведётся, но не завершена из-за необходимости длительного времени для их выполнения. Достоверность сведений, указанных в этих письмах, проверяется как при повторных плановых мероприятиях, так и в ходе специально проводимых для этого проверок. </w:t>
      </w:r>
      <w:r>
        <w:rPr>
          <w:sz w:val="28"/>
        </w:rPr>
        <w:t xml:space="preserve">По выявленным нарушениям (основание - контрольные мероприятия КСП), </w:t>
      </w:r>
      <w:r>
        <w:rPr>
          <w:sz w:val="28"/>
        </w:rPr>
        <w:t xml:space="preserve">предусмотренных кодеком административных правонарушений РФ, </w:t>
      </w:r>
      <w:r>
        <w:rPr>
          <w:color w:val="000000"/>
          <w:sz w:val="28"/>
        </w:rPr>
        <w:t>для составления протоколов об административном правонарушении материалы направлены:</w:t>
      </w:r>
    </w:p>
    <w:p w14:paraId="59000000">
      <w:pPr>
        <w:ind w:firstLine="709"/>
        <w:jc w:val="both"/>
        <w:rPr>
          <w:color w:val="000000"/>
          <w:sz w:val="28"/>
        </w:rPr>
      </w:pPr>
      <w:r>
        <w:rPr>
          <w:color w:val="000000"/>
          <w:sz w:val="28"/>
        </w:rPr>
        <w:t xml:space="preserve">- </w:t>
      </w:r>
      <w:r>
        <w:rPr>
          <w:color w:val="000000"/>
          <w:sz w:val="28"/>
        </w:rPr>
        <w:t xml:space="preserve">в Министерство экономики 2 материалов; </w:t>
      </w:r>
    </w:p>
    <w:p w14:paraId="5A000000">
      <w:pPr>
        <w:ind w:firstLine="709"/>
        <w:jc w:val="both"/>
        <w:rPr>
          <w:color w:val="000000"/>
          <w:sz w:val="28"/>
        </w:rPr>
      </w:pPr>
      <w:r>
        <w:rPr>
          <w:color w:val="000000"/>
          <w:sz w:val="28"/>
        </w:rPr>
        <w:t xml:space="preserve">- </w:t>
      </w:r>
      <w:r>
        <w:rPr>
          <w:color w:val="000000"/>
          <w:sz w:val="28"/>
        </w:rPr>
        <w:t>в Прокуратуру (трудовая инспекция) 2</w:t>
      </w:r>
      <w:r>
        <w:rPr>
          <w:color w:val="000000"/>
          <w:sz w:val="28"/>
        </w:rPr>
        <w:t xml:space="preserve"> материалов;</w:t>
      </w:r>
    </w:p>
    <w:p w14:paraId="5B000000">
      <w:pPr>
        <w:ind w:firstLine="709"/>
        <w:jc w:val="both"/>
        <w:rPr>
          <w:sz w:val="28"/>
        </w:rPr>
      </w:pPr>
      <w:r>
        <w:rPr>
          <w:sz w:val="28"/>
        </w:rPr>
        <w:t xml:space="preserve">- </w:t>
      </w:r>
      <w:r>
        <w:rPr>
          <w:sz w:val="28"/>
        </w:rPr>
        <w:t>в суды</w:t>
      </w:r>
      <w:r>
        <w:rPr>
          <w:sz w:val="28"/>
        </w:rPr>
        <w:t xml:space="preserve"> </w:t>
      </w:r>
      <w:r>
        <w:rPr>
          <w:sz w:val="28"/>
        </w:rPr>
        <w:t xml:space="preserve">КСП составлено и направлено </w:t>
      </w:r>
      <w:r>
        <w:rPr>
          <w:sz w:val="28"/>
        </w:rPr>
        <w:t>13 протоколов об административном правонарушении</w:t>
      </w:r>
      <w:r>
        <w:rPr>
          <w:sz w:val="28"/>
        </w:rPr>
        <w:t>.</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1"/>
        <w:gridCol w:w="2930"/>
        <w:gridCol w:w="2009"/>
        <w:gridCol w:w="2091"/>
        <w:gridCol w:w="1949"/>
      </w:tblGrid>
      <w:tr>
        <w:trPr>
          <w:trHeight w:hRule="atLeast" w:val="630"/>
        </w:trPr>
        <w:tc>
          <w:tcPr>
            <w:tcW w:type="dxa" w:w="591"/>
            <w:tcBorders>
              <w:top w:color="000000" w:sz="4" w:val="single"/>
              <w:left w:color="000000" w:sz="4" w:val="single"/>
              <w:bottom w:color="000000" w:sz="4" w:val="single"/>
              <w:right w:color="000000" w:sz="4" w:val="single"/>
            </w:tcBorders>
            <w:shd w:fill="auto" w:val="clear"/>
          </w:tcPr>
          <w:p w14:paraId="5C000000">
            <w:pPr>
              <w:tabs>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w:t>
            </w:r>
          </w:p>
        </w:tc>
        <w:tc>
          <w:tcPr>
            <w:tcW w:type="dxa" w:w="2930"/>
            <w:tcBorders>
              <w:top w:color="000000" w:sz="4" w:val="single"/>
              <w:left w:color="000000" w:sz="4" w:val="single"/>
              <w:bottom w:color="000000" w:sz="4" w:val="single"/>
              <w:right w:color="000000" w:sz="4" w:val="single"/>
            </w:tcBorders>
            <w:shd w:fill="auto" w:val="clear"/>
          </w:tcPr>
          <w:p w14:paraId="5D000000">
            <w:pPr>
              <w:tabs>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Наименование организации</w:t>
            </w:r>
          </w:p>
        </w:tc>
        <w:tc>
          <w:tcPr>
            <w:tcW w:type="dxa" w:w="2009"/>
            <w:tcBorders>
              <w:top w:color="000000" w:sz="4" w:val="single"/>
              <w:left w:color="000000" w:sz="4" w:val="single"/>
              <w:bottom w:color="000000" w:sz="4" w:val="single"/>
              <w:right w:color="000000" w:sz="4" w:val="single"/>
            </w:tcBorders>
            <w:shd w:fill="auto" w:val="clear"/>
          </w:tcPr>
          <w:p w14:paraId="5E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ст. по КоАП</w:t>
            </w:r>
          </w:p>
        </w:tc>
        <w:tc>
          <w:tcPr>
            <w:tcW w:type="dxa" w:w="2091"/>
            <w:tcBorders>
              <w:top w:color="000000" w:sz="4" w:val="single"/>
              <w:left w:color="000000" w:sz="4" w:val="single"/>
              <w:bottom w:color="000000" w:sz="4" w:val="single"/>
              <w:right w:color="000000" w:sz="4" w:val="single"/>
            </w:tcBorders>
            <w:shd w:fill="auto" w:val="clear"/>
          </w:tcPr>
          <w:p w14:paraId="5F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Мера наказания</w:t>
            </w:r>
          </w:p>
        </w:tc>
        <w:tc>
          <w:tcPr>
            <w:tcW w:type="dxa" w:w="1949"/>
            <w:tcBorders>
              <w:top w:color="000000" w:sz="4" w:val="single"/>
              <w:left w:color="000000" w:sz="4" w:val="single"/>
              <w:bottom w:color="000000" w:sz="4" w:val="single"/>
              <w:right w:color="000000" w:sz="4" w:val="single"/>
            </w:tcBorders>
          </w:tcPr>
          <w:p w14:paraId="60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Оплачено</w:t>
            </w:r>
          </w:p>
        </w:tc>
      </w:tr>
      <w:tr>
        <w:trPr>
          <w:trHeight w:hRule="atLeast" w:val="481"/>
        </w:trPr>
        <w:tc>
          <w:tcPr>
            <w:tcW w:type="dxa" w:w="7621"/>
            <w:gridSpan w:val="4"/>
            <w:tcBorders>
              <w:top w:color="000000" w:sz="4" w:val="single"/>
              <w:left w:color="000000" w:sz="4" w:val="single"/>
              <w:bottom w:color="000000" w:sz="4" w:val="single"/>
              <w:right w:color="000000" w:sz="4" w:val="single"/>
            </w:tcBorders>
            <w:shd w:fill="auto" w:val="clear"/>
          </w:tcPr>
          <w:p w14:paraId="61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center"/>
              <w:rPr>
                <w:color w:val="000000"/>
                <w:highlight w:val="white"/>
              </w:rPr>
            </w:pPr>
            <w:r>
              <w:rPr>
                <w:color w:val="000000"/>
                <w:highlight w:val="white"/>
              </w:rPr>
              <w:t>Суды</w:t>
            </w:r>
          </w:p>
        </w:tc>
        <w:tc>
          <w:tcPr>
            <w:tcW w:type="dxa" w:w="1949"/>
            <w:tcBorders>
              <w:top w:color="000000" w:sz="4" w:val="single"/>
              <w:left w:color="000000" w:sz="4" w:val="single"/>
              <w:bottom w:color="000000" w:sz="4" w:val="single"/>
              <w:right w:color="000000" w:sz="4" w:val="single"/>
            </w:tcBorders>
          </w:tcPr>
          <w:p w14:paraId="62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center"/>
              <w:rPr>
                <w:color w:val="000000"/>
                <w:highlight w:val="white"/>
              </w:rPr>
            </w:pPr>
          </w:p>
        </w:tc>
      </w:tr>
      <w:tr>
        <w:trPr>
          <w:trHeight w:hRule="atLeast" w:val="1239"/>
        </w:trPr>
        <w:tc>
          <w:tcPr>
            <w:tcW w:type="dxa" w:w="591"/>
            <w:tcBorders>
              <w:top w:color="000000" w:sz="4" w:val="single"/>
              <w:left w:color="000000" w:sz="4" w:val="single"/>
              <w:bottom w:color="000000" w:sz="4" w:val="single"/>
              <w:right w:color="000000" w:sz="4" w:val="single"/>
            </w:tcBorders>
            <w:shd w:fill="auto" w:val="clear"/>
          </w:tcPr>
          <w:p w14:paraId="63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1</w:t>
            </w:r>
          </w:p>
        </w:tc>
        <w:tc>
          <w:tcPr>
            <w:tcW w:type="dxa" w:w="2930"/>
            <w:tcBorders>
              <w:top w:color="000000" w:sz="4" w:val="single"/>
              <w:left w:color="000000" w:sz="4" w:val="single"/>
              <w:bottom w:color="000000" w:sz="4" w:val="single"/>
              <w:right w:color="000000" w:sz="4" w:val="single"/>
            </w:tcBorders>
            <w:shd w:fill="auto" w:val="clear"/>
          </w:tcPr>
          <w:p w14:paraId="64000000">
            <w:pPr>
              <w:spacing w:after="200" w:line="276" w:lineRule="auto"/>
              <w:ind/>
              <w:rPr>
                <w:color w:val="000000"/>
              </w:rPr>
            </w:pPr>
            <w:r>
              <w:rPr>
                <w:color w:val="000000"/>
              </w:rPr>
              <w:t xml:space="preserve">Администрация Темижбекского сельского поселения Кавказского </w:t>
            </w:r>
            <w:r>
              <w:rPr>
                <w:color w:val="000000"/>
              </w:rPr>
              <w:t>р.</w:t>
            </w:r>
          </w:p>
        </w:tc>
        <w:tc>
          <w:tcPr>
            <w:tcW w:type="dxa" w:w="2009"/>
            <w:tcBorders>
              <w:top w:color="000000" w:sz="4" w:val="single"/>
              <w:left w:color="000000" w:sz="4" w:val="single"/>
              <w:bottom w:color="000000" w:sz="4" w:val="single"/>
              <w:right w:color="000000" w:sz="4" w:val="single"/>
            </w:tcBorders>
            <w:shd w:fill="auto" w:val="clear"/>
          </w:tcPr>
          <w:p w14:paraId="65000000">
            <w:pPr>
              <w:spacing w:after="200" w:line="276" w:lineRule="auto"/>
              <w:ind/>
              <w:rPr>
                <w:color w:val="000000"/>
              </w:rPr>
            </w:pPr>
            <w:r>
              <w:rPr>
                <w:color w:val="000000"/>
              </w:rPr>
              <w:t>часть 1 статьи</w:t>
            </w:r>
            <w:r>
              <w:rPr>
                <w:color w:val="000000"/>
              </w:rPr>
              <w:t xml:space="preserve"> 15.15.5</w:t>
            </w:r>
          </w:p>
        </w:tc>
        <w:tc>
          <w:tcPr>
            <w:tcW w:type="dxa" w:w="2091"/>
            <w:tcBorders>
              <w:top w:color="000000" w:sz="4" w:val="single"/>
              <w:left w:color="000000" w:sz="4" w:val="single"/>
              <w:bottom w:color="000000" w:sz="4" w:val="single"/>
              <w:right w:color="000000" w:sz="4" w:val="single"/>
            </w:tcBorders>
            <w:shd w:fill="auto" w:val="clear"/>
          </w:tcPr>
          <w:p w14:paraId="66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10 000,0</w:t>
            </w:r>
          </w:p>
        </w:tc>
        <w:tc>
          <w:tcPr>
            <w:tcW w:type="dxa" w:w="1949"/>
            <w:tcBorders>
              <w:top w:color="000000" w:sz="4" w:val="single"/>
              <w:left w:color="000000" w:sz="4" w:val="single"/>
              <w:bottom w:color="000000" w:sz="4" w:val="single"/>
              <w:right w:color="000000" w:sz="4" w:val="single"/>
            </w:tcBorders>
          </w:tcPr>
          <w:p w14:paraId="67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10000,0</w:t>
            </w:r>
          </w:p>
        </w:tc>
      </w:tr>
      <w:tr>
        <w:trPr>
          <w:trHeight w:hRule="atLeast" w:val="892"/>
        </w:trPr>
        <w:tc>
          <w:tcPr>
            <w:tcW w:type="dxa" w:w="591"/>
            <w:tcBorders>
              <w:top w:color="000000" w:sz="4" w:val="single"/>
              <w:left w:color="000000" w:sz="4" w:val="single"/>
              <w:bottom w:color="000000" w:sz="4" w:val="single"/>
              <w:right w:color="000000" w:sz="4" w:val="single"/>
            </w:tcBorders>
            <w:shd w:fill="auto" w:val="clear"/>
          </w:tcPr>
          <w:p w14:paraId="68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2</w:t>
            </w:r>
          </w:p>
        </w:tc>
        <w:tc>
          <w:tcPr>
            <w:tcW w:type="dxa" w:w="2930"/>
            <w:tcBorders>
              <w:top w:color="000000" w:sz="4" w:val="single"/>
              <w:left w:color="000000" w:sz="4" w:val="single"/>
              <w:bottom w:color="000000" w:sz="4" w:val="single"/>
              <w:right w:color="000000" w:sz="4" w:val="single"/>
            </w:tcBorders>
            <w:shd w:fill="auto" w:val="clear"/>
          </w:tcPr>
          <w:p w14:paraId="69000000">
            <w:pPr>
              <w:spacing w:after="200" w:line="276" w:lineRule="auto"/>
              <w:ind/>
              <w:rPr>
                <w:color w:val="000000"/>
              </w:rPr>
            </w:pPr>
            <w:r>
              <w:rPr>
                <w:color w:val="000000"/>
              </w:rPr>
              <w:t>МАУ МТРК Кропоткин»</w:t>
            </w:r>
          </w:p>
        </w:tc>
        <w:tc>
          <w:tcPr>
            <w:tcW w:type="dxa" w:w="2009"/>
            <w:tcBorders>
              <w:top w:color="000000" w:sz="4" w:val="single"/>
              <w:left w:color="000000" w:sz="4" w:val="single"/>
              <w:bottom w:color="000000" w:sz="4" w:val="single"/>
              <w:right w:color="000000" w:sz="4" w:val="single"/>
            </w:tcBorders>
            <w:shd w:fill="auto" w:val="clear"/>
          </w:tcPr>
          <w:p w14:paraId="6A000000">
            <w:pPr>
              <w:spacing w:after="200" w:line="276" w:lineRule="auto"/>
              <w:ind/>
              <w:rPr>
                <w:color w:val="000000"/>
              </w:rPr>
            </w:pPr>
            <w:r>
              <w:rPr>
                <w:color w:val="000000"/>
              </w:rPr>
              <w:t>Часть 20 статьи 19.5</w:t>
            </w:r>
          </w:p>
        </w:tc>
        <w:tc>
          <w:tcPr>
            <w:tcW w:type="dxa" w:w="2091"/>
            <w:tcBorders>
              <w:top w:color="000000" w:sz="4" w:val="single"/>
              <w:left w:color="000000" w:sz="4" w:val="single"/>
              <w:bottom w:color="000000" w:sz="4" w:val="single"/>
              <w:right w:color="000000" w:sz="4" w:val="single"/>
            </w:tcBorders>
            <w:shd w:fill="auto" w:val="clear"/>
          </w:tcPr>
          <w:p w14:paraId="6B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20 000,0</w:t>
            </w:r>
          </w:p>
        </w:tc>
        <w:tc>
          <w:tcPr>
            <w:tcW w:type="dxa" w:w="1949"/>
            <w:tcBorders>
              <w:top w:color="000000" w:sz="4" w:val="single"/>
              <w:left w:color="000000" w:sz="4" w:val="single"/>
              <w:bottom w:color="000000" w:sz="4" w:val="single"/>
              <w:right w:color="000000" w:sz="4" w:val="single"/>
            </w:tcBorders>
          </w:tcPr>
          <w:p w14:paraId="6C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20000,0</w:t>
            </w:r>
          </w:p>
        </w:tc>
      </w:tr>
      <w:tr>
        <w:trPr>
          <w:trHeight w:hRule="atLeast" w:val="1272"/>
        </w:trPr>
        <w:tc>
          <w:tcPr>
            <w:tcW w:type="dxa" w:w="591"/>
            <w:tcBorders>
              <w:top w:color="000000" w:sz="4" w:val="single"/>
              <w:left w:color="000000" w:sz="4" w:val="single"/>
              <w:bottom w:color="000000" w:sz="4" w:val="single"/>
              <w:right w:color="000000" w:sz="4" w:val="single"/>
            </w:tcBorders>
            <w:shd w:fill="auto" w:val="clear"/>
          </w:tcPr>
          <w:p w14:paraId="6D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3</w:t>
            </w:r>
          </w:p>
        </w:tc>
        <w:tc>
          <w:tcPr>
            <w:tcW w:type="dxa" w:w="2930"/>
            <w:tcBorders>
              <w:top w:color="000000" w:sz="4" w:val="single"/>
              <w:left w:color="000000" w:sz="4" w:val="single"/>
              <w:bottom w:color="000000" w:sz="4" w:val="single"/>
              <w:right w:color="000000" w:sz="4" w:val="single"/>
            </w:tcBorders>
            <w:shd w:fill="auto" w:val="clear"/>
          </w:tcPr>
          <w:p w14:paraId="6E000000">
            <w:pPr>
              <w:spacing w:after="200" w:line="276" w:lineRule="auto"/>
              <w:ind/>
              <w:rPr>
                <w:color w:val="000000"/>
              </w:rPr>
            </w:pPr>
            <w:r>
              <w:rPr>
                <w:color w:val="000000"/>
              </w:rPr>
              <w:t xml:space="preserve">Администрация Лосевского сельского поселения Кавказского </w:t>
            </w:r>
            <w:r>
              <w:rPr>
                <w:color w:val="000000"/>
              </w:rPr>
              <w:t>р.</w:t>
            </w:r>
          </w:p>
        </w:tc>
        <w:tc>
          <w:tcPr>
            <w:tcW w:type="dxa" w:w="2009"/>
            <w:tcBorders>
              <w:top w:color="000000" w:sz="4" w:val="single"/>
              <w:left w:color="000000" w:sz="4" w:val="single"/>
              <w:bottom w:color="000000" w:sz="4" w:val="single"/>
              <w:right w:color="000000" w:sz="4" w:val="single"/>
            </w:tcBorders>
            <w:shd w:fill="auto" w:val="clear"/>
          </w:tcPr>
          <w:p w14:paraId="6F000000">
            <w:pPr>
              <w:spacing w:after="200" w:line="276" w:lineRule="auto"/>
              <w:ind/>
              <w:rPr>
                <w:color w:val="000000"/>
              </w:rPr>
            </w:pPr>
            <w:r>
              <w:rPr>
                <w:color w:val="000000"/>
              </w:rPr>
              <w:t xml:space="preserve">часть 1 статьи 15.15.5. </w:t>
            </w:r>
          </w:p>
        </w:tc>
        <w:tc>
          <w:tcPr>
            <w:tcW w:type="dxa" w:w="2091"/>
            <w:tcBorders>
              <w:top w:color="000000" w:sz="4" w:val="single"/>
              <w:left w:color="000000" w:sz="4" w:val="single"/>
              <w:bottom w:color="000000" w:sz="4" w:val="single"/>
              <w:right w:color="000000" w:sz="4" w:val="single"/>
            </w:tcBorders>
            <w:shd w:fill="auto" w:val="clear"/>
          </w:tcPr>
          <w:p w14:paraId="70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Предупреждение</w:t>
            </w:r>
          </w:p>
        </w:tc>
        <w:tc>
          <w:tcPr>
            <w:tcW w:type="dxa" w:w="1949"/>
            <w:tcBorders>
              <w:top w:color="000000" w:sz="4" w:val="single"/>
              <w:left w:color="000000" w:sz="4" w:val="single"/>
              <w:bottom w:color="000000" w:sz="4" w:val="single"/>
              <w:right w:color="000000" w:sz="4" w:val="single"/>
            </w:tcBorders>
          </w:tcPr>
          <w:p w14:paraId="71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w:t>
            </w:r>
          </w:p>
        </w:tc>
      </w:tr>
      <w:tr>
        <w:trPr>
          <w:trHeight w:hRule="atLeast" w:val="1113"/>
        </w:trPr>
        <w:tc>
          <w:tcPr>
            <w:tcW w:type="dxa" w:w="591"/>
            <w:tcBorders>
              <w:top w:color="000000" w:sz="4" w:val="single"/>
              <w:left w:color="000000" w:sz="4" w:val="single"/>
              <w:bottom w:color="000000" w:sz="4" w:val="single"/>
              <w:right w:color="000000" w:sz="4" w:val="single"/>
            </w:tcBorders>
            <w:shd w:fill="auto" w:val="clear"/>
          </w:tcPr>
          <w:p w14:paraId="72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4</w:t>
            </w:r>
          </w:p>
        </w:tc>
        <w:tc>
          <w:tcPr>
            <w:tcW w:type="dxa" w:w="2930"/>
            <w:tcBorders>
              <w:top w:color="000000" w:sz="4" w:val="single"/>
              <w:left w:color="000000" w:sz="4" w:val="single"/>
              <w:bottom w:color="000000" w:sz="4" w:val="single"/>
              <w:right w:color="000000" w:sz="4" w:val="single"/>
            </w:tcBorders>
            <w:shd w:fill="auto" w:val="clear"/>
          </w:tcPr>
          <w:p w14:paraId="73000000">
            <w:pPr>
              <w:spacing w:after="200" w:line="276" w:lineRule="auto"/>
              <w:ind/>
              <w:rPr>
                <w:color w:val="000000"/>
              </w:rPr>
            </w:pPr>
            <w:r>
              <w:rPr>
                <w:color w:val="000000"/>
              </w:rPr>
              <w:t xml:space="preserve">Администрация Дмитриевского сельского поселения Кавказского </w:t>
            </w:r>
            <w:r>
              <w:rPr>
                <w:color w:val="000000"/>
              </w:rPr>
              <w:t>р.</w:t>
            </w:r>
          </w:p>
        </w:tc>
        <w:tc>
          <w:tcPr>
            <w:tcW w:type="dxa" w:w="2009"/>
            <w:tcBorders>
              <w:top w:color="000000" w:sz="4" w:val="single"/>
              <w:left w:color="000000" w:sz="4" w:val="single"/>
              <w:bottom w:color="000000" w:sz="4" w:val="single"/>
              <w:right w:color="000000" w:sz="4" w:val="single"/>
            </w:tcBorders>
            <w:shd w:fill="auto" w:val="clear"/>
          </w:tcPr>
          <w:p w14:paraId="74000000">
            <w:pPr>
              <w:spacing w:after="200" w:line="276" w:lineRule="auto"/>
              <w:ind/>
              <w:rPr>
                <w:color w:val="000000"/>
              </w:rPr>
            </w:pPr>
            <w:r>
              <w:rPr>
                <w:color w:val="000000"/>
              </w:rPr>
              <w:t xml:space="preserve">часть 2 статьи 15.15.6. </w:t>
            </w:r>
          </w:p>
        </w:tc>
        <w:tc>
          <w:tcPr>
            <w:tcW w:type="dxa" w:w="2091"/>
            <w:tcBorders>
              <w:top w:color="000000" w:sz="4" w:val="single"/>
              <w:left w:color="000000" w:sz="4" w:val="single"/>
              <w:bottom w:color="000000" w:sz="4" w:val="single"/>
              <w:right w:color="000000" w:sz="4" w:val="single"/>
            </w:tcBorders>
            <w:shd w:fill="auto" w:val="clear"/>
          </w:tcPr>
          <w:p w14:paraId="75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Предупреждение</w:t>
            </w:r>
          </w:p>
        </w:tc>
        <w:tc>
          <w:tcPr>
            <w:tcW w:type="dxa" w:w="1949"/>
            <w:tcBorders>
              <w:top w:color="000000" w:sz="4" w:val="single"/>
              <w:left w:color="000000" w:sz="4" w:val="single"/>
              <w:bottom w:color="000000" w:sz="4" w:val="single"/>
              <w:right w:color="000000" w:sz="4" w:val="single"/>
            </w:tcBorders>
          </w:tcPr>
          <w:p w14:paraId="76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w:t>
            </w:r>
          </w:p>
        </w:tc>
      </w:tr>
      <w:tr>
        <w:trPr>
          <w:trHeight w:hRule="atLeast" w:val="861"/>
        </w:trPr>
        <w:tc>
          <w:tcPr>
            <w:tcW w:type="dxa" w:w="591"/>
            <w:tcBorders>
              <w:top w:color="000000" w:sz="4" w:val="single"/>
              <w:left w:color="000000" w:sz="4" w:val="single"/>
              <w:bottom w:color="000000" w:sz="4" w:val="single"/>
              <w:right w:color="000000" w:sz="4" w:val="single"/>
            </w:tcBorders>
            <w:shd w:fill="auto" w:val="clear"/>
          </w:tcPr>
          <w:p w14:paraId="77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5</w:t>
            </w:r>
          </w:p>
        </w:tc>
        <w:tc>
          <w:tcPr>
            <w:tcW w:type="dxa" w:w="2930"/>
            <w:tcBorders>
              <w:top w:color="000000" w:sz="4" w:val="single"/>
              <w:left w:color="000000" w:sz="4" w:val="single"/>
              <w:bottom w:color="000000" w:sz="4" w:val="single"/>
              <w:right w:color="000000" w:sz="4" w:val="single"/>
            </w:tcBorders>
            <w:shd w:fill="auto" w:val="clear"/>
          </w:tcPr>
          <w:p w14:paraId="78000000">
            <w:pPr>
              <w:spacing w:after="200" w:line="276" w:lineRule="auto"/>
              <w:ind/>
              <w:rPr>
                <w:color w:val="000000"/>
              </w:rPr>
            </w:pPr>
            <w:r>
              <w:rPr>
                <w:color w:val="000000"/>
              </w:rPr>
              <w:t>Отдел по физической культуре и спорту</w:t>
            </w:r>
          </w:p>
        </w:tc>
        <w:tc>
          <w:tcPr>
            <w:tcW w:type="dxa" w:w="2009"/>
            <w:tcBorders>
              <w:top w:color="000000" w:sz="4" w:val="single"/>
              <w:left w:color="000000" w:sz="4" w:val="single"/>
              <w:bottom w:color="000000" w:sz="4" w:val="single"/>
              <w:right w:color="000000" w:sz="4" w:val="single"/>
            </w:tcBorders>
            <w:shd w:fill="auto" w:val="clear"/>
          </w:tcPr>
          <w:p w14:paraId="79000000">
            <w:pPr>
              <w:spacing w:after="200" w:line="276" w:lineRule="auto"/>
              <w:ind/>
              <w:rPr>
                <w:color w:val="000000"/>
              </w:rPr>
            </w:pPr>
            <w:r>
              <w:rPr>
                <w:color w:val="000000"/>
              </w:rPr>
              <w:t>часть 1 статьи 15.15.5.</w:t>
            </w:r>
          </w:p>
        </w:tc>
        <w:tc>
          <w:tcPr>
            <w:tcW w:type="dxa" w:w="2091"/>
            <w:tcBorders>
              <w:top w:color="000000" w:sz="4" w:val="single"/>
              <w:left w:color="000000" w:sz="4" w:val="single"/>
              <w:bottom w:color="000000" w:sz="4" w:val="single"/>
              <w:right w:color="000000" w:sz="4" w:val="single"/>
            </w:tcBorders>
            <w:shd w:fill="auto" w:val="clear"/>
          </w:tcPr>
          <w:p w14:paraId="7A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10 000,0</w:t>
            </w:r>
          </w:p>
        </w:tc>
        <w:tc>
          <w:tcPr>
            <w:tcW w:type="dxa" w:w="1949"/>
            <w:tcBorders>
              <w:top w:color="000000" w:sz="4" w:val="single"/>
              <w:left w:color="000000" w:sz="4" w:val="single"/>
              <w:bottom w:color="000000" w:sz="4" w:val="single"/>
              <w:right w:color="000000" w:sz="4" w:val="single"/>
            </w:tcBorders>
          </w:tcPr>
          <w:p w14:paraId="7B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10000,0</w:t>
            </w:r>
          </w:p>
        </w:tc>
      </w:tr>
      <w:tr>
        <w:trPr>
          <w:trHeight w:hRule="atLeast" w:val="370"/>
        </w:trPr>
        <w:tc>
          <w:tcPr>
            <w:tcW w:type="dxa" w:w="591"/>
            <w:tcBorders>
              <w:top w:color="000000" w:sz="4" w:val="single"/>
              <w:left w:color="000000" w:sz="4" w:val="single"/>
              <w:bottom w:color="000000" w:sz="4" w:val="single"/>
              <w:right w:color="000000" w:sz="4" w:val="single"/>
            </w:tcBorders>
            <w:shd w:fill="auto" w:val="clear"/>
          </w:tcPr>
          <w:p w14:paraId="7C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6</w:t>
            </w:r>
          </w:p>
        </w:tc>
        <w:tc>
          <w:tcPr>
            <w:tcW w:type="dxa" w:w="2930"/>
            <w:tcBorders>
              <w:top w:color="000000" w:sz="4" w:val="single"/>
              <w:left w:color="000000" w:sz="4" w:val="single"/>
              <w:bottom w:color="000000" w:sz="4" w:val="single"/>
              <w:right w:color="000000" w:sz="4" w:val="single"/>
            </w:tcBorders>
            <w:shd w:fill="auto" w:val="clear"/>
          </w:tcPr>
          <w:p w14:paraId="7D000000">
            <w:pPr>
              <w:spacing w:after="200" w:line="276" w:lineRule="auto"/>
              <w:ind/>
              <w:rPr>
                <w:color w:val="000000"/>
              </w:rPr>
            </w:pPr>
            <w:r>
              <w:rPr>
                <w:color w:val="000000"/>
              </w:rPr>
              <w:t xml:space="preserve">Администрация Темижбекского сельского поселения Кавказского </w:t>
            </w:r>
            <w:r>
              <w:rPr>
                <w:color w:val="000000"/>
              </w:rPr>
              <w:t>р.</w:t>
            </w:r>
          </w:p>
        </w:tc>
        <w:tc>
          <w:tcPr>
            <w:tcW w:type="dxa" w:w="2009"/>
            <w:tcBorders>
              <w:top w:color="000000" w:sz="4" w:val="single"/>
              <w:left w:color="000000" w:sz="4" w:val="single"/>
              <w:bottom w:color="000000" w:sz="4" w:val="single"/>
              <w:right w:color="000000" w:sz="4" w:val="single"/>
            </w:tcBorders>
            <w:shd w:fill="auto" w:val="clear"/>
          </w:tcPr>
          <w:p w14:paraId="7E000000">
            <w:pPr>
              <w:spacing w:after="200" w:line="276" w:lineRule="auto"/>
              <w:ind/>
              <w:rPr>
                <w:color w:val="000000"/>
              </w:rPr>
            </w:pPr>
            <w:r>
              <w:rPr>
                <w:color w:val="000000"/>
              </w:rPr>
              <w:t>часть 2 статьи 15.15.6</w:t>
            </w:r>
          </w:p>
        </w:tc>
        <w:tc>
          <w:tcPr>
            <w:tcW w:type="dxa" w:w="2091"/>
            <w:tcBorders>
              <w:top w:color="000000" w:sz="4" w:val="single"/>
              <w:left w:color="000000" w:sz="4" w:val="single"/>
              <w:bottom w:color="000000" w:sz="4" w:val="single"/>
              <w:right w:color="000000" w:sz="4" w:val="single"/>
            </w:tcBorders>
            <w:shd w:fill="auto" w:val="clear"/>
          </w:tcPr>
          <w:p w14:paraId="7F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Предупреждение</w:t>
            </w:r>
          </w:p>
        </w:tc>
        <w:tc>
          <w:tcPr>
            <w:tcW w:type="dxa" w:w="1949"/>
            <w:tcBorders>
              <w:top w:color="000000" w:sz="4" w:val="single"/>
              <w:left w:color="000000" w:sz="4" w:val="single"/>
              <w:bottom w:color="000000" w:sz="4" w:val="single"/>
              <w:right w:color="000000" w:sz="4" w:val="single"/>
            </w:tcBorders>
          </w:tcPr>
          <w:p w14:paraId="80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w:t>
            </w:r>
          </w:p>
        </w:tc>
      </w:tr>
      <w:tr>
        <w:trPr>
          <w:trHeight w:hRule="atLeast" w:val="465"/>
        </w:trPr>
        <w:tc>
          <w:tcPr>
            <w:tcW w:type="dxa" w:w="591"/>
            <w:tcBorders>
              <w:top w:color="000000" w:sz="4" w:val="single"/>
              <w:left w:color="000000" w:sz="4" w:val="single"/>
              <w:bottom w:color="000000" w:sz="4" w:val="single"/>
              <w:right w:color="000000" w:sz="4" w:val="single"/>
            </w:tcBorders>
            <w:shd w:fill="auto" w:val="clear"/>
          </w:tcPr>
          <w:p w14:paraId="81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7</w:t>
            </w:r>
          </w:p>
        </w:tc>
        <w:tc>
          <w:tcPr>
            <w:tcW w:type="dxa" w:w="2930"/>
            <w:tcBorders>
              <w:top w:color="000000" w:sz="4" w:val="single"/>
              <w:left w:color="000000" w:sz="4" w:val="single"/>
              <w:bottom w:color="000000" w:sz="4" w:val="single"/>
              <w:right w:color="000000" w:sz="4" w:val="single"/>
            </w:tcBorders>
            <w:shd w:fill="auto" w:val="clear"/>
          </w:tcPr>
          <w:p w14:paraId="82000000">
            <w:pPr>
              <w:spacing w:after="200" w:line="276" w:lineRule="auto"/>
              <w:ind/>
              <w:rPr>
                <w:color w:val="000000"/>
              </w:rPr>
            </w:pPr>
            <w:r>
              <w:rPr>
                <w:color w:val="000000"/>
              </w:rPr>
              <w:t xml:space="preserve">Администрация Кропоткинского городского поселения Кавказского </w:t>
            </w:r>
            <w:r>
              <w:rPr>
                <w:color w:val="000000"/>
              </w:rPr>
              <w:t>р</w:t>
            </w:r>
            <w:r>
              <w:rPr>
                <w:color w:val="000000"/>
              </w:rPr>
              <w:t>-на</w:t>
            </w:r>
            <w:r>
              <w:rPr>
                <w:color w:val="000000"/>
              </w:rPr>
              <w:t>.</w:t>
            </w:r>
          </w:p>
        </w:tc>
        <w:tc>
          <w:tcPr>
            <w:tcW w:type="dxa" w:w="2009"/>
            <w:tcBorders>
              <w:top w:color="000000" w:sz="4" w:val="single"/>
              <w:left w:color="000000" w:sz="4" w:val="single"/>
              <w:bottom w:color="000000" w:sz="4" w:val="single"/>
              <w:right w:color="000000" w:sz="4" w:val="single"/>
            </w:tcBorders>
            <w:shd w:fill="auto" w:val="clear"/>
          </w:tcPr>
          <w:p w14:paraId="83000000">
            <w:pPr>
              <w:spacing w:after="200" w:line="276" w:lineRule="auto"/>
              <w:ind/>
              <w:rPr>
                <w:color w:val="000000"/>
              </w:rPr>
            </w:pPr>
            <w:r>
              <w:rPr>
                <w:color w:val="000000"/>
              </w:rPr>
              <w:t>часть 4 статьи</w:t>
            </w:r>
            <w:r>
              <w:rPr>
                <w:color w:val="000000"/>
              </w:rPr>
              <w:t xml:space="preserve"> 15.15.6</w:t>
            </w:r>
            <w:r>
              <w:rPr>
                <w:color w:val="000000"/>
              </w:rPr>
              <w:t xml:space="preserve"> </w:t>
            </w:r>
          </w:p>
        </w:tc>
        <w:tc>
          <w:tcPr>
            <w:tcW w:type="dxa" w:w="2091"/>
            <w:tcBorders>
              <w:top w:color="000000" w:sz="4" w:val="single"/>
              <w:left w:color="000000" w:sz="4" w:val="single"/>
              <w:bottom w:color="000000" w:sz="4" w:val="single"/>
              <w:right w:color="000000" w:sz="4" w:val="single"/>
            </w:tcBorders>
            <w:shd w:fill="auto" w:val="clear"/>
          </w:tcPr>
          <w:p w14:paraId="84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 xml:space="preserve">15 000,0 </w:t>
            </w:r>
          </w:p>
        </w:tc>
        <w:tc>
          <w:tcPr>
            <w:tcW w:type="dxa" w:w="1949"/>
            <w:tcBorders>
              <w:top w:color="000000" w:sz="4" w:val="single"/>
              <w:left w:color="000000" w:sz="4" w:val="single"/>
              <w:bottom w:color="000000" w:sz="4" w:val="single"/>
              <w:right w:color="000000" w:sz="4" w:val="single"/>
            </w:tcBorders>
          </w:tcPr>
          <w:p w14:paraId="85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15 000,0</w:t>
            </w:r>
            <w:r>
              <w:rPr>
                <w:color w:val="000000"/>
                <w:highlight w:val="white"/>
              </w:rPr>
              <w:t xml:space="preserve"> (в бюджет МО поступило в 2026г.)</w:t>
            </w:r>
          </w:p>
        </w:tc>
      </w:tr>
      <w:tr>
        <w:trPr>
          <w:trHeight w:hRule="atLeast" w:val="465"/>
        </w:trPr>
        <w:tc>
          <w:tcPr>
            <w:tcW w:type="dxa" w:w="591"/>
            <w:tcBorders>
              <w:top w:color="000000" w:sz="4" w:val="single"/>
              <w:left w:color="000000" w:sz="4" w:val="single"/>
              <w:bottom w:color="000000" w:sz="4" w:val="single"/>
              <w:right w:color="000000" w:sz="4" w:val="single"/>
            </w:tcBorders>
            <w:shd w:fill="auto" w:val="clear"/>
          </w:tcPr>
          <w:p w14:paraId="86000000">
            <w:pPr>
              <w:widowControl w:val="0"/>
              <w:ind/>
              <w:rPr>
                <w:color w:val="000000"/>
              </w:rPr>
            </w:pPr>
            <w:r>
              <w:rPr>
                <w:color w:val="000000"/>
              </w:rPr>
              <w:t>8</w:t>
            </w:r>
          </w:p>
        </w:tc>
        <w:tc>
          <w:tcPr>
            <w:tcW w:type="dxa" w:w="2930"/>
            <w:tcBorders>
              <w:top w:color="000000" w:sz="4" w:val="single"/>
              <w:left w:color="000000" w:sz="4" w:val="single"/>
              <w:bottom w:color="000000" w:sz="4" w:val="single"/>
              <w:right w:color="000000" w:sz="4" w:val="single"/>
            </w:tcBorders>
            <w:shd w:fill="auto" w:val="clear"/>
          </w:tcPr>
          <w:p w14:paraId="87000000">
            <w:pPr>
              <w:widowControl w:val="0"/>
              <w:ind/>
              <w:rPr>
                <w:color w:val="000000"/>
              </w:rPr>
            </w:pPr>
            <w:r>
              <w:rPr>
                <w:color w:val="000000"/>
              </w:rPr>
              <w:t xml:space="preserve">Администрация Кропоткинского городского поселения Кавказского </w:t>
            </w:r>
            <w:r>
              <w:rPr>
                <w:color w:val="000000"/>
              </w:rPr>
              <w:t>р.</w:t>
            </w:r>
          </w:p>
        </w:tc>
        <w:tc>
          <w:tcPr>
            <w:tcW w:type="dxa" w:w="2009"/>
            <w:tcBorders>
              <w:top w:color="000000" w:sz="4" w:val="single"/>
              <w:left w:color="000000" w:sz="4" w:val="single"/>
              <w:bottom w:color="000000" w:sz="4" w:val="single"/>
              <w:right w:color="000000" w:sz="4" w:val="single"/>
            </w:tcBorders>
            <w:shd w:fill="auto" w:val="clear"/>
          </w:tcPr>
          <w:p w14:paraId="88000000">
            <w:pPr>
              <w:widowControl w:val="0"/>
              <w:ind/>
              <w:rPr>
                <w:color w:val="000000"/>
              </w:rPr>
            </w:pPr>
            <w:r>
              <w:rPr>
                <w:color w:val="000000"/>
              </w:rPr>
              <w:t xml:space="preserve">часть 4 статьи 15.15.6 </w:t>
            </w:r>
          </w:p>
        </w:tc>
        <w:tc>
          <w:tcPr>
            <w:tcW w:type="dxa" w:w="2091"/>
            <w:tcBorders>
              <w:top w:color="000000" w:sz="4" w:val="single"/>
              <w:left w:color="000000" w:sz="4" w:val="single"/>
              <w:bottom w:color="000000" w:sz="4" w:val="single"/>
              <w:right w:color="000000" w:sz="4" w:val="single"/>
            </w:tcBorders>
            <w:shd w:fill="auto" w:val="clear"/>
          </w:tcPr>
          <w:p w14:paraId="89000000">
            <w:pPr>
              <w:widowControl w:val="0"/>
              <w:ind/>
              <w:rPr>
                <w:color w:val="000000"/>
              </w:rPr>
            </w:pPr>
            <w:r>
              <w:rPr>
                <w:color w:val="000000"/>
              </w:rPr>
              <w:t xml:space="preserve">15 000,0 </w:t>
            </w:r>
          </w:p>
        </w:tc>
        <w:tc>
          <w:tcPr>
            <w:tcW w:type="dxa" w:w="1949"/>
            <w:tcBorders>
              <w:top w:color="000000" w:sz="4" w:val="single"/>
              <w:left w:color="000000" w:sz="4" w:val="single"/>
              <w:bottom w:color="000000" w:sz="4" w:val="single"/>
              <w:right w:color="000000" w:sz="4" w:val="single"/>
            </w:tcBorders>
          </w:tcPr>
          <w:p w14:paraId="8A000000">
            <w:pPr>
              <w:widowControl w:val="0"/>
              <w:ind/>
              <w:rPr>
                <w:color w:val="000000"/>
              </w:rPr>
            </w:pPr>
            <w:r>
              <w:rPr>
                <w:color w:val="000000"/>
                <w:highlight w:val="white"/>
              </w:rPr>
              <w:t>15 000,0</w:t>
            </w:r>
            <w:r>
              <w:rPr>
                <w:color w:val="000000"/>
                <w:highlight w:val="white"/>
              </w:rPr>
              <w:t xml:space="preserve"> (в бюджет МО поступило в 2026г.)</w:t>
            </w:r>
          </w:p>
        </w:tc>
      </w:tr>
      <w:tr>
        <w:trPr>
          <w:trHeight w:hRule="atLeast" w:val="465"/>
        </w:trPr>
        <w:tc>
          <w:tcPr>
            <w:tcW w:type="dxa" w:w="591"/>
            <w:tcBorders>
              <w:top w:color="000000" w:sz="4" w:val="single"/>
              <w:left w:color="000000" w:sz="4" w:val="single"/>
              <w:bottom w:color="000000" w:sz="4" w:val="single"/>
              <w:right w:color="000000" w:sz="4" w:val="single"/>
            </w:tcBorders>
            <w:shd w:fill="auto" w:val="clear"/>
          </w:tcPr>
          <w:p w14:paraId="8B000000">
            <w:pPr>
              <w:widowControl w:val="0"/>
              <w:ind/>
              <w:rPr>
                <w:color w:val="000000"/>
              </w:rPr>
            </w:pPr>
            <w:r>
              <w:rPr>
                <w:color w:val="000000"/>
              </w:rPr>
              <w:t>9</w:t>
            </w:r>
          </w:p>
        </w:tc>
        <w:tc>
          <w:tcPr>
            <w:tcW w:type="dxa" w:w="2930"/>
            <w:tcBorders>
              <w:top w:color="000000" w:sz="4" w:val="single"/>
              <w:left w:color="000000" w:sz="4" w:val="single"/>
              <w:bottom w:color="000000" w:sz="4" w:val="single"/>
              <w:right w:color="000000" w:sz="4" w:val="single"/>
            </w:tcBorders>
            <w:shd w:fill="auto" w:val="clear"/>
          </w:tcPr>
          <w:p w14:paraId="8C000000">
            <w:pPr>
              <w:widowControl w:val="0"/>
              <w:ind/>
              <w:rPr>
                <w:color w:val="000000"/>
              </w:rPr>
            </w:pPr>
            <w:r>
              <w:rPr>
                <w:color w:val="000000"/>
              </w:rPr>
              <w:t>Администрация Кропоткинского городского поселения Кавказского р</w:t>
            </w:r>
            <w:r>
              <w:rPr>
                <w:color w:val="000000"/>
              </w:rPr>
              <w:t>.</w:t>
            </w:r>
          </w:p>
        </w:tc>
        <w:tc>
          <w:tcPr>
            <w:tcW w:type="dxa" w:w="2009"/>
            <w:tcBorders>
              <w:top w:color="000000" w:sz="4" w:val="single"/>
              <w:left w:color="000000" w:sz="4" w:val="single"/>
              <w:bottom w:color="000000" w:sz="4" w:val="single"/>
              <w:right w:color="000000" w:sz="4" w:val="single"/>
            </w:tcBorders>
            <w:shd w:fill="auto" w:val="clear"/>
          </w:tcPr>
          <w:p w14:paraId="8D000000">
            <w:pPr>
              <w:widowControl w:val="0"/>
              <w:ind/>
              <w:rPr>
                <w:color w:val="000000"/>
              </w:rPr>
            </w:pPr>
            <w:r>
              <w:rPr>
                <w:color w:val="000000"/>
              </w:rPr>
              <w:t xml:space="preserve">часть 2 статьи 15.15.6 </w:t>
            </w:r>
          </w:p>
        </w:tc>
        <w:tc>
          <w:tcPr>
            <w:tcW w:type="dxa" w:w="2091"/>
            <w:tcBorders>
              <w:top w:color="000000" w:sz="4" w:val="single"/>
              <w:left w:color="000000" w:sz="4" w:val="single"/>
              <w:bottom w:color="000000" w:sz="4" w:val="single"/>
              <w:right w:color="000000" w:sz="4" w:val="single"/>
            </w:tcBorders>
            <w:shd w:fill="auto" w:val="clear"/>
          </w:tcPr>
          <w:p w14:paraId="8E000000">
            <w:pPr>
              <w:widowControl w:val="0"/>
              <w:ind/>
              <w:rPr>
                <w:color w:val="000000"/>
              </w:rPr>
            </w:pPr>
            <w:r>
              <w:rPr>
                <w:color w:val="000000"/>
                <w:highlight w:val="white"/>
              </w:rPr>
              <w:t>Предупреждение</w:t>
            </w:r>
          </w:p>
        </w:tc>
        <w:tc>
          <w:tcPr>
            <w:tcW w:type="dxa" w:w="1949"/>
            <w:tcBorders>
              <w:top w:color="000000" w:sz="4" w:val="single"/>
              <w:left w:color="000000" w:sz="4" w:val="single"/>
              <w:bottom w:color="000000" w:sz="4" w:val="single"/>
              <w:right w:color="000000" w:sz="4" w:val="single"/>
            </w:tcBorders>
          </w:tcPr>
          <w:p w14:paraId="8F000000">
            <w:pPr>
              <w:widowControl w:val="0"/>
              <w:ind/>
              <w:rPr>
                <w:color w:val="000000"/>
                <w:highlight w:val="white"/>
              </w:rPr>
            </w:pPr>
            <w:r>
              <w:rPr>
                <w:color w:val="000000"/>
                <w:highlight w:val="white"/>
              </w:rPr>
              <w:t>-</w:t>
            </w:r>
          </w:p>
        </w:tc>
      </w:tr>
      <w:tr>
        <w:trPr>
          <w:trHeight w:hRule="atLeast" w:val="465"/>
        </w:trPr>
        <w:tc>
          <w:tcPr>
            <w:tcW w:type="dxa" w:w="591"/>
            <w:tcBorders>
              <w:top w:color="000000" w:sz="4" w:val="single"/>
              <w:left w:color="000000" w:sz="4" w:val="single"/>
              <w:bottom w:color="000000" w:sz="4" w:val="single"/>
              <w:right w:color="000000" w:sz="4" w:val="single"/>
            </w:tcBorders>
            <w:shd w:fill="auto" w:val="clear"/>
          </w:tcPr>
          <w:p w14:paraId="90000000">
            <w:pPr>
              <w:widowControl w:val="0"/>
              <w:ind/>
              <w:rPr>
                <w:color w:val="000000"/>
              </w:rPr>
            </w:pPr>
            <w:r>
              <w:rPr>
                <w:color w:val="000000"/>
              </w:rPr>
              <w:t>10</w:t>
            </w:r>
          </w:p>
        </w:tc>
        <w:tc>
          <w:tcPr>
            <w:tcW w:type="dxa" w:w="2930"/>
            <w:tcBorders>
              <w:top w:color="000000" w:sz="4" w:val="single"/>
              <w:left w:color="000000" w:sz="4" w:val="single"/>
              <w:bottom w:color="000000" w:sz="4" w:val="single"/>
              <w:right w:color="000000" w:sz="4" w:val="single"/>
            </w:tcBorders>
            <w:shd w:fill="auto" w:val="clear"/>
          </w:tcPr>
          <w:p w14:paraId="91000000">
            <w:pPr>
              <w:widowControl w:val="0"/>
              <w:ind/>
              <w:rPr>
                <w:color w:val="000000"/>
              </w:rPr>
            </w:pPr>
            <w:r>
              <w:rPr>
                <w:color w:val="000000"/>
                <w:highlight w:val="white"/>
              </w:rPr>
              <w:t>МБОУ</w:t>
            </w:r>
            <w:r>
              <w:rPr>
                <w:color w:val="000000"/>
                <w:highlight w:val="white"/>
              </w:rPr>
              <w:t xml:space="preserve"> дополнительного образования станция юных натуралистов города Кропоткин муниципального образования К</w:t>
            </w:r>
            <w:r>
              <w:rPr>
                <w:color w:val="000000"/>
                <w:highlight w:val="white"/>
              </w:rPr>
              <w:t>авказского</w:t>
            </w:r>
            <w:r>
              <w:rPr>
                <w:color w:val="000000"/>
                <w:highlight w:val="white"/>
              </w:rPr>
              <w:t>.</w:t>
            </w:r>
            <w:r>
              <w:rPr>
                <w:color w:val="000000"/>
                <w:highlight w:val="white"/>
              </w:rPr>
              <w:t>р</w:t>
            </w:r>
            <w:r>
              <w:rPr>
                <w:color w:val="000000"/>
                <w:highlight w:val="white"/>
              </w:rPr>
              <w:t>.</w:t>
            </w:r>
          </w:p>
        </w:tc>
        <w:tc>
          <w:tcPr>
            <w:tcW w:type="dxa" w:w="2009"/>
            <w:tcBorders>
              <w:top w:color="000000" w:sz="4" w:val="single"/>
              <w:left w:color="000000" w:sz="4" w:val="single"/>
              <w:bottom w:color="000000" w:sz="4" w:val="single"/>
              <w:right w:color="000000" w:sz="4" w:val="single"/>
            </w:tcBorders>
            <w:shd w:fill="auto" w:val="clear"/>
          </w:tcPr>
          <w:p w14:paraId="92000000">
            <w:pPr>
              <w:widowControl w:val="0"/>
              <w:ind/>
              <w:rPr>
                <w:color w:val="000000"/>
              </w:rPr>
            </w:pPr>
            <w:r>
              <w:rPr>
                <w:color w:val="000000"/>
              </w:rPr>
              <w:t>статья 15.15.15</w:t>
            </w:r>
          </w:p>
        </w:tc>
        <w:tc>
          <w:tcPr>
            <w:tcW w:type="dxa" w:w="2091"/>
            <w:tcBorders>
              <w:top w:color="000000" w:sz="4" w:val="single"/>
              <w:left w:color="000000" w:sz="4" w:val="single"/>
              <w:bottom w:color="000000" w:sz="4" w:val="single"/>
              <w:right w:color="000000" w:sz="4" w:val="single"/>
            </w:tcBorders>
            <w:shd w:fill="auto" w:val="clear"/>
          </w:tcPr>
          <w:p w14:paraId="93000000">
            <w:pPr>
              <w:widowControl w:val="0"/>
              <w:ind/>
              <w:rPr>
                <w:color w:val="000000"/>
                <w:highlight w:val="white"/>
              </w:rPr>
            </w:pPr>
            <w:r>
              <w:rPr>
                <w:color w:val="000000"/>
                <w:highlight w:val="white"/>
              </w:rPr>
              <w:t>10 000,0</w:t>
            </w:r>
          </w:p>
        </w:tc>
        <w:tc>
          <w:tcPr>
            <w:tcW w:type="dxa" w:w="1949"/>
            <w:tcBorders>
              <w:top w:color="000000" w:sz="4" w:val="single"/>
              <w:left w:color="000000" w:sz="4" w:val="single"/>
              <w:bottom w:color="000000" w:sz="4" w:val="single"/>
              <w:right w:color="000000" w:sz="4" w:val="single"/>
            </w:tcBorders>
          </w:tcPr>
          <w:p w14:paraId="94000000">
            <w:pPr>
              <w:widowControl w:val="0"/>
              <w:ind/>
              <w:rPr>
                <w:color w:val="000000"/>
                <w:highlight w:val="white"/>
              </w:rPr>
            </w:pPr>
            <w:r>
              <w:rPr>
                <w:color w:val="000000"/>
                <w:highlight w:val="white"/>
              </w:rPr>
              <w:t>5 000,0</w:t>
            </w:r>
          </w:p>
        </w:tc>
      </w:tr>
      <w:tr>
        <w:trPr>
          <w:trHeight w:hRule="atLeast" w:val="465"/>
        </w:trPr>
        <w:tc>
          <w:tcPr>
            <w:tcW w:type="dxa" w:w="591"/>
            <w:tcBorders>
              <w:top w:color="000000" w:sz="4" w:val="single"/>
              <w:left w:color="000000" w:sz="4" w:val="single"/>
              <w:bottom w:color="000000" w:sz="4" w:val="single"/>
              <w:right w:color="000000" w:sz="4" w:val="single"/>
            </w:tcBorders>
            <w:shd w:fill="auto" w:val="clear"/>
          </w:tcPr>
          <w:p w14:paraId="95000000">
            <w:pPr>
              <w:widowControl w:val="0"/>
              <w:ind/>
              <w:rPr>
                <w:color w:val="000000"/>
              </w:rPr>
            </w:pPr>
            <w:r>
              <w:rPr>
                <w:color w:val="000000"/>
              </w:rPr>
              <w:t>11</w:t>
            </w:r>
          </w:p>
        </w:tc>
        <w:tc>
          <w:tcPr>
            <w:tcW w:type="dxa" w:w="2930"/>
            <w:tcBorders>
              <w:top w:color="000000" w:sz="4" w:val="single"/>
              <w:left w:color="000000" w:sz="4" w:val="single"/>
              <w:bottom w:color="000000" w:sz="4" w:val="single"/>
              <w:right w:color="000000" w:sz="4" w:val="single"/>
            </w:tcBorders>
            <w:shd w:fill="auto" w:val="clear"/>
          </w:tcPr>
          <w:p w14:paraId="96000000">
            <w:pPr>
              <w:widowControl w:val="0"/>
              <w:ind/>
              <w:rPr>
                <w:b w:val="1"/>
                <w:color w:val="000000"/>
              </w:rPr>
            </w:pPr>
            <w:r>
              <w:rPr>
                <w:color w:val="000000"/>
                <w:highlight w:val="white"/>
              </w:rPr>
              <w:t>МУП «Мирское»</w:t>
            </w:r>
          </w:p>
        </w:tc>
        <w:tc>
          <w:tcPr>
            <w:tcW w:type="dxa" w:w="2009"/>
            <w:tcBorders>
              <w:top w:color="000000" w:sz="4" w:val="single"/>
              <w:left w:color="000000" w:sz="4" w:val="single"/>
              <w:bottom w:color="000000" w:sz="4" w:val="single"/>
              <w:right w:color="000000" w:sz="4" w:val="single"/>
            </w:tcBorders>
            <w:shd w:fill="auto" w:val="clear"/>
          </w:tcPr>
          <w:p w14:paraId="97000000">
            <w:pPr>
              <w:widowControl w:val="0"/>
              <w:ind/>
              <w:rPr>
                <w:color w:val="000000"/>
              </w:rPr>
            </w:pPr>
            <w:r>
              <w:rPr>
                <w:color w:val="000000"/>
              </w:rPr>
              <w:t>часть 3 статьи 1</w:t>
            </w:r>
            <w:r>
              <w:rPr>
                <w:color w:val="000000"/>
              </w:rPr>
              <w:t>5.15.3</w:t>
            </w:r>
          </w:p>
        </w:tc>
        <w:tc>
          <w:tcPr>
            <w:tcW w:type="dxa" w:w="2091"/>
            <w:tcBorders>
              <w:top w:color="000000" w:sz="4" w:val="single"/>
              <w:left w:color="000000" w:sz="4" w:val="single"/>
              <w:bottom w:color="000000" w:sz="4" w:val="single"/>
              <w:right w:color="000000" w:sz="4" w:val="single"/>
            </w:tcBorders>
            <w:shd w:fill="auto" w:val="clear"/>
          </w:tcPr>
          <w:p w14:paraId="98000000">
            <w:pPr>
              <w:widowControl w:val="0"/>
              <w:ind/>
              <w:rPr>
                <w:color w:val="000000"/>
              </w:rPr>
            </w:pPr>
            <w:r>
              <w:rPr>
                <w:color w:val="000000"/>
              </w:rPr>
              <w:t>10 000,0</w:t>
            </w:r>
          </w:p>
        </w:tc>
        <w:tc>
          <w:tcPr>
            <w:tcW w:type="dxa" w:w="1949"/>
            <w:tcBorders>
              <w:top w:color="000000" w:sz="4" w:val="single"/>
              <w:left w:color="000000" w:sz="4" w:val="single"/>
              <w:bottom w:color="000000" w:sz="4" w:val="single"/>
              <w:right w:color="000000" w:sz="4" w:val="single"/>
            </w:tcBorders>
          </w:tcPr>
          <w:p w14:paraId="99000000">
            <w:pPr>
              <w:widowControl w:val="0"/>
              <w:ind/>
              <w:rPr>
                <w:color w:val="000000"/>
              </w:rPr>
            </w:pPr>
            <w:r>
              <w:rPr>
                <w:color w:val="000000"/>
              </w:rPr>
              <w:t>5 000,0</w:t>
            </w:r>
          </w:p>
        </w:tc>
      </w:tr>
      <w:tr>
        <w:trPr>
          <w:trHeight w:hRule="atLeast" w:val="465"/>
        </w:trPr>
        <w:tc>
          <w:tcPr>
            <w:tcW w:type="dxa" w:w="591"/>
            <w:tcBorders>
              <w:top w:color="000000" w:sz="4" w:val="single"/>
              <w:left w:color="000000" w:sz="4" w:val="single"/>
              <w:bottom w:color="000000" w:sz="4" w:val="single"/>
              <w:right w:color="000000" w:sz="4" w:val="single"/>
            </w:tcBorders>
            <w:shd w:fill="auto" w:val="clear"/>
          </w:tcPr>
          <w:p w14:paraId="9A000000">
            <w:pPr>
              <w:widowControl w:val="0"/>
              <w:ind/>
              <w:rPr>
                <w:color w:val="000000"/>
              </w:rPr>
            </w:pPr>
            <w:r>
              <w:rPr>
                <w:color w:val="000000"/>
              </w:rPr>
              <w:t>12</w:t>
            </w:r>
          </w:p>
        </w:tc>
        <w:tc>
          <w:tcPr>
            <w:tcW w:type="dxa" w:w="2930"/>
            <w:tcBorders>
              <w:top w:color="000000" w:sz="4" w:val="single"/>
              <w:left w:color="000000" w:sz="4" w:val="single"/>
              <w:bottom w:color="000000" w:sz="4" w:val="single"/>
              <w:right w:color="000000" w:sz="4" w:val="single"/>
            </w:tcBorders>
            <w:shd w:fill="auto" w:val="clear"/>
          </w:tcPr>
          <w:p w14:paraId="9B000000">
            <w:pPr>
              <w:widowControl w:val="0"/>
              <w:ind/>
              <w:rPr>
                <w:color w:val="000000"/>
              </w:rPr>
            </w:pPr>
            <w:r>
              <w:rPr>
                <w:color w:val="000000"/>
              </w:rPr>
              <w:t>МУП «ТВК «Темижбекский»</w:t>
            </w:r>
          </w:p>
        </w:tc>
        <w:tc>
          <w:tcPr>
            <w:tcW w:type="dxa" w:w="2009"/>
            <w:tcBorders>
              <w:top w:color="000000" w:sz="4" w:val="single"/>
              <w:left w:color="000000" w:sz="4" w:val="single"/>
              <w:bottom w:color="000000" w:sz="4" w:val="single"/>
              <w:right w:color="000000" w:sz="4" w:val="single"/>
            </w:tcBorders>
            <w:shd w:fill="auto" w:val="clear"/>
          </w:tcPr>
          <w:p w14:paraId="9C000000">
            <w:pPr>
              <w:widowControl w:val="0"/>
              <w:ind/>
              <w:rPr>
                <w:color w:val="000000"/>
                <w:sz w:val="20"/>
              </w:rPr>
            </w:pPr>
            <w:r>
              <w:rPr>
                <w:color w:val="000000"/>
              </w:rPr>
              <w:t>часть 1 статьи 15.1</w:t>
            </w:r>
          </w:p>
        </w:tc>
        <w:tc>
          <w:tcPr>
            <w:tcW w:type="dxa" w:w="2091"/>
            <w:tcBorders>
              <w:top w:color="000000" w:sz="4" w:val="single"/>
              <w:left w:color="000000" w:sz="4" w:val="single"/>
              <w:bottom w:color="000000" w:sz="4" w:val="single"/>
              <w:right w:color="000000" w:sz="4" w:val="single"/>
            </w:tcBorders>
            <w:shd w:fill="auto" w:val="clear"/>
          </w:tcPr>
          <w:p w14:paraId="9D000000">
            <w:pPr>
              <w:widowControl w:val="0"/>
              <w:ind/>
              <w:rPr>
                <w:color w:val="000000"/>
                <w:sz w:val="20"/>
              </w:rPr>
            </w:pPr>
            <w:r>
              <w:rPr>
                <w:color w:val="000000"/>
              </w:rPr>
              <w:t xml:space="preserve">Прекращено </w:t>
            </w:r>
          </w:p>
        </w:tc>
        <w:tc>
          <w:tcPr>
            <w:tcW w:type="dxa" w:w="1949"/>
            <w:tcBorders>
              <w:top w:color="000000" w:sz="4" w:val="single"/>
              <w:left w:color="000000" w:sz="4" w:val="single"/>
              <w:bottom w:color="000000" w:sz="4" w:val="single"/>
              <w:right w:color="000000" w:sz="4" w:val="single"/>
            </w:tcBorders>
          </w:tcPr>
          <w:p w14:paraId="9E000000">
            <w:pPr>
              <w:widowControl w:val="0"/>
              <w:ind/>
              <w:rPr>
                <w:color w:val="000000"/>
              </w:rPr>
            </w:pPr>
            <w:r>
              <w:rPr>
                <w:color w:val="000000"/>
              </w:rPr>
              <w:t>-</w:t>
            </w:r>
          </w:p>
        </w:tc>
      </w:tr>
      <w:tr>
        <w:trPr>
          <w:trHeight w:hRule="atLeast" w:val="465"/>
        </w:trPr>
        <w:tc>
          <w:tcPr>
            <w:tcW w:type="dxa" w:w="591"/>
            <w:tcBorders>
              <w:top w:color="000000" w:sz="4" w:val="single"/>
              <w:left w:color="000000" w:sz="4" w:val="single"/>
              <w:bottom w:color="000000" w:sz="4" w:val="single"/>
              <w:right w:color="000000" w:sz="4" w:val="single"/>
            </w:tcBorders>
            <w:shd w:fill="auto" w:val="clear"/>
          </w:tcPr>
          <w:p w14:paraId="9F000000">
            <w:pPr>
              <w:widowControl w:val="0"/>
              <w:ind/>
              <w:rPr>
                <w:color w:val="000000"/>
              </w:rPr>
            </w:pPr>
            <w:r>
              <w:rPr>
                <w:color w:val="000000"/>
              </w:rPr>
              <w:t>13</w:t>
            </w:r>
          </w:p>
        </w:tc>
        <w:tc>
          <w:tcPr>
            <w:tcW w:type="dxa" w:w="2930"/>
            <w:tcBorders>
              <w:top w:color="000000" w:sz="4" w:val="single"/>
              <w:left w:color="000000" w:sz="4" w:val="single"/>
              <w:bottom w:color="000000" w:sz="4" w:val="single"/>
              <w:right w:color="000000" w:sz="4" w:val="single"/>
            </w:tcBorders>
            <w:shd w:fill="auto" w:val="clear"/>
          </w:tcPr>
          <w:p w14:paraId="A0000000">
            <w:pPr>
              <w:widowControl w:val="0"/>
              <w:ind/>
              <w:rPr>
                <w:color w:val="000000"/>
              </w:rPr>
            </w:pPr>
            <w:r>
              <w:rPr>
                <w:color w:val="000000"/>
              </w:rPr>
              <w:t>МУП «Привольное»</w:t>
            </w:r>
          </w:p>
        </w:tc>
        <w:tc>
          <w:tcPr>
            <w:tcW w:type="dxa" w:w="2009"/>
            <w:tcBorders>
              <w:top w:color="000000" w:sz="4" w:val="single"/>
              <w:left w:color="000000" w:sz="4" w:val="single"/>
              <w:bottom w:color="000000" w:sz="4" w:val="single"/>
              <w:right w:color="000000" w:sz="4" w:val="single"/>
            </w:tcBorders>
            <w:shd w:fill="auto" w:val="clear"/>
          </w:tcPr>
          <w:p w14:paraId="A1000000">
            <w:pPr>
              <w:widowControl w:val="0"/>
              <w:ind/>
              <w:rPr>
                <w:color w:val="000000"/>
                <w:sz w:val="20"/>
              </w:rPr>
            </w:pPr>
            <w:r>
              <w:rPr>
                <w:color w:val="000000"/>
              </w:rPr>
              <w:t>часть 1 статьи 15.11</w:t>
            </w:r>
          </w:p>
        </w:tc>
        <w:tc>
          <w:tcPr>
            <w:tcW w:type="dxa" w:w="2091"/>
            <w:tcBorders>
              <w:top w:color="000000" w:sz="4" w:val="single"/>
              <w:left w:color="000000" w:sz="4" w:val="single"/>
              <w:bottom w:color="000000" w:sz="4" w:val="single"/>
              <w:right w:color="000000" w:sz="4" w:val="single"/>
            </w:tcBorders>
            <w:shd w:fill="auto" w:val="clear"/>
          </w:tcPr>
          <w:p w14:paraId="A2000000">
            <w:pPr>
              <w:widowControl w:val="0"/>
              <w:ind/>
              <w:rPr>
                <w:color w:val="000000"/>
              </w:rPr>
            </w:pPr>
            <w:r>
              <w:rPr>
                <w:color w:val="000000"/>
              </w:rPr>
              <w:t>5 000,0</w:t>
            </w:r>
          </w:p>
        </w:tc>
        <w:tc>
          <w:tcPr>
            <w:tcW w:type="dxa" w:w="1949"/>
            <w:tcBorders>
              <w:top w:color="000000" w:sz="4" w:val="single"/>
              <w:left w:color="000000" w:sz="4" w:val="single"/>
              <w:bottom w:color="000000" w:sz="4" w:val="single"/>
              <w:right w:color="000000" w:sz="4" w:val="single"/>
            </w:tcBorders>
          </w:tcPr>
          <w:p w14:paraId="A3000000">
            <w:pPr>
              <w:widowControl w:val="0"/>
              <w:ind/>
              <w:rPr>
                <w:color w:val="000000"/>
              </w:rPr>
            </w:pPr>
            <w:r>
              <w:rPr>
                <w:color w:val="000000"/>
              </w:rPr>
              <w:t>2 500,0</w:t>
            </w:r>
          </w:p>
        </w:tc>
      </w:tr>
      <w:tr>
        <w:trPr>
          <w:trHeight w:hRule="atLeast" w:val="730"/>
        </w:trPr>
        <w:tc>
          <w:tcPr>
            <w:tcW w:type="dxa" w:w="5530"/>
            <w:gridSpan w:val="3"/>
            <w:tcBorders>
              <w:top w:color="000000" w:sz="4" w:val="single"/>
              <w:left w:color="000000" w:sz="4" w:val="single"/>
              <w:bottom w:color="000000" w:sz="4" w:val="single"/>
              <w:right w:color="000000" w:sz="4" w:val="single"/>
            </w:tcBorders>
            <w:shd w:fill="auto" w:val="clear"/>
          </w:tcPr>
          <w:p w14:paraId="A4000000">
            <w:pPr>
              <w:spacing w:after="200" w:line="276" w:lineRule="auto"/>
              <w:ind/>
              <w:rPr>
                <w:color w:val="000000"/>
                <w:highlight w:val="white"/>
              </w:rPr>
            </w:pPr>
            <w:r>
              <w:rPr>
                <w:color w:val="000000"/>
                <w:highlight w:val="white"/>
              </w:rPr>
              <w:t>Итого:</w:t>
            </w:r>
          </w:p>
        </w:tc>
        <w:tc>
          <w:tcPr>
            <w:tcW w:type="dxa" w:w="2091"/>
            <w:tcBorders>
              <w:top w:color="000000" w:sz="4" w:val="single"/>
              <w:left w:color="000000" w:sz="4" w:val="single"/>
              <w:bottom w:color="000000" w:sz="4" w:val="single"/>
              <w:right w:color="000000" w:sz="4" w:val="single"/>
            </w:tcBorders>
            <w:shd w:fill="auto" w:val="clear"/>
          </w:tcPr>
          <w:p w14:paraId="A5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9</w:t>
            </w:r>
            <w:r>
              <w:rPr>
                <w:color w:val="000000"/>
                <w:highlight w:val="white"/>
              </w:rPr>
              <w:t>5</w:t>
            </w:r>
            <w:r>
              <w:rPr>
                <w:color w:val="000000"/>
                <w:highlight w:val="white"/>
              </w:rPr>
              <w:t> 000,0</w:t>
            </w:r>
          </w:p>
        </w:tc>
        <w:tc>
          <w:tcPr>
            <w:tcW w:type="dxa" w:w="1949"/>
            <w:tcBorders>
              <w:top w:color="000000" w:sz="4" w:val="single"/>
              <w:left w:color="000000" w:sz="4" w:val="single"/>
              <w:bottom w:color="000000" w:sz="4" w:val="single"/>
              <w:right w:color="000000" w:sz="4" w:val="single"/>
            </w:tcBorders>
          </w:tcPr>
          <w:p w14:paraId="A6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8</w:t>
            </w:r>
            <w:r>
              <w:rPr>
                <w:color w:val="000000"/>
                <w:highlight w:val="white"/>
              </w:rPr>
              <w:t>2</w:t>
            </w:r>
            <w:r>
              <w:rPr>
                <w:color w:val="000000"/>
                <w:highlight w:val="white"/>
              </w:rPr>
              <w:t> </w:t>
            </w:r>
            <w:r>
              <w:rPr>
                <w:color w:val="000000"/>
                <w:highlight w:val="white"/>
              </w:rPr>
              <w:t>5</w:t>
            </w:r>
            <w:r>
              <w:rPr>
                <w:color w:val="000000"/>
                <w:highlight w:val="white"/>
              </w:rPr>
              <w:t>00,0</w:t>
            </w:r>
          </w:p>
        </w:tc>
      </w:tr>
      <w:tr>
        <w:trPr>
          <w:trHeight w:hRule="atLeast" w:val="461"/>
        </w:trPr>
        <w:tc>
          <w:tcPr>
            <w:tcW w:type="dxa" w:w="7621"/>
            <w:gridSpan w:val="4"/>
            <w:tcBorders>
              <w:top w:color="000000" w:sz="4" w:val="single"/>
              <w:left w:color="000000" w:sz="4" w:val="single"/>
              <w:bottom w:color="000000" w:sz="4" w:val="single"/>
              <w:right w:color="000000" w:sz="4" w:val="single"/>
            </w:tcBorders>
            <w:shd w:fill="auto" w:val="clear"/>
          </w:tcPr>
          <w:p w14:paraId="A7000000">
            <w:pPr>
              <w:spacing w:after="105"/>
              <w:ind/>
              <w:jc w:val="center"/>
              <w:rPr>
                <w:color w:val="000000"/>
                <w:highlight w:val="white"/>
              </w:rPr>
            </w:pPr>
            <w:r>
              <w:rPr>
                <w:color w:val="000000"/>
                <w:spacing w:val="17"/>
              </w:rPr>
              <w:t>Министерство экономики</w:t>
            </w:r>
            <w:r>
              <w:rPr>
                <w:b w:val="1"/>
                <w:color w:val="000000"/>
                <w:spacing w:val="17"/>
              </w:rPr>
              <w:t xml:space="preserve"> </w:t>
            </w:r>
            <w:r>
              <w:rPr>
                <w:color w:val="000000"/>
                <w:spacing w:val="3"/>
              </w:rPr>
              <w:t>Краснодарского края</w:t>
            </w:r>
          </w:p>
        </w:tc>
        <w:tc>
          <w:tcPr>
            <w:tcW w:type="dxa" w:w="1949"/>
            <w:tcBorders>
              <w:top w:color="000000" w:sz="4" w:val="single"/>
              <w:left w:color="000000" w:sz="4" w:val="single"/>
              <w:bottom w:color="000000" w:sz="4" w:val="single"/>
              <w:right w:color="000000" w:sz="4" w:val="single"/>
            </w:tcBorders>
          </w:tcPr>
          <w:p w14:paraId="A8000000">
            <w:pPr>
              <w:spacing w:after="105"/>
              <w:ind/>
              <w:jc w:val="center"/>
              <w:rPr>
                <w:color w:val="000000"/>
                <w:spacing w:val="17"/>
              </w:rPr>
            </w:pPr>
          </w:p>
        </w:tc>
      </w:tr>
      <w:tr>
        <w:trPr>
          <w:trHeight w:hRule="atLeast" w:val="642"/>
        </w:trPr>
        <w:tc>
          <w:tcPr>
            <w:tcW w:type="dxa" w:w="591"/>
            <w:tcBorders>
              <w:top w:color="000000" w:sz="4" w:val="single"/>
              <w:left w:color="000000" w:sz="4" w:val="single"/>
              <w:bottom w:color="000000" w:sz="4" w:val="single"/>
              <w:right w:color="000000" w:sz="4" w:val="single"/>
            </w:tcBorders>
            <w:shd w:fill="auto" w:val="clear"/>
          </w:tcPr>
          <w:p w14:paraId="A9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1</w:t>
            </w:r>
          </w:p>
        </w:tc>
        <w:tc>
          <w:tcPr>
            <w:tcW w:type="dxa" w:w="2930"/>
            <w:tcBorders>
              <w:top w:color="000000" w:sz="4" w:val="single"/>
              <w:left w:color="000000" w:sz="4" w:val="single"/>
              <w:bottom w:color="000000" w:sz="4" w:val="single"/>
              <w:right w:color="000000" w:sz="4" w:val="single"/>
            </w:tcBorders>
            <w:shd w:fill="auto" w:val="clear"/>
          </w:tcPr>
          <w:p w14:paraId="AA000000">
            <w:pPr>
              <w:spacing w:after="200" w:line="276" w:lineRule="auto"/>
              <w:ind/>
              <w:rPr>
                <w:color w:val="000000"/>
              </w:rPr>
            </w:pPr>
            <w:r>
              <w:rPr>
                <w:color w:val="000000"/>
              </w:rPr>
              <w:t>МБУК ДК «СКЦ» Лосевского сельского поселения</w:t>
            </w:r>
          </w:p>
        </w:tc>
        <w:tc>
          <w:tcPr>
            <w:tcW w:type="dxa" w:w="2009"/>
            <w:tcBorders>
              <w:top w:color="000000" w:sz="4" w:val="single"/>
              <w:left w:color="000000" w:sz="4" w:val="single"/>
              <w:bottom w:color="000000" w:sz="4" w:val="single"/>
              <w:right w:color="000000" w:sz="4" w:val="single"/>
            </w:tcBorders>
            <w:shd w:fill="auto" w:val="clear"/>
          </w:tcPr>
          <w:p w14:paraId="AB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r>
              <w:rPr>
                <w:color w:val="000000"/>
              </w:rPr>
              <w:t>Часть 2 статьи 7.31</w:t>
            </w:r>
          </w:p>
          <w:p w14:paraId="AC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p>
        </w:tc>
        <w:tc>
          <w:tcPr>
            <w:tcW w:type="dxa" w:w="2091"/>
            <w:tcBorders>
              <w:top w:color="000000" w:sz="4" w:val="single"/>
              <w:left w:color="000000" w:sz="4" w:val="single"/>
              <w:bottom w:color="000000" w:sz="4" w:val="single"/>
              <w:right w:color="000000" w:sz="4" w:val="single"/>
            </w:tcBorders>
            <w:shd w:fill="auto" w:val="clear"/>
          </w:tcPr>
          <w:p w14:paraId="AD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 xml:space="preserve">10 000,0 </w:t>
            </w:r>
          </w:p>
        </w:tc>
        <w:tc>
          <w:tcPr>
            <w:tcW w:type="dxa" w:w="1949"/>
            <w:tcBorders>
              <w:top w:color="000000" w:sz="4" w:val="single"/>
              <w:left w:color="000000" w:sz="4" w:val="single"/>
              <w:bottom w:color="000000" w:sz="4" w:val="single"/>
              <w:right w:color="000000" w:sz="4" w:val="single"/>
            </w:tcBorders>
          </w:tcPr>
          <w:p w14:paraId="AE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5 000,0</w:t>
            </w:r>
          </w:p>
        </w:tc>
      </w:tr>
      <w:tr>
        <w:trPr>
          <w:trHeight w:hRule="atLeast" w:val="730"/>
        </w:trPr>
        <w:tc>
          <w:tcPr>
            <w:tcW w:type="dxa" w:w="591"/>
            <w:tcBorders>
              <w:top w:color="000000" w:sz="4" w:val="single"/>
              <w:left w:color="000000" w:sz="4" w:val="single"/>
              <w:bottom w:color="000000" w:sz="4" w:val="single"/>
              <w:right w:color="000000" w:sz="4" w:val="single"/>
            </w:tcBorders>
            <w:shd w:fill="auto" w:val="clear"/>
          </w:tcPr>
          <w:p w14:paraId="AF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5</w:t>
            </w:r>
          </w:p>
        </w:tc>
        <w:tc>
          <w:tcPr>
            <w:tcW w:type="dxa" w:w="2930"/>
            <w:tcBorders>
              <w:top w:color="000000" w:sz="4" w:val="single"/>
              <w:left w:color="000000" w:sz="4" w:val="single"/>
              <w:bottom w:color="000000" w:sz="4" w:val="single"/>
              <w:right w:color="000000" w:sz="4" w:val="single"/>
            </w:tcBorders>
            <w:shd w:fill="auto" w:val="clear"/>
          </w:tcPr>
          <w:p w14:paraId="B0000000">
            <w:pPr>
              <w:spacing w:after="200" w:line="276" w:lineRule="auto"/>
              <w:ind/>
              <w:rPr>
                <w:color w:val="000000"/>
              </w:rPr>
            </w:pPr>
            <w:r>
              <w:rPr>
                <w:color w:val="000000"/>
                <w:sz w:val="21"/>
                <w:highlight w:val="white"/>
              </w:rPr>
              <w:t>МБОУ ДО СЮН</w:t>
            </w:r>
            <w:r>
              <w:rPr>
                <w:color w:val="000000"/>
                <w:highlight w:val="white"/>
              </w:rPr>
              <w:t xml:space="preserve"> г. Кропоткин </w:t>
            </w:r>
          </w:p>
        </w:tc>
        <w:tc>
          <w:tcPr>
            <w:tcW w:type="dxa" w:w="2009"/>
            <w:tcBorders>
              <w:top w:color="000000" w:sz="4" w:val="single"/>
              <w:left w:color="000000" w:sz="4" w:val="single"/>
              <w:bottom w:color="000000" w:sz="4" w:val="single"/>
              <w:right w:color="000000" w:sz="4" w:val="single"/>
            </w:tcBorders>
            <w:shd w:fill="auto" w:val="clear"/>
          </w:tcPr>
          <w:p w14:paraId="B1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r>
              <w:rPr>
                <w:color w:val="000000"/>
              </w:rPr>
              <w:t>Часть 2 статьи 7.31</w:t>
            </w:r>
          </w:p>
          <w:p w14:paraId="B2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p>
        </w:tc>
        <w:tc>
          <w:tcPr>
            <w:tcW w:type="dxa" w:w="2091"/>
            <w:tcBorders>
              <w:top w:color="000000" w:sz="4" w:val="single"/>
              <w:left w:color="000000" w:sz="4" w:val="single"/>
              <w:bottom w:color="000000" w:sz="4" w:val="single"/>
              <w:right w:color="000000" w:sz="4" w:val="single"/>
            </w:tcBorders>
            <w:shd w:fill="auto" w:val="clear"/>
          </w:tcPr>
          <w:p w14:paraId="B3000000">
            <w:pPr>
              <w:spacing w:after="200" w:line="276" w:lineRule="auto"/>
              <w:ind/>
              <w:rPr>
                <w:color w:val="000000"/>
              </w:rPr>
            </w:pPr>
            <w:r>
              <w:rPr>
                <w:color w:val="000000"/>
              </w:rPr>
              <w:t>На рассмотрении</w:t>
            </w:r>
          </w:p>
        </w:tc>
        <w:tc>
          <w:tcPr>
            <w:tcW w:type="dxa" w:w="1949"/>
            <w:tcBorders>
              <w:top w:color="000000" w:sz="4" w:val="single"/>
              <w:left w:color="000000" w:sz="4" w:val="single"/>
              <w:bottom w:color="000000" w:sz="4" w:val="single"/>
              <w:right w:color="000000" w:sz="4" w:val="single"/>
            </w:tcBorders>
          </w:tcPr>
          <w:p w14:paraId="B4000000">
            <w:pPr>
              <w:spacing w:after="200" w:line="276" w:lineRule="auto"/>
              <w:ind/>
              <w:rPr>
                <w:color w:val="000000"/>
              </w:rPr>
            </w:pPr>
            <w:r>
              <w:rPr>
                <w:color w:val="000000"/>
              </w:rPr>
              <w:t>-</w:t>
            </w:r>
          </w:p>
        </w:tc>
      </w:tr>
      <w:tr>
        <w:trPr>
          <w:trHeight w:hRule="atLeast" w:val="730"/>
        </w:trPr>
        <w:tc>
          <w:tcPr>
            <w:tcW w:type="dxa" w:w="5530"/>
            <w:gridSpan w:val="3"/>
            <w:tcBorders>
              <w:top w:color="000000" w:sz="4" w:val="single"/>
              <w:left w:color="000000" w:sz="4" w:val="single"/>
              <w:bottom w:color="000000" w:sz="4" w:val="single"/>
              <w:right w:color="000000" w:sz="4" w:val="single"/>
            </w:tcBorders>
            <w:shd w:fill="auto" w:val="clear"/>
          </w:tcPr>
          <w:p w14:paraId="B5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Итого:</w:t>
            </w:r>
          </w:p>
        </w:tc>
        <w:tc>
          <w:tcPr>
            <w:tcW w:type="dxa" w:w="2091"/>
            <w:tcBorders>
              <w:top w:color="000000" w:sz="4" w:val="single"/>
              <w:left w:color="000000" w:sz="4" w:val="single"/>
              <w:bottom w:color="000000" w:sz="4" w:val="single"/>
              <w:right w:color="000000" w:sz="4" w:val="single"/>
            </w:tcBorders>
            <w:shd w:fill="auto" w:val="clear"/>
          </w:tcPr>
          <w:p w14:paraId="B6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10 000,0</w:t>
            </w:r>
          </w:p>
        </w:tc>
        <w:tc>
          <w:tcPr>
            <w:tcW w:type="dxa" w:w="1949"/>
            <w:tcBorders>
              <w:top w:color="000000" w:sz="4" w:val="single"/>
              <w:left w:color="000000" w:sz="4" w:val="single"/>
              <w:bottom w:color="000000" w:sz="4" w:val="single"/>
              <w:right w:color="000000" w:sz="4" w:val="single"/>
            </w:tcBorders>
          </w:tcPr>
          <w:p w14:paraId="B7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5 000,0</w:t>
            </w:r>
          </w:p>
        </w:tc>
      </w:tr>
      <w:tr>
        <w:trPr>
          <w:trHeight w:hRule="atLeast" w:val="730"/>
        </w:trPr>
        <w:tc>
          <w:tcPr>
            <w:tcW w:type="dxa" w:w="7621"/>
            <w:gridSpan w:val="4"/>
            <w:tcBorders>
              <w:top w:color="000000" w:sz="4" w:val="single"/>
              <w:left w:color="000000" w:sz="4" w:val="single"/>
              <w:bottom w:color="000000" w:sz="4" w:val="single"/>
              <w:right w:color="000000" w:sz="4" w:val="single"/>
            </w:tcBorders>
            <w:shd w:fill="auto" w:val="clear"/>
          </w:tcPr>
          <w:p w14:paraId="B8000000">
            <w:pPr>
              <w:spacing w:after="148" w:before="192"/>
              <w:ind/>
              <w:jc w:val="center"/>
              <w:outlineLvl w:val="0"/>
              <w:rPr>
                <w:color w:val="000000"/>
                <w:highlight w:val="white"/>
              </w:rPr>
            </w:pPr>
            <w:r>
              <w:rPr>
                <w:color w:val="000000"/>
              </w:rPr>
              <w:t>Трудовая инспекция Краснодарского края</w:t>
            </w:r>
          </w:p>
        </w:tc>
        <w:tc>
          <w:tcPr>
            <w:tcW w:type="dxa" w:w="1949"/>
            <w:tcBorders>
              <w:top w:color="000000" w:sz="4" w:val="single"/>
              <w:left w:color="000000" w:sz="4" w:val="single"/>
              <w:bottom w:color="000000" w:sz="4" w:val="single"/>
              <w:right w:color="000000" w:sz="4" w:val="single"/>
            </w:tcBorders>
          </w:tcPr>
          <w:p w14:paraId="B9000000">
            <w:pPr>
              <w:spacing w:after="148" w:before="192"/>
              <w:ind/>
              <w:jc w:val="center"/>
              <w:outlineLvl w:val="0"/>
              <w:rPr>
                <w:color w:val="000000"/>
              </w:rPr>
            </w:pPr>
          </w:p>
        </w:tc>
      </w:tr>
      <w:tr>
        <w:trPr>
          <w:trHeight w:hRule="atLeast" w:val="730"/>
        </w:trPr>
        <w:tc>
          <w:tcPr>
            <w:tcW w:type="dxa" w:w="591"/>
            <w:tcBorders>
              <w:top w:color="000000" w:sz="4" w:val="single"/>
              <w:left w:color="000000" w:sz="4" w:val="single"/>
              <w:bottom w:color="000000" w:sz="4" w:val="single"/>
              <w:right w:color="000000" w:sz="4" w:val="single"/>
            </w:tcBorders>
            <w:shd w:fill="auto" w:val="clear"/>
          </w:tcPr>
          <w:p w14:paraId="BA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1</w:t>
            </w:r>
          </w:p>
        </w:tc>
        <w:tc>
          <w:tcPr>
            <w:tcW w:type="dxa" w:w="2930"/>
            <w:tcBorders>
              <w:top w:color="000000" w:sz="4" w:val="single"/>
              <w:left w:color="000000" w:sz="4" w:val="single"/>
              <w:bottom w:color="000000" w:sz="4" w:val="single"/>
              <w:right w:color="000000" w:sz="4" w:val="single"/>
            </w:tcBorders>
            <w:shd w:fill="auto" w:val="clear"/>
          </w:tcPr>
          <w:p w14:paraId="BB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rPr>
              <w:t>МБУК ДК «СКЦ» Лосевского сельского поселения</w:t>
            </w:r>
          </w:p>
        </w:tc>
        <w:tc>
          <w:tcPr>
            <w:tcW w:type="dxa" w:w="2009"/>
            <w:tcBorders>
              <w:top w:color="000000" w:sz="4" w:val="single"/>
              <w:left w:color="000000" w:sz="4" w:val="single"/>
              <w:bottom w:color="000000" w:sz="4" w:val="single"/>
              <w:right w:color="000000" w:sz="4" w:val="single"/>
            </w:tcBorders>
            <w:shd w:fill="auto" w:val="clear"/>
          </w:tcPr>
          <w:p w14:paraId="BC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rPr>
              <w:t>ч. 1 ст. 5.27</w:t>
            </w:r>
          </w:p>
        </w:tc>
        <w:tc>
          <w:tcPr>
            <w:tcW w:type="dxa" w:w="2091"/>
            <w:tcBorders>
              <w:top w:color="000000" w:sz="4" w:val="single"/>
              <w:left w:color="000000" w:sz="4" w:val="single"/>
              <w:bottom w:color="000000" w:sz="4" w:val="single"/>
              <w:right w:color="000000" w:sz="4" w:val="single"/>
            </w:tcBorders>
            <w:shd w:fill="auto" w:val="clear"/>
          </w:tcPr>
          <w:p w14:paraId="BD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rPr>
              <w:t>На рассмотрении</w:t>
            </w:r>
          </w:p>
        </w:tc>
        <w:tc>
          <w:tcPr>
            <w:tcW w:type="dxa" w:w="1949"/>
            <w:tcBorders>
              <w:top w:color="000000" w:sz="4" w:val="single"/>
              <w:left w:color="000000" w:sz="4" w:val="single"/>
              <w:bottom w:color="000000" w:sz="4" w:val="single"/>
              <w:right w:color="000000" w:sz="4" w:val="single"/>
            </w:tcBorders>
          </w:tcPr>
          <w:p w14:paraId="BE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p>
        </w:tc>
      </w:tr>
      <w:tr>
        <w:trPr>
          <w:trHeight w:hRule="atLeast" w:val="730"/>
        </w:trPr>
        <w:tc>
          <w:tcPr>
            <w:tcW w:type="dxa" w:w="591"/>
            <w:tcBorders>
              <w:top w:color="000000" w:sz="4" w:val="single"/>
              <w:left w:color="000000" w:sz="4" w:val="single"/>
              <w:bottom w:color="000000" w:sz="4" w:val="single"/>
              <w:right w:color="000000" w:sz="4" w:val="single"/>
            </w:tcBorders>
            <w:shd w:fill="auto" w:val="clear"/>
          </w:tcPr>
          <w:p w14:paraId="BF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highlight w:val="white"/>
              </w:rPr>
              <w:t>2</w:t>
            </w:r>
          </w:p>
        </w:tc>
        <w:tc>
          <w:tcPr>
            <w:tcW w:type="dxa" w:w="2930"/>
            <w:tcBorders>
              <w:top w:color="000000" w:sz="4" w:val="single"/>
              <w:left w:color="000000" w:sz="4" w:val="single"/>
              <w:bottom w:color="000000" w:sz="4" w:val="single"/>
              <w:right w:color="000000" w:sz="4" w:val="single"/>
            </w:tcBorders>
            <w:shd w:fill="auto" w:val="clear"/>
          </w:tcPr>
          <w:p w14:paraId="C0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r>
              <w:rPr>
                <w:color w:val="000000"/>
                <w:sz w:val="21"/>
                <w:highlight w:val="white"/>
              </w:rPr>
              <w:t>МБОУ ДО СЮН</w:t>
            </w:r>
            <w:r>
              <w:rPr>
                <w:color w:val="000000"/>
                <w:highlight w:val="white"/>
              </w:rPr>
              <w:t xml:space="preserve"> г. Кропоткин</w:t>
            </w:r>
          </w:p>
        </w:tc>
        <w:tc>
          <w:tcPr>
            <w:tcW w:type="dxa" w:w="2009"/>
            <w:tcBorders>
              <w:top w:color="000000" w:sz="4" w:val="single"/>
              <w:left w:color="000000" w:sz="4" w:val="single"/>
              <w:bottom w:color="000000" w:sz="4" w:val="single"/>
              <w:right w:color="000000" w:sz="4" w:val="single"/>
            </w:tcBorders>
            <w:shd w:fill="auto" w:val="clear"/>
          </w:tcPr>
          <w:p w14:paraId="C1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r>
              <w:rPr>
                <w:color w:val="000000"/>
              </w:rPr>
              <w:t>ч. 1 ст. 5.27</w:t>
            </w:r>
          </w:p>
        </w:tc>
        <w:tc>
          <w:tcPr>
            <w:tcW w:type="dxa" w:w="2091"/>
            <w:tcBorders>
              <w:top w:color="000000" w:sz="4" w:val="single"/>
              <w:left w:color="000000" w:sz="4" w:val="single"/>
              <w:bottom w:color="000000" w:sz="4" w:val="single"/>
              <w:right w:color="000000" w:sz="4" w:val="single"/>
            </w:tcBorders>
            <w:shd w:fill="auto" w:val="clear"/>
          </w:tcPr>
          <w:p w14:paraId="C2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highlight w:val="white"/>
              </w:rPr>
            </w:pPr>
            <w:r>
              <w:rPr>
                <w:color w:val="000000"/>
              </w:rPr>
              <w:t>На рассмотрении</w:t>
            </w:r>
          </w:p>
        </w:tc>
        <w:tc>
          <w:tcPr>
            <w:tcW w:type="dxa" w:w="1949"/>
            <w:tcBorders>
              <w:top w:color="000000" w:sz="4" w:val="single"/>
              <w:left w:color="000000" w:sz="4" w:val="single"/>
              <w:bottom w:color="000000" w:sz="4" w:val="single"/>
              <w:right w:color="000000" w:sz="4" w:val="single"/>
            </w:tcBorders>
          </w:tcPr>
          <w:p w14:paraId="C3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p>
        </w:tc>
      </w:tr>
      <w:tr>
        <w:trPr>
          <w:trHeight w:hRule="atLeast" w:val="403"/>
        </w:trPr>
        <w:tc>
          <w:tcPr>
            <w:tcW w:type="dxa" w:w="3521"/>
            <w:gridSpan w:val="2"/>
            <w:tcBorders>
              <w:top w:color="000000" w:sz="4" w:val="single"/>
              <w:left w:color="000000" w:sz="4" w:val="single"/>
              <w:bottom w:color="000000" w:sz="4" w:val="single"/>
              <w:right w:color="000000" w:sz="4" w:val="single"/>
            </w:tcBorders>
            <w:shd w:fill="auto" w:val="clear"/>
          </w:tcPr>
          <w:p w14:paraId="C4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r>
              <w:rPr>
                <w:color w:val="000000"/>
              </w:rPr>
              <w:t>Итого:</w:t>
            </w:r>
          </w:p>
        </w:tc>
        <w:tc>
          <w:tcPr>
            <w:tcW w:type="dxa" w:w="2009"/>
            <w:tcBorders>
              <w:top w:color="000000" w:sz="4" w:val="single"/>
              <w:left w:color="000000" w:sz="4" w:val="single"/>
              <w:bottom w:color="000000" w:sz="4" w:val="single"/>
              <w:right w:color="000000" w:sz="4" w:val="single"/>
            </w:tcBorders>
            <w:shd w:fill="auto" w:val="clear"/>
          </w:tcPr>
          <w:p w14:paraId="C5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p>
        </w:tc>
        <w:tc>
          <w:tcPr>
            <w:tcW w:type="dxa" w:w="2091"/>
            <w:tcBorders>
              <w:top w:color="000000" w:sz="4" w:val="single"/>
              <w:left w:color="000000" w:sz="4" w:val="single"/>
              <w:bottom w:color="000000" w:sz="4" w:val="single"/>
              <w:right w:color="000000" w:sz="4" w:val="single"/>
            </w:tcBorders>
            <w:shd w:fill="auto" w:val="clear"/>
          </w:tcPr>
          <w:p w14:paraId="C6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p>
        </w:tc>
        <w:tc>
          <w:tcPr>
            <w:tcW w:type="dxa" w:w="1949"/>
            <w:tcBorders>
              <w:top w:color="000000" w:sz="4" w:val="single"/>
              <w:left w:color="000000" w:sz="4" w:val="single"/>
              <w:bottom w:color="000000" w:sz="4" w:val="single"/>
              <w:right w:color="000000" w:sz="4" w:val="single"/>
            </w:tcBorders>
          </w:tcPr>
          <w:p w14:paraId="C7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p>
        </w:tc>
      </w:tr>
      <w:tr>
        <w:trPr>
          <w:trHeight w:hRule="atLeast" w:val="409"/>
        </w:trPr>
        <w:tc>
          <w:tcPr>
            <w:tcW w:type="dxa" w:w="3521"/>
            <w:gridSpan w:val="2"/>
            <w:tcBorders>
              <w:top w:color="000000" w:sz="4" w:val="single"/>
              <w:left w:color="000000" w:sz="4" w:val="single"/>
              <w:bottom w:color="000000" w:sz="4" w:val="single"/>
              <w:right w:color="000000" w:sz="4" w:val="single"/>
            </w:tcBorders>
            <w:shd w:fill="auto" w:val="clear"/>
          </w:tcPr>
          <w:p w14:paraId="C8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r>
              <w:rPr>
                <w:color w:val="000000"/>
              </w:rPr>
              <w:t>Всего:</w:t>
            </w:r>
          </w:p>
        </w:tc>
        <w:tc>
          <w:tcPr>
            <w:tcW w:type="dxa" w:w="2009"/>
            <w:tcBorders>
              <w:top w:color="000000" w:sz="4" w:val="single"/>
              <w:left w:color="000000" w:sz="4" w:val="single"/>
              <w:bottom w:color="000000" w:sz="4" w:val="single"/>
              <w:right w:color="000000" w:sz="4" w:val="single"/>
            </w:tcBorders>
            <w:shd w:fill="auto" w:val="clear"/>
          </w:tcPr>
          <w:p w14:paraId="C9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p>
        </w:tc>
        <w:tc>
          <w:tcPr>
            <w:tcW w:type="dxa" w:w="2091"/>
            <w:tcBorders>
              <w:top w:color="000000" w:sz="4" w:val="single"/>
              <w:left w:color="000000" w:sz="4" w:val="single"/>
              <w:bottom w:color="000000" w:sz="4" w:val="single"/>
              <w:right w:color="000000" w:sz="4" w:val="single"/>
            </w:tcBorders>
            <w:shd w:fill="auto" w:val="clear"/>
          </w:tcPr>
          <w:p w14:paraId="CA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r>
              <w:rPr>
                <w:color w:val="000000"/>
              </w:rPr>
              <w:t>105 000</w:t>
            </w:r>
            <w:r>
              <w:rPr>
                <w:color w:val="000000"/>
              </w:rPr>
              <w:t>,0</w:t>
            </w:r>
          </w:p>
        </w:tc>
        <w:tc>
          <w:tcPr>
            <w:tcW w:type="dxa" w:w="1949"/>
            <w:tcBorders>
              <w:top w:color="000000" w:sz="4" w:val="single"/>
              <w:left w:color="000000" w:sz="4" w:val="single"/>
              <w:bottom w:color="000000" w:sz="4" w:val="single"/>
              <w:right w:color="000000" w:sz="4" w:val="single"/>
            </w:tcBorders>
          </w:tcPr>
          <w:p w14:paraId="CB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color w:val="000000"/>
              </w:rPr>
            </w:pPr>
            <w:r>
              <w:rPr>
                <w:color w:val="000000"/>
              </w:rPr>
              <w:t>87 500,0</w:t>
            </w:r>
          </w:p>
        </w:tc>
      </w:tr>
    </w:tbl>
    <w:p w14:paraId="CC000000">
      <w:pPr>
        <w:ind w:firstLine="851"/>
        <w:jc w:val="both"/>
        <w:rPr>
          <w:color w:val="000000"/>
          <w:sz w:val="28"/>
        </w:rPr>
      </w:pPr>
      <w:r>
        <w:rPr>
          <w:color w:val="000000"/>
          <w:sz w:val="28"/>
        </w:rPr>
        <w:t xml:space="preserve">Общая сумма административных штрафов, </w:t>
      </w:r>
      <w:r>
        <w:rPr>
          <w:color w:val="000000"/>
          <w:sz w:val="28"/>
        </w:rPr>
        <w:t>уплаченная</w:t>
      </w:r>
      <w:r>
        <w:rPr>
          <w:color w:val="000000"/>
          <w:sz w:val="28"/>
        </w:rPr>
        <w:t xml:space="preserve"> виновным</w:t>
      </w:r>
      <w:r>
        <w:rPr>
          <w:color w:val="000000"/>
          <w:sz w:val="28"/>
        </w:rPr>
        <w:t>и</w:t>
      </w:r>
      <w:r>
        <w:rPr>
          <w:color w:val="000000"/>
          <w:sz w:val="28"/>
        </w:rPr>
        <w:t xml:space="preserve"> лицам</w:t>
      </w:r>
      <w:r>
        <w:rPr>
          <w:color w:val="000000"/>
          <w:sz w:val="28"/>
        </w:rPr>
        <w:t>и</w:t>
      </w:r>
      <w:r>
        <w:rPr>
          <w:color w:val="000000"/>
          <w:sz w:val="28"/>
        </w:rPr>
        <w:t xml:space="preserve">, составила </w:t>
      </w:r>
      <w:r>
        <w:rPr>
          <w:color w:val="000000"/>
          <w:sz w:val="28"/>
        </w:rPr>
        <w:t>87 500</w:t>
      </w:r>
      <w:r>
        <w:rPr>
          <w:color w:val="000000"/>
          <w:sz w:val="28"/>
        </w:rPr>
        <w:t>,0 тыс. рублей. Средства взысканы и поступили в бюджет района.</w:t>
      </w:r>
    </w:p>
    <w:p w14:paraId="CD000000">
      <w:pPr>
        <w:tabs>
          <w:tab w:leader="none" w:pos="0" w:val="left"/>
        </w:tabs>
        <w:ind w:firstLine="851"/>
        <w:jc w:val="both"/>
        <w:rPr>
          <w:sz w:val="28"/>
        </w:rPr>
      </w:pPr>
      <w:r>
        <w:rPr>
          <w:sz w:val="28"/>
        </w:rPr>
        <w:t xml:space="preserve">Результаты проверок рассмотрены при участии руководителей профильных управлений и проверенных организаций. </w:t>
      </w:r>
    </w:p>
    <w:p w14:paraId="CE000000">
      <w:pPr>
        <w:ind w:firstLine="851"/>
        <w:jc w:val="both"/>
        <w:rPr>
          <w:sz w:val="28"/>
        </w:rPr>
      </w:pPr>
      <w:r>
        <w:rPr>
          <w:sz w:val="28"/>
        </w:rPr>
        <w:t>Из информации организаций - объектов контроля</w:t>
      </w:r>
      <w:r>
        <w:rPr>
          <w:sz w:val="28"/>
        </w:rPr>
        <w:t xml:space="preserve">, </w:t>
      </w:r>
      <w:r>
        <w:rPr>
          <w:sz w:val="28"/>
        </w:rPr>
        <w:t>27</w:t>
      </w:r>
      <w:r>
        <w:rPr>
          <w:sz w:val="28"/>
        </w:rPr>
        <w:t xml:space="preserve"> сотрудников</w:t>
      </w:r>
      <w:r>
        <w:rPr>
          <w:sz w:val="28"/>
        </w:rPr>
        <w:t xml:space="preserve"> (ответственные лица), за допущенные нарушения, привлечены к дисциплинарной ответственности. </w:t>
      </w:r>
    </w:p>
    <w:p w14:paraId="CF000000">
      <w:pPr>
        <w:ind/>
        <w:jc w:val="center"/>
        <w:rPr>
          <w:rFonts w:ascii="TimesNewRoman" w:hAnsi="TimesNewRoman"/>
          <w:color w:val="000000"/>
          <w:sz w:val="28"/>
        </w:rPr>
      </w:pPr>
      <w:r>
        <w:rPr>
          <w:rFonts w:ascii="TimesNewRoman" w:hAnsi="TimesNewRoman"/>
          <w:color w:val="000000"/>
          <w:sz w:val="28"/>
        </w:rPr>
        <w:t>2. Контрольно-ревизионная деятельность</w:t>
      </w:r>
    </w:p>
    <w:p w14:paraId="D0000000">
      <w:pPr>
        <w:ind w:firstLine="851"/>
        <w:jc w:val="both"/>
        <w:rPr>
          <w:sz w:val="28"/>
        </w:rPr>
      </w:pPr>
      <w:r>
        <w:rPr>
          <w:color w:val="000000"/>
          <w:sz w:val="28"/>
        </w:rPr>
        <w:t>Также, Контрольно-счетной палатой проведен комплекс экспертно-аналитических мероприятий, реализованных в рамках предварительного, оперативного и последующего контроля</w:t>
      </w:r>
      <w:r>
        <w:rPr>
          <w:color w:val="000000"/>
          <w:sz w:val="28"/>
        </w:rPr>
        <w:t>,</w:t>
      </w:r>
      <w:r>
        <w:rPr>
          <w:color w:val="000000"/>
          <w:sz w:val="28"/>
        </w:rPr>
        <w:t xml:space="preserve"> за формированием и исполнением районного бюджета Кавказского района</w:t>
      </w:r>
      <w:r>
        <w:rPr>
          <w:sz w:val="28"/>
        </w:rPr>
        <w:t>.</w:t>
      </w:r>
    </w:p>
    <w:p w14:paraId="D1000000">
      <w:pPr>
        <w:ind w:firstLine="708"/>
        <w:jc w:val="center"/>
        <w:rPr>
          <w:sz w:val="28"/>
        </w:rPr>
      </w:pPr>
      <w:r>
        <w:rPr>
          <w:sz w:val="28"/>
        </w:rPr>
        <w:t>2.</w:t>
      </w:r>
      <w:r>
        <w:rPr>
          <w:sz w:val="28"/>
        </w:rPr>
        <w:t>1</w:t>
      </w:r>
      <w:r>
        <w:rPr>
          <w:sz w:val="28"/>
        </w:rPr>
        <w:t>.</w:t>
      </w:r>
      <w:r>
        <w:rPr>
          <w:sz w:val="28"/>
        </w:rPr>
        <w:t xml:space="preserve"> </w:t>
      </w:r>
      <w:r>
        <w:rPr>
          <w:sz w:val="28"/>
        </w:rPr>
        <w:t>Экспертно-аналитическая деятельность</w:t>
      </w:r>
    </w:p>
    <w:p w14:paraId="D2000000">
      <w:pPr>
        <w:ind w:firstLine="708"/>
        <w:jc w:val="both"/>
        <w:rPr>
          <w:sz w:val="28"/>
        </w:rPr>
      </w:pPr>
      <w:r>
        <w:rPr>
          <w:sz w:val="28"/>
        </w:rPr>
        <w:t>Экспертно-аналитическая работа в рамках предварительного контроля - одна из форм контроля и управления депутатского корпуса, которая позволяет на стадии формирования проектов муниципальных правовых актов корректировать их с точки зрения законности, целесообразности и эффективности использования бюджетных средств и муниципальной собственности.</w:t>
      </w:r>
    </w:p>
    <w:p w14:paraId="D3000000">
      <w:pPr>
        <w:ind w:firstLine="708"/>
        <w:jc w:val="both"/>
        <w:rPr>
          <w:sz w:val="28"/>
        </w:rPr>
      </w:pPr>
      <w:r>
        <w:rPr>
          <w:sz w:val="28"/>
        </w:rPr>
        <w:t>Экспертно-аналитическая деятельность в 202</w:t>
      </w:r>
      <w:r>
        <w:rPr>
          <w:sz w:val="28"/>
        </w:rPr>
        <w:t>5</w:t>
      </w:r>
      <w:r>
        <w:rPr>
          <w:sz w:val="28"/>
        </w:rPr>
        <w:t xml:space="preserve"> году о</w:t>
      </w:r>
      <w:r>
        <w:rPr>
          <w:sz w:val="28"/>
        </w:rPr>
        <w:t>существлялась в соответствии с П</w:t>
      </w:r>
      <w:r>
        <w:rPr>
          <w:sz w:val="28"/>
        </w:rPr>
        <w:t>оложением о Контрольно-счётной палате и планом работы Контрольно-счётной палаты.</w:t>
      </w:r>
    </w:p>
    <w:p w14:paraId="D4000000">
      <w:pPr>
        <w:ind w:firstLine="708"/>
        <w:jc w:val="both"/>
        <w:rPr>
          <w:sz w:val="28"/>
        </w:rPr>
      </w:pPr>
      <w:r>
        <w:rPr>
          <w:sz w:val="28"/>
        </w:rPr>
        <w:t>Экспертные мероприятия, проведённые в отчетном году, как и вся система контроля, осуществляемого Палатой, были направлены на обеспечение непрерывного контроля исполнения бюджета муниципального образования Кавказский район, реализуемого на трёх последовательных стадиях:</w:t>
      </w:r>
    </w:p>
    <w:p w14:paraId="D5000000">
      <w:pPr>
        <w:ind w:firstLine="708"/>
        <w:jc w:val="both"/>
        <w:rPr>
          <w:sz w:val="28"/>
        </w:rPr>
      </w:pPr>
      <w:r>
        <w:rPr>
          <w:sz w:val="28"/>
        </w:rPr>
        <w:t>- последующего контроля исполнения бюджета за 202</w:t>
      </w:r>
      <w:r>
        <w:rPr>
          <w:sz w:val="28"/>
        </w:rPr>
        <w:t>4</w:t>
      </w:r>
      <w:r>
        <w:rPr>
          <w:sz w:val="28"/>
        </w:rPr>
        <w:t xml:space="preserve"> год;</w:t>
      </w:r>
    </w:p>
    <w:p w14:paraId="D6000000">
      <w:pPr>
        <w:ind w:firstLine="708"/>
        <w:jc w:val="both"/>
        <w:rPr>
          <w:sz w:val="28"/>
        </w:rPr>
      </w:pPr>
      <w:r>
        <w:rPr>
          <w:sz w:val="28"/>
        </w:rPr>
        <w:t>- предварительного контроля проекта бюджета на 202</w:t>
      </w:r>
      <w:r>
        <w:rPr>
          <w:sz w:val="28"/>
        </w:rPr>
        <w:t>6</w:t>
      </w:r>
      <w:r>
        <w:rPr>
          <w:sz w:val="28"/>
        </w:rPr>
        <w:t xml:space="preserve"> год и на плановый период до 202</w:t>
      </w:r>
      <w:r>
        <w:rPr>
          <w:sz w:val="28"/>
        </w:rPr>
        <w:t>8</w:t>
      </w:r>
      <w:r>
        <w:rPr>
          <w:sz w:val="28"/>
        </w:rPr>
        <w:t xml:space="preserve"> года.</w:t>
      </w:r>
    </w:p>
    <w:p w14:paraId="D7000000">
      <w:pPr>
        <w:ind w:firstLine="708"/>
        <w:jc w:val="center"/>
        <w:rPr>
          <w:sz w:val="28"/>
        </w:rPr>
      </w:pPr>
      <w:r>
        <w:rPr>
          <w:sz w:val="28"/>
        </w:rPr>
        <w:t>2.</w:t>
      </w:r>
      <w:r>
        <w:rPr>
          <w:sz w:val="28"/>
        </w:rPr>
        <w:t>2</w:t>
      </w:r>
      <w:r>
        <w:rPr>
          <w:sz w:val="28"/>
        </w:rPr>
        <w:t>.</w:t>
      </w:r>
      <w:r>
        <w:rPr>
          <w:sz w:val="28"/>
        </w:rPr>
        <w:t xml:space="preserve"> Результаты контрольной работы </w:t>
      </w:r>
      <w:r>
        <w:rPr>
          <w:sz w:val="28"/>
        </w:rPr>
        <w:t>по проведению</w:t>
      </w:r>
    </w:p>
    <w:p w14:paraId="D8000000">
      <w:pPr>
        <w:ind w:firstLine="708"/>
        <w:jc w:val="center"/>
        <w:rPr>
          <w:sz w:val="28"/>
        </w:rPr>
      </w:pPr>
      <w:r>
        <w:rPr>
          <w:sz w:val="28"/>
        </w:rPr>
        <w:t>внешней проверки</w:t>
      </w:r>
      <w:r>
        <w:rPr>
          <w:sz w:val="28"/>
        </w:rPr>
        <w:t xml:space="preserve"> </w:t>
      </w:r>
      <w:r>
        <w:rPr>
          <w:sz w:val="28"/>
        </w:rPr>
        <w:t>бюджетной отчётности</w:t>
      </w:r>
    </w:p>
    <w:p w14:paraId="D9000000">
      <w:pPr>
        <w:ind w:firstLine="708"/>
        <w:jc w:val="both"/>
        <w:rPr>
          <w:sz w:val="28"/>
        </w:rPr>
      </w:pPr>
      <w:r>
        <w:rPr>
          <w:sz w:val="28"/>
        </w:rPr>
        <w:t>Контрольно-счётной палатой муниципального образования Кавказский район</w:t>
      </w:r>
      <w:r>
        <w:rPr>
          <w:sz w:val="28"/>
        </w:rPr>
        <w:t>,</w:t>
      </w:r>
      <w:r>
        <w:rPr>
          <w:sz w:val="28"/>
        </w:rPr>
        <w:t xml:space="preserve"> в соответствии с планом работы на 202</w:t>
      </w:r>
      <w:r>
        <w:rPr>
          <w:sz w:val="28"/>
        </w:rPr>
        <w:t>5</w:t>
      </w:r>
      <w:r>
        <w:rPr>
          <w:sz w:val="28"/>
        </w:rPr>
        <w:t xml:space="preserve"> год</w:t>
      </w:r>
      <w:r>
        <w:rPr>
          <w:sz w:val="28"/>
        </w:rPr>
        <w:t>,</w:t>
      </w:r>
      <w:r>
        <w:rPr>
          <w:sz w:val="28"/>
        </w:rPr>
        <w:t xml:space="preserve"> проведена внешняя проверка годовой</w:t>
      </w:r>
      <w:r>
        <w:rPr>
          <w:sz w:val="28"/>
        </w:rPr>
        <w:t xml:space="preserve"> бюджетной</w:t>
      </w:r>
      <w:r>
        <w:rPr>
          <w:sz w:val="28"/>
        </w:rPr>
        <w:t xml:space="preserve"> отчётности десяти главных администраторов доходов бюджета муниципального образования Кавказский район</w:t>
      </w:r>
      <w:r>
        <w:rPr>
          <w:sz w:val="28"/>
        </w:rPr>
        <w:t xml:space="preserve"> (далее – ГАБС),</w:t>
      </w:r>
      <w:r>
        <w:rPr>
          <w:sz w:val="28"/>
        </w:rPr>
        <w:t xml:space="preserve"> </w:t>
      </w:r>
      <w:r>
        <w:rPr>
          <w:sz w:val="28"/>
        </w:rPr>
        <w:t>за 20</w:t>
      </w:r>
      <w:r>
        <w:rPr>
          <w:sz w:val="28"/>
        </w:rPr>
        <w:t>2</w:t>
      </w:r>
      <w:r>
        <w:rPr>
          <w:sz w:val="28"/>
        </w:rPr>
        <w:t>4</w:t>
      </w:r>
      <w:r>
        <w:rPr>
          <w:sz w:val="28"/>
        </w:rPr>
        <w:t xml:space="preserve"> год</w:t>
      </w:r>
      <w:r>
        <w:rPr>
          <w:sz w:val="28"/>
        </w:rPr>
        <w:t>.</w:t>
      </w:r>
    </w:p>
    <w:p w14:paraId="DA000000">
      <w:pPr>
        <w:ind w:firstLine="708"/>
        <w:jc w:val="both"/>
        <w:rPr>
          <w:sz w:val="28"/>
        </w:rPr>
      </w:pPr>
      <w:r>
        <w:rPr>
          <w:sz w:val="28"/>
        </w:rPr>
        <w:t>Сводная бюджетная отчётность ГАБС представлена к проверке, согласно требованиям законодательства и в установленные сроки.</w:t>
      </w:r>
      <w:r>
        <w:rPr>
          <w:sz w:val="28"/>
        </w:rPr>
        <w:t xml:space="preserve"> </w:t>
      </w:r>
    </w:p>
    <w:p w14:paraId="DB000000">
      <w:pPr>
        <w:ind w:firstLine="567"/>
        <w:jc w:val="both"/>
        <w:rPr>
          <w:i w:val="1"/>
          <w:color w:val="000000"/>
          <w:sz w:val="28"/>
          <w:u w:val="single"/>
        </w:rPr>
      </w:pPr>
      <w:r>
        <w:rPr>
          <w:sz w:val="28"/>
        </w:rPr>
        <w:t>В ходе провер</w:t>
      </w:r>
      <w:r>
        <w:rPr>
          <w:sz w:val="28"/>
        </w:rPr>
        <w:t>о</w:t>
      </w:r>
      <w:r>
        <w:rPr>
          <w:sz w:val="28"/>
        </w:rPr>
        <w:t xml:space="preserve">к </w:t>
      </w:r>
      <w:r>
        <w:rPr>
          <w:sz w:val="28"/>
        </w:rPr>
        <w:t>выявлены нарушения</w:t>
      </w:r>
      <w:r>
        <w:rPr>
          <w:sz w:val="28"/>
        </w:rPr>
        <w:t xml:space="preserve">, </w:t>
      </w:r>
      <w:r>
        <w:rPr>
          <w:i w:val="1"/>
          <w:color w:val="000000"/>
          <w:sz w:val="28"/>
          <w:u w:val="single"/>
        </w:rPr>
        <w:t>содерж</w:t>
      </w:r>
      <w:r>
        <w:rPr>
          <w:i w:val="1"/>
          <w:color w:val="000000"/>
          <w:sz w:val="28"/>
          <w:u w:val="single"/>
        </w:rPr>
        <w:t>ащие</w:t>
      </w:r>
      <w:r>
        <w:rPr>
          <w:i w:val="1"/>
          <w:color w:val="000000"/>
          <w:sz w:val="28"/>
          <w:u w:val="single"/>
        </w:rPr>
        <w:t xml:space="preserve"> состав административного правонарушения, предусмотренного частью 2 статьи 15.15.6 Кодекса Российской Федерации об административных правонарушениях </w:t>
      </w:r>
      <w:r>
        <w:rPr>
          <w:i w:val="1"/>
          <w:color w:val="000000"/>
          <w:sz w:val="28"/>
          <w:u w:val="single"/>
        </w:rPr>
        <w:t xml:space="preserve">которое </w:t>
      </w:r>
      <w:r>
        <w:rPr>
          <w:i w:val="1"/>
          <w:color w:val="000000"/>
          <w:sz w:val="28"/>
          <w:u w:val="single"/>
        </w:rPr>
        <w:t>влечет наложение административного штрафа</w:t>
      </w:r>
      <w:r>
        <w:rPr>
          <w:sz w:val="28"/>
        </w:rPr>
        <w:t xml:space="preserve"> </w:t>
      </w:r>
      <w:r>
        <w:rPr>
          <w:i w:val="1"/>
          <w:sz w:val="28"/>
        </w:rPr>
        <w:t>повлиявшие на достоверность показателей годовой отчетности</w:t>
      </w:r>
      <w:r>
        <w:rPr>
          <w:i w:val="1"/>
          <w:color w:val="000000"/>
          <w:sz w:val="28"/>
          <w:u w:val="single"/>
        </w:rPr>
        <w:t xml:space="preserve">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w:t>
      </w:r>
      <w:r>
        <w:rPr>
          <w:i w:val="1"/>
          <w:color w:val="000000"/>
          <w:sz w:val="28"/>
          <w:u w:val="single"/>
        </w:rPr>
        <w:t>ия показателей этой отчетности»</w:t>
      </w:r>
      <w:r>
        <w:rPr>
          <w:i w:val="1"/>
          <w:color w:val="000000"/>
          <w:sz w:val="28"/>
          <w:u w:val="single"/>
        </w:rPr>
        <w:t>.</w:t>
      </w:r>
    </w:p>
    <w:p w14:paraId="DC000000">
      <w:pPr>
        <w:ind w:firstLine="708"/>
        <w:jc w:val="both"/>
        <w:rPr>
          <w:sz w:val="28"/>
        </w:rPr>
      </w:pPr>
      <w:r>
        <w:rPr>
          <w:sz w:val="28"/>
        </w:rPr>
        <w:t>У</w:t>
      </w:r>
      <w:r>
        <w:rPr>
          <w:sz w:val="28"/>
        </w:rPr>
        <w:t>становлено:</w:t>
      </w:r>
      <w:r>
        <w:rPr>
          <w:sz w:val="28"/>
        </w:rPr>
        <w:t xml:space="preserve"> </w:t>
      </w:r>
    </w:p>
    <w:p w14:paraId="DD000000">
      <w:pPr>
        <w:tabs>
          <w:tab w:leader="none" w:pos="838" w:val="left"/>
        </w:tabs>
        <w:spacing w:line="320" w:lineRule="exact"/>
        <w:ind w:firstLine="567"/>
        <w:jc w:val="both"/>
        <w:rPr>
          <w:color w:val="000000"/>
          <w:sz w:val="28"/>
        </w:rPr>
      </w:pPr>
      <w:r>
        <w:rPr>
          <w:color w:val="000000"/>
          <w:sz w:val="28"/>
        </w:rPr>
        <w:t xml:space="preserve">- </w:t>
      </w:r>
      <w:r>
        <w:rPr>
          <w:color w:val="000000"/>
          <w:sz w:val="28"/>
        </w:rPr>
        <w:t>несоответствие кадастров</w:t>
      </w:r>
      <w:r>
        <w:rPr>
          <w:color w:val="000000"/>
          <w:sz w:val="28"/>
        </w:rPr>
        <w:t>ых</w:t>
      </w:r>
      <w:r>
        <w:rPr>
          <w:color w:val="000000"/>
          <w:sz w:val="28"/>
        </w:rPr>
        <w:t xml:space="preserve"> номер</w:t>
      </w:r>
      <w:r>
        <w:rPr>
          <w:color w:val="000000"/>
          <w:sz w:val="28"/>
        </w:rPr>
        <w:t>ов</w:t>
      </w:r>
      <w:r>
        <w:rPr>
          <w:color w:val="000000"/>
          <w:sz w:val="28"/>
        </w:rPr>
        <w:t xml:space="preserve"> земельн</w:t>
      </w:r>
      <w:r>
        <w:rPr>
          <w:color w:val="000000"/>
          <w:sz w:val="28"/>
        </w:rPr>
        <w:t>ых участков с</w:t>
      </w:r>
      <w:r>
        <w:rPr>
          <w:color w:val="000000"/>
          <w:sz w:val="28"/>
        </w:rPr>
        <w:t xml:space="preserve"> реестр</w:t>
      </w:r>
      <w:r>
        <w:rPr>
          <w:color w:val="000000"/>
          <w:sz w:val="28"/>
        </w:rPr>
        <w:t>ом</w:t>
      </w:r>
      <w:r>
        <w:rPr>
          <w:color w:val="000000"/>
          <w:sz w:val="28"/>
        </w:rPr>
        <w:t xml:space="preserve"> муниципальной собственности;</w:t>
      </w:r>
    </w:p>
    <w:p w14:paraId="DE000000">
      <w:pPr>
        <w:tabs>
          <w:tab w:leader="none" w:pos="838" w:val="left"/>
        </w:tabs>
        <w:spacing w:line="320" w:lineRule="exact"/>
        <w:ind w:firstLine="567"/>
        <w:jc w:val="both"/>
        <w:rPr>
          <w:color w:val="000000"/>
          <w:sz w:val="28"/>
        </w:rPr>
      </w:pPr>
      <w:r>
        <w:rPr>
          <w:color w:val="000000"/>
          <w:sz w:val="28"/>
        </w:rPr>
        <w:t>- несоответстви</w:t>
      </w:r>
      <w:r>
        <w:rPr>
          <w:color w:val="000000"/>
          <w:sz w:val="28"/>
        </w:rPr>
        <w:t>е</w:t>
      </w:r>
      <w:r>
        <w:rPr>
          <w:color w:val="000000"/>
          <w:sz w:val="28"/>
        </w:rPr>
        <w:t xml:space="preserve"> сведений о стоимости земельных участков кадастровой стоимости согласно выпискам из ЕГРН;</w:t>
      </w:r>
    </w:p>
    <w:p w14:paraId="DF000000">
      <w:pPr>
        <w:tabs>
          <w:tab w:leader="none" w:pos="838" w:val="left"/>
        </w:tabs>
        <w:spacing w:line="320" w:lineRule="exact"/>
        <w:ind w:firstLine="567"/>
        <w:jc w:val="both"/>
        <w:rPr>
          <w:color w:val="000000"/>
          <w:sz w:val="28"/>
        </w:rPr>
      </w:pPr>
      <w:r>
        <w:rPr>
          <w:color w:val="000000"/>
          <w:sz w:val="28"/>
        </w:rPr>
        <w:t>- не исключен из реестра земельный участок</w:t>
      </w:r>
      <w:r>
        <w:rPr>
          <w:color w:val="000000"/>
          <w:sz w:val="28"/>
        </w:rPr>
        <w:t>,</w:t>
      </w:r>
      <w:r>
        <w:rPr>
          <w:color w:val="000000"/>
          <w:sz w:val="28"/>
        </w:rPr>
        <w:t xml:space="preserve"> </w:t>
      </w:r>
      <w:r>
        <w:rPr>
          <w:color w:val="000000"/>
          <w:sz w:val="28"/>
        </w:rPr>
        <w:t>ранее переданный</w:t>
      </w:r>
      <w:r>
        <w:rPr>
          <w:color w:val="000000"/>
          <w:sz w:val="28"/>
        </w:rPr>
        <w:t xml:space="preserve"> в оперативное управление</w:t>
      </w:r>
      <w:r>
        <w:rPr>
          <w:color w:val="000000"/>
          <w:sz w:val="28"/>
        </w:rPr>
        <w:t>;</w:t>
      </w:r>
    </w:p>
    <w:p w14:paraId="E0000000">
      <w:pPr>
        <w:ind w:firstLine="709"/>
        <w:jc w:val="both"/>
        <w:rPr>
          <w:color w:val="000000"/>
          <w:sz w:val="28"/>
          <w:shd w:fill="FFD821" w:val="clear"/>
        </w:rPr>
      </w:pPr>
      <w:r>
        <w:rPr>
          <w:color w:val="000000"/>
          <w:sz w:val="28"/>
        </w:rPr>
        <w:t xml:space="preserve">- </w:t>
      </w:r>
      <w:r>
        <w:rPr>
          <w:color w:val="000000"/>
          <w:sz w:val="28"/>
        </w:rPr>
        <w:t xml:space="preserve">нарушение требований пункта 4 статьи 7 Федерального закона </w:t>
      </w:r>
      <w:r>
        <w:rPr>
          <w:color w:val="000000"/>
          <w:sz w:val="28"/>
          <w:highlight w:val="white"/>
        </w:rPr>
        <w:t xml:space="preserve">от </w:t>
      </w:r>
      <w:r>
        <w:rPr>
          <w:color w:val="000000"/>
          <w:sz w:val="28"/>
          <w:highlight w:val="white"/>
        </w:rPr>
        <w:t>0</w:t>
      </w:r>
      <w:r>
        <w:rPr>
          <w:color w:val="000000"/>
          <w:sz w:val="28"/>
          <w:highlight w:val="white"/>
        </w:rPr>
        <w:t>6 октября 2003 г. №131-ФЗ «Об общих принципах организации местного самоуправления в Российской Федерации»</w:t>
      </w:r>
      <w:r>
        <w:rPr>
          <w:color w:val="000000"/>
          <w:sz w:val="28"/>
          <w:highlight w:val="white"/>
        </w:rPr>
        <w:t xml:space="preserve"> </w:t>
      </w:r>
      <w:r>
        <w:rPr>
          <w:color w:val="000000"/>
          <w:sz w:val="28"/>
        </w:rPr>
        <w:t xml:space="preserve">муниципальный правовой акт сельского поселения не актуализирован, и противоречит нормативным правовым актам Российской Федерации </w:t>
      </w:r>
      <w:r>
        <w:rPr>
          <w:color w:val="000000"/>
          <w:sz w:val="28"/>
        </w:rPr>
        <w:t>«</w:t>
      </w:r>
      <w:r>
        <w:rPr>
          <w:color w:val="000000"/>
          <w:sz w:val="28"/>
        </w:rPr>
        <w:fldChar w:fldCharType="begin"/>
      </w:r>
      <w:r>
        <w:rPr>
          <w:color w:val="000000"/>
          <w:sz w:val="28"/>
        </w:rPr>
        <w:instrText>HYPERLINK "consultantplus://offline/ref=B42F02CB0A7C56274757A77AD630B224BC21A7F01B9F64FC5D000A06F95D5A958FBB0F0E4FCDD74B9B895B2974BBAE9CB45A5BC4474672EFmFW6J"</w:instrText>
      </w:r>
      <w:r>
        <w:rPr>
          <w:color w:val="000000"/>
          <w:sz w:val="28"/>
        </w:rPr>
        <w:fldChar w:fldCharType="separate"/>
      </w:r>
      <w:r>
        <w:rPr>
          <w:color w:val="000000"/>
          <w:sz w:val="28"/>
        </w:rPr>
        <w:t>Общие требования</w:t>
      </w:r>
      <w:r>
        <w:rPr>
          <w:color w:val="000000"/>
          <w:sz w:val="28"/>
        </w:rPr>
        <w:fldChar w:fldCharType="end"/>
      </w:r>
      <w:r>
        <w:rPr>
          <w:color w:val="000000"/>
          <w:sz w:val="28"/>
        </w:rPr>
        <w:t xml:space="preserve"> к порядку ведения органами местного самоуправления реестров муниципального имущества</w:t>
      </w:r>
      <w:r>
        <w:rPr>
          <w:color w:val="000000"/>
          <w:sz w:val="28"/>
        </w:rPr>
        <w:t>»</w:t>
      </w:r>
      <w:r>
        <w:rPr>
          <w:color w:val="000000"/>
          <w:sz w:val="28"/>
        </w:rPr>
        <w:t xml:space="preserve"> от 10.10.2023 г. № 163н</w:t>
      </w:r>
      <w:r>
        <w:rPr>
          <w:color w:val="000000"/>
          <w:sz w:val="28"/>
        </w:rPr>
        <w:t>;</w:t>
      </w:r>
    </w:p>
    <w:p w14:paraId="E1000000">
      <w:pPr>
        <w:ind w:firstLine="709"/>
        <w:jc w:val="both"/>
        <w:rPr>
          <w:b w:val="1"/>
          <w:color w:val="000000"/>
          <w:sz w:val="28"/>
        </w:rPr>
      </w:pPr>
      <w:r>
        <w:rPr>
          <w:color w:val="000000"/>
          <w:sz w:val="28"/>
        </w:rPr>
        <w:t>- н</w:t>
      </w:r>
      <w:r>
        <w:rPr>
          <w:color w:val="000000"/>
          <w:sz w:val="28"/>
        </w:rPr>
        <w:t>арушение части 1 статьи 9, части 1 статьи 13 Федерального закона № 402-ФЗ</w:t>
      </w:r>
      <w:r>
        <w:rPr>
          <w:color w:val="000000"/>
          <w:sz w:val="28"/>
        </w:rPr>
        <w:t xml:space="preserve"> </w:t>
      </w:r>
      <w:r>
        <w:rPr>
          <w:color w:val="000000"/>
          <w:sz w:val="28"/>
        </w:rPr>
        <w:t>«О бухгалтерском учете»</w:t>
      </w:r>
      <w:r>
        <w:rPr>
          <w:color w:val="000000"/>
          <w:sz w:val="28"/>
        </w:rPr>
        <w:t>, пункта 38 Инструкции по применению Плана счетов бюджетного учета, от 06.12.2010 № 162н, не отра</w:t>
      </w:r>
      <w:r>
        <w:rPr>
          <w:color w:val="000000"/>
          <w:sz w:val="28"/>
        </w:rPr>
        <w:t>жены</w:t>
      </w:r>
      <w:r>
        <w:rPr>
          <w:color w:val="000000"/>
          <w:sz w:val="28"/>
        </w:rPr>
        <w:t xml:space="preserve"> изменения кадастровой стоимости земельных участков, находящихся в казне поселения и учитываемых на соответствующих счетах аналитического учета в бюджетном учете и бюджетной отчетности.</w:t>
      </w:r>
    </w:p>
    <w:p w14:paraId="E2000000">
      <w:pPr>
        <w:widowControl w:val="0"/>
        <w:tabs>
          <w:tab w:leader="none" w:pos="720" w:val="left"/>
        </w:tabs>
        <w:spacing w:line="228" w:lineRule="auto"/>
        <w:ind w:firstLine="720" w:right="-6"/>
        <w:jc w:val="both"/>
        <w:rPr>
          <w:color w:val="000000"/>
          <w:sz w:val="26"/>
        </w:rPr>
      </w:pPr>
      <w:r>
        <w:rPr>
          <w:color w:val="000000"/>
          <w:sz w:val="28"/>
        </w:rPr>
        <w:t>Несоблюдение администрацией требований единой методологии бюджетного учета и бюджетной отчетности привело к отражению в бюджетном учете и бюджетной отчетности субъекта учета по состоянию на 01.01.2025 недостоверной (искаженной) информации о кадастровой стоимости НПА, составляющих казну поселения</w:t>
      </w:r>
      <w:r>
        <w:rPr>
          <w:color w:val="000000"/>
          <w:sz w:val="28"/>
        </w:rPr>
        <w:t xml:space="preserve"> </w:t>
      </w:r>
      <w:r>
        <w:rPr>
          <w:color w:val="000000"/>
          <w:sz w:val="28"/>
        </w:rPr>
        <w:t xml:space="preserve">– занижение кадастровой стоимости </w:t>
      </w:r>
      <w:r>
        <w:rPr>
          <w:color w:val="000000"/>
          <w:sz w:val="28"/>
        </w:rPr>
        <w:t xml:space="preserve">68 (шестьдесят восьми) </w:t>
      </w:r>
      <w:r>
        <w:rPr>
          <w:color w:val="000000"/>
          <w:sz w:val="28"/>
        </w:rPr>
        <w:t>земельных участков казны поселени</w:t>
      </w:r>
      <w:r>
        <w:rPr>
          <w:color w:val="000000"/>
          <w:sz w:val="28"/>
        </w:rPr>
        <w:t>й</w:t>
      </w:r>
      <w:r>
        <w:rPr>
          <w:color w:val="000000"/>
          <w:sz w:val="28"/>
        </w:rPr>
        <w:t xml:space="preserve"> </w:t>
      </w:r>
      <w:r>
        <w:rPr>
          <w:color w:val="000000"/>
          <w:sz w:val="28"/>
        </w:rPr>
        <w:t>на общую сумму</w:t>
      </w:r>
      <w:r>
        <w:rPr>
          <w:color w:val="000000"/>
          <w:sz w:val="28"/>
        </w:rPr>
        <w:t xml:space="preserve"> </w:t>
      </w:r>
      <w:r>
        <w:rPr>
          <w:color w:val="000000"/>
          <w:sz w:val="28"/>
        </w:rPr>
        <w:t>11</w:t>
      </w:r>
      <w:r>
        <w:rPr>
          <w:color w:val="000000"/>
          <w:sz w:val="28"/>
        </w:rPr>
        <w:t>9</w:t>
      </w:r>
      <w:r>
        <w:rPr>
          <w:color w:val="000000"/>
          <w:sz w:val="28"/>
        </w:rPr>
        <w:t> </w:t>
      </w:r>
      <w:r>
        <w:rPr>
          <w:color w:val="000000"/>
          <w:sz w:val="28"/>
        </w:rPr>
        <w:t>574</w:t>
      </w:r>
      <w:r>
        <w:rPr>
          <w:color w:val="000000"/>
          <w:sz w:val="28"/>
        </w:rPr>
        <w:t> </w:t>
      </w:r>
      <w:r>
        <w:rPr>
          <w:color w:val="000000"/>
          <w:sz w:val="28"/>
        </w:rPr>
        <w:t>516</w:t>
      </w:r>
      <w:r>
        <w:rPr>
          <w:color w:val="000000"/>
          <w:sz w:val="28"/>
        </w:rPr>
        <w:t>,4</w:t>
      </w:r>
      <w:r>
        <w:rPr>
          <w:color w:val="000000"/>
          <w:sz w:val="28"/>
        </w:rPr>
        <w:t>0</w:t>
      </w:r>
      <w:r>
        <w:rPr>
          <w:color w:val="000000"/>
          <w:sz w:val="28"/>
        </w:rPr>
        <w:t> </w:t>
      </w:r>
      <w:r>
        <w:rPr>
          <w:color w:val="000000"/>
          <w:sz w:val="28"/>
        </w:rPr>
        <w:t>рублей.</w:t>
      </w:r>
      <w:r>
        <w:rPr>
          <w:color w:val="000000"/>
          <w:sz w:val="26"/>
        </w:rPr>
        <w:t xml:space="preserve"> </w:t>
      </w:r>
    </w:p>
    <w:p w14:paraId="E3000000">
      <w:pPr>
        <w:ind w:firstLine="567"/>
        <w:jc w:val="both"/>
        <w:rPr>
          <w:i w:val="1"/>
          <w:color w:val="000000"/>
          <w:sz w:val="28"/>
          <w:u w:val="single"/>
        </w:rPr>
      </w:pPr>
      <w:r>
        <w:rPr>
          <w:i w:val="1"/>
          <w:color w:val="000000"/>
          <w:sz w:val="28"/>
          <w:highlight w:val="white"/>
          <w:u w:val="single"/>
        </w:rPr>
        <w:t xml:space="preserve"> </w:t>
      </w:r>
      <w:r>
        <w:rPr>
          <w:i w:val="1"/>
          <w:color w:val="000000"/>
          <w:sz w:val="28"/>
          <w:highlight w:val="white"/>
          <w:u w:val="single"/>
        </w:rPr>
        <w:t>«Грубое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w:t>
      </w:r>
      <w:r>
        <w:rPr>
          <w:i w:val="1"/>
          <w:color w:val="000000"/>
          <w:sz w:val="28"/>
          <w:u w:val="single"/>
        </w:rPr>
        <w:t xml:space="preserve"> содержит состав административного правонарушения, предусмотренного частью 4 статьи 15.15.6 Кодекса Российской Федерации об административных правонарушениях и влечет наложение административного штрафа.</w:t>
      </w:r>
    </w:p>
    <w:p w14:paraId="E4000000">
      <w:pPr>
        <w:spacing w:line="240" w:lineRule="auto"/>
        <w:ind w:firstLine="720"/>
        <w:jc w:val="both"/>
        <w:rPr>
          <w:color w:val="000000"/>
          <w:sz w:val="28"/>
        </w:rPr>
      </w:pPr>
      <w:r>
        <w:rPr>
          <w:color w:val="000000"/>
          <w:sz w:val="28"/>
        </w:rPr>
        <w:t xml:space="preserve">В нарушение части 2 статьи 10, части 1 статьи 13 </w:t>
      </w:r>
      <w:r>
        <w:rPr>
          <w:color w:val="000000"/>
          <w:sz w:val="28"/>
        </w:rPr>
        <w:t>Закона № 402-ФЗ</w:t>
      </w:r>
      <w:r>
        <w:rPr>
          <w:color w:val="000000"/>
          <w:sz w:val="28"/>
        </w:rPr>
        <w:t>, пунктов 141, 143, 145 Инструкции № 157н в бюджетном учете и бюджетной отчетности Администрации на соответствующих счетах аналитического учета счета 0 108 55 000 «Непроизведенные активы, составляющие казну» по состоянию на 01.01.2025 не отражены 348 земельных участков, находящихся в казне поселения, о чем сделаны записи в</w:t>
      </w:r>
      <w:r>
        <w:rPr>
          <w:sz w:val="28"/>
        </w:rPr>
        <w:t xml:space="preserve"> ЕГРН</w:t>
      </w:r>
      <w:r>
        <w:rPr>
          <w:color w:val="000000"/>
          <w:sz w:val="28"/>
        </w:rPr>
        <w:t xml:space="preserve">. В соответствии с положениями Федерального закона от 13.07.2015 № 218-ФЗ «О государственной регистрации недвижимости» (далее – Федеральный закон № 218-ФЗ), кадастровая стоимость этих земельных участков, совокупно составляет 309 652 340,23 рублей </w:t>
      </w:r>
      <w:r>
        <w:rPr>
          <w:i w:val="1"/>
          <w:color w:val="000000"/>
        </w:rPr>
        <w:t>(348 фактов)</w:t>
      </w:r>
      <w:r>
        <w:rPr>
          <w:color w:val="000000"/>
          <w:sz w:val="28"/>
        </w:rPr>
        <w:t>.</w:t>
      </w:r>
    </w:p>
    <w:p w14:paraId="E5000000">
      <w:pPr>
        <w:tabs>
          <w:tab w:leader="none" w:pos="1560" w:val="left"/>
          <w:tab w:leader="none" w:pos="2204" w:val="left"/>
        </w:tabs>
        <w:ind w:firstLine="709"/>
        <w:jc w:val="both"/>
        <w:rPr>
          <w:i w:val="1"/>
          <w:color w:val="000000"/>
        </w:rPr>
      </w:pPr>
      <w:r>
        <w:rPr>
          <w:color w:val="000000"/>
          <w:sz w:val="28"/>
        </w:rPr>
        <w:t xml:space="preserve">Несоблюдение Администрацией требований единой методологии бюджетного учета и бюджетной отчетности привело к регистрации в регистрах бухгалтерского (бюджетного) учета мнимого объекта контроля в сумме 287 850,78 рублей </w:t>
      </w:r>
      <w:r>
        <w:rPr>
          <w:i w:val="1"/>
          <w:color w:val="000000"/>
        </w:rPr>
        <w:t>(1 факт).</w:t>
      </w:r>
    </w:p>
    <w:p w14:paraId="E6000000">
      <w:pPr>
        <w:ind w:firstLine="708"/>
        <w:jc w:val="both"/>
        <w:rPr>
          <w:sz w:val="28"/>
        </w:rPr>
      </w:pPr>
      <w:r>
        <w:rPr>
          <w:sz w:val="28"/>
        </w:rPr>
        <w:t>По результатам проведенных контрольных мероприятий оформлены и доведены до сведения руководителей ГАБС 10 заключений на отчет об исполнении районного бюджета, бюджета поселений, за 202</w:t>
      </w:r>
      <w:r>
        <w:rPr>
          <w:sz w:val="28"/>
        </w:rPr>
        <w:t>4</w:t>
      </w:r>
      <w:r>
        <w:rPr>
          <w:sz w:val="28"/>
        </w:rPr>
        <w:t xml:space="preserve"> год.</w:t>
      </w:r>
    </w:p>
    <w:p w14:paraId="E7000000">
      <w:pPr>
        <w:ind w:firstLine="709"/>
        <w:jc w:val="both"/>
        <w:rPr>
          <w:sz w:val="28"/>
        </w:rPr>
      </w:pPr>
      <w:r>
        <w:rPr>
          <w:sz w:val="28"/>
        </w:rPr>
        <w:t>По итогам проведённой работы Контрольно-счётной палатой сформулированы конкретные рекомендации в заключении на отчёт об исполнении бюджета за 202</w:t>
      </w:r>
      <w:r>
        <w:rPr>
          <w:sz w:val="28"/>
        </w:rPr>
        <w:t>4</w:t>
      </w:r>
      <w:r>
        <w:rPr>
          <w:sz w:val="28"/>
        </w:rPr>
        <w:t xml:space="preserve"> год, а именно:</w:t>
      </w:r>
    </w:p>
    <w:p w14:paraId="E8000000">
      <w:pPr>
        <w:ind w:firstLine="567"/>
        <w:jc w:val="both"/>
        <w:rPr>
          <w:color w:val="000000"/>
          <w:sz w:val="28"/>
        </w:rPr>
      </w:pPr>
      <w:r>
        <w:rPr>
          <w:color w:val="000000"/>
          <w:sz w:val="28"/>
        </w:rPr>
        <w:t xml:space="preserve">- привести в соответствие реестр муниципального имущества </w:t>
      </w:r>
      <w:r>
        <w:rPr>
          <w:color w:val="000000"/>
          <w:sz w:val="28"/>
        </w:rPr>
        <w:t xml:space="preserve">Кавказского </w:t>
      </w:r>
      <w:r>
        <w:rPr>
          <w:color w:val="000000"/>
          <w:sz w:val="28"/>
        </w:rPr>
        <w:t>района, согласно выпискам ЕГРН (</w:t>
      </w:r>
      <w:r>
        <w:rPr>
          <w:color w:val="000000"/>
          <w:sz w:val="28"/>
        </w:rPr>
        <w:t>кадастровой стоимости);</w:t>
      </w:r>
    </w:p>
    <w:p w14:paraId="E9000000">
      <w:pPr>
        <w:ind w:firstLine="567" w:right="282"/>
        <w:jc w:val="both"/>
        <w:rPr>
          <w:color w:val="000000"/>
          <w:sz w:val="28"/>
          <w:highlight w:val="yellow"/>
        </w:rPr>
      </w:pPr>
      <w:r>
        <w:rPr>
          <w:color w:val="000000"/>
          <w:sz w:val="28"/>
        </w:rPr>
        <w:t>- привести в соответствие бюджетную отчетность, на соответствующих счетах аналитического учета счета 0 108 55 000 «Непроизведенные активы, составляющие казну» включить земельны</w:t>
      </w:r>
      <w:r>
        <w:rPr>
          <w:color w:val="000000"/>
          <w:sz w:val="28"/>
        </w:rPr>
        <w:t>е</w:t>
      </w:r>
      <w:r>
        <w:rPr>
          <w:color w:val="000000"/>
          <w:sz w:val="28"/>
        </w:rPr>
        <w:t xml:space="preserve"> участк</w:t>
      </w:r>
      <w:r>
        <w:rPr>
          <w:color w:val="000000"/>
          <w:sz w:val="28"/>
        </w:rPr>
        <w:t>и</w:t>
      </w:r>
      <w:r>
        <w:rPr>
          <w:color w:val="000000"/>
          <w:sz w:val="28"/>
        </w:rPr>
        <w:t>, находящи</w:t>
      </w:r>
      <w:r>
        <w:rPr>
          <w:color w:val="000000"/>
          <w:sz w:val="28"/>
        </w:rPr>
        <w:t>е</w:t>
      </w:r>
      <w:r>
        <w:rPr>
          <w:color w:val="000000"/>
          <w:sz w:val="28"/>
        </w:rPr>
        <w:t>ся в казне поселени</w:t>
      </w:r>
      <w:r>
        <w:rPr>
          <w:color w:val="000000"/>
          <w:sz w:val="28"/>
        </w:rPr>
        <w:t>й</w:t>
      </w:r>
      <w:r>
        <w:rPr>
          <w:color w:val="000000"/>
          <w:sz w:val="28"/>
        </w:rPr>
        <w:t>, о чем сделаны записи в Едином государствен</w:t>
      </w:r>
      <w:r>
        <w:rPr>
          <w:color w:val="000000"/>
          <w:sz w:val="28"/>
        </w:rPr>
        <w:t>ном реестре недвижимости;</w:t>
      </w:r>
    </w:p>
    <w:p w14:paraId="EA000000">
      <w:pPr>
        <w:ind w:firstLine="708"/>
        <w:jc w:val="both"/>
        <w:rPr>
          <w:sz w:val="28"/>
        </w:rPr>
      </w:pPr>
      <w:r>
        <w:rPr>
          <w:sz w:val="28"/>
        </w:rPr>
        <w:t>- поручить главным администраторам доходов и главным распорядителям бюджетных средств обеспечить составление годовой отчётности в строгом соответствии с требованиями Минфина РФ и исключением повторных нарушений.</w:t>
      </w:r>
    </w:p>
    <w:p w14:paraId="EB000000">
      <w:pPr>
        <w:ind w:firstLine="708"/>
        <w:jc w:val="center"/>
        <w:rPr>
          <w:sz w:val="28"/>
        </w:rPr>
      </w:pPr>
      <w:r>
        <w:rPr>
          <w:sz w:val="28"/>
        </w:rPr>
        <w:t>2.3. Предварительный контроль</w:t>
      </w:r>
    </w:p>
    <w:p w14:paraId="EC000000">
      <w:pPr>
        <w:ind w:firstLine="708"/>
        <w:jc w:val="both"/>
        <w:rPr>
          <w:sz w:val="28"/>
        </w:rPr>
      </w:pPr>
      <w:r>
        <w:rPr>
          <w:sz w:val="28"/>
        </w:rPr>
        <w:t>В рамках предварительного контроля бюджета муниципального образования Кавказский район в качестве наиболее значимого мероприятия следует отметить экспертизу проекта бюджета на очередной трёхлетний период – проекта Решения «О бюджете муниципального образования Кавказский район на 202</w:t>
      </w:r>
      <w:r>
        <w:rPr>
          <w:sz w:val="28"/>
        </w:rPr>
        <w:t>6</w:t>
      </w:r>
      <w:r>
        <w:rPr>
          <w:sz w:val="28"/>
        </w:rPr>
        <w:t xml:space="preserve"> год и на плановый период 202</w:t>
      </w:r>
      <w:r>
        <w:rPr>
          <w:sz w:val="28"/>
        </w:rPr>
        <w:t>7</w:t>
      </w:r>
      <w:r>
        <w:rPr>
          <w:sz w:val="28"/>
        </w:rPr>
        <w:t xml:space="preserve"> и 202</w:t>
      </w:r>
      <w:r>
        <w:rPr>
          <w:sz w:val="28"/>
        </w:rPr>
        <w:t>8</w:t>
      </w:r>
      <w:r>
        <w:rPr>
          <w:sz w:val="28"/>
        </w:rPr>
        <w:t xml:space="preserve"> годов». </w:t>
      </w:r>
    </w:p>
    <w:p w14:paraId="ED000000">
      <w:pPr>
        <w:ind w:firstLine="708"/>
        <w:jc w:val="both"/>
        <w:rPr>
          <w:sz w:val="28"/>
        </w:rPr>
      </w:pPr>
      <w:r>
        <w:rPr>
          <w:sz w:val="28"/>
        </w:rPr>
        <w:t>Также</w:t>
      </w:r>
      <w:r>
        <w:rPr>
          <w:sz w:val="28"/>
        </w:rPr>
        <w:t>,</w:t>
      </w:r>
      <w:r>
        <w:rPr>
          <w:sz w:val="28"/>
        </w:rPr>
        <w:t xml:space="preserve"> </w:t>
      </w:r>
      <w:r>
        <w:rPr>
          <w:sz w:val="28"/>
        </w:rPr>
        <w:t>представлены в рамках предварительного контроля 9 проектов решений о бюджете городского и сельских поселений на 202</w:t>
      </w:r>
      <w:r>
        <w:rPr>
          <w:sz w:val="28"/>
        </w:rPr>
        <w:t>6</w:t>
      </w:r>
      <w:r>
        <w:rPr>
          <w:sz w:val="28"/>
        </w:rPr>
        <w:t xml:space="preserve"> год. </w:t>
      </w:r>
    </w:p>
    <w:p w14:paraId="EE000000">
      <w:pPr>
        <w:ind w:firstLine="708"/>
        <w:jc w:val="both"/>
        <w:rPr>
          <w:sz w:val="28"/>
        </w:rPr>
      </w:pPr>
      <w:r>
        <w:rPr>
          <w:sz w:val="28"/>
        </w:rPr>
        <w:t xml:space="preserve">Палатой подготовлены экспертные заключения. </w:t>
      </w:r>
    </w:p>
    <w:p w14:paraId="EF000000">
      <w:pPr>
        <w:ind w:firstLine="708"/>
        <w:jc w:val="both"/>
        <w:rPr>
          <w:sz w:val="28"/>
        </w:rPr>
      </w:pPr>
      <w:r>
        <w:rPr>
          <w:sz w:val="28"/>
        </w:rPr>
        <w:t>По итогам подготовленных экспертных заключений установлены следующие недостатки:</w:t>
      </w:r>
    </w:p>
    <w:p w14:paraId="F0000000">
      <w:pPr>
        <w:ind w:firstLine="708"/>
        <w:jc w:val="both"/>
        <w:rPr>
          <w:sz w:val="28"/>
        </w:rPr>
      </w:pPr>
      <w:r>
        <w:rPr>
          <w:sz w:val="28"/>
        </w:rPr>
        <w:t>- краткое описание мер по повышению эффективности расходов</w:t>
      </w:r>
      <w:r>
        <w:rPr>
          <w:sz w:val="28"/>
        </w:rPr>
        <w:t>,</w:t>
      </w:r>
      <w:r>
        <w:rPr>
          <w:sz w:val="28"/>
        </w:rPr>
        <w:t xml:space="preserve"> </w:t>
      </w:r>
      <w:r>
        <w:rPr>
          <w:sz w:val="28"/>
        </w:rPr>
        <w:t>о</w:t>
      </w:r>
      <w:r>
        <w:rPr>
          <w:sz w:val="28"/>
        </w:rPr>
        <w:t>тсутствие анализа их эффективности и механизмы реализации;</w:t>
      </w:r>
    </w:p>
    <w:p w14:paraId="F1000000">
      <w:pPr>
        <w:ind w:firstLine="708"/>
        <w:jc w:val="both"/>
        <w:rPr>
          <w:sz w:val="28"/>
        </w:rPr>
      </w:pPr>
      <w:r>
        <w:rPr>
          <w:sz w:val="28"/>
        </w:rPr>
        <w:t>- не затрагиваются вопросы, связанные с проводимой работой по снижению кредиторской задолженности;</w:t>
      </w:r>
    </w:p>
    <w:p w14:paraId="F2000000">
      <w:pPr>
        <w:ind w:firstLine="708"/>
        <w:jc w:val="both"/>
        <w:rPr>
          <w:sz w:val="28"/>
        </w:rPr>
      </w:pPr>
      <w:r>
        <w:rPr>
          <w:sz w:val="28"/>
        </w:rPr>
        <w:t>- пояснительная записка к проекту</w:t>
      </w:r>
      <w:r>
        <w:rPr>
          <w:sz w:val="28"/>
        </w:rPr>
        <w:t>,</w:t>
      </w:r>
      <w:r>
        <w:rPr>
          <w:sz w:val="28"/>
        </w:rPr>
        <w:t xml:space="preserve"> содержит информацию о бюджетных ассигнованиях по муниципальным программам на соответствующий год без информации об увеличении или уменьшении бюджетных ассигнований по отдельным основным мероприятиям, направлениям расходования средств, объектам финансирования.</w:t>
      </w:r>
      <w:r>
        <w:rPr>
          <w:sz w:val="28"/>
        </w:rPr>
        <w:t xml:space="preserve"> </w:t>
      </w:r>
    </w:p>
    <w:p w14:paraId="F3000000">
      <w:pPr>
        <w:ind w:firstLine="708"/>
        <w:jc w:val="both"/>
        <w:rPr>
          <w:sz w:val="28"/>
        </w:rPr>
      </w:pPr>
      <w:r>
        <w:rPr>
          <w:sz w:val="28"/>
        </w:rPr>
        <w:t>Не соблюдены требования Порядка разработки, реализации и оценки эффективности муниципальных программ, по описанию причин невыполнения мероприятий в годовых докладах о ходе реализации и оценке эффективности ряда муниципальных программ.</w:t>
      </w:r>
    </w:p>
    <w:p w14:paraId="F4000000">
      <w:pPr>
        <w:ind w:firstLine="708"/>
        <w:jc w:val="both"/>
        <w:rPr>
          <w:sz w:val="28"/>
        </w:rPr>
      </w:pPr>
      <w:r>
        <w:rPr>
          <w:sz w:val="28"/>
        </w:rPr>
        <w:t>Проведена экспертиза на проекты муниципальных программ и внесённых изменений к ним. Заключения по экспертизе программ направлялись их координаторам, которыми проведена работа по внесению изменений в муниципальные программы с учётом результатов проведённых экспертиз</w:t>
      </w:r>
      <w:r>
        <w:rPr>
          <w:sz w:val="28"/>
        </w:rPr>
        <w:t>.</w:t>
      </w:r>
    </w:p>
    <w:p w14:paraId="F5000000">
      <w:pPr>
        <w:ind w:firstLine="708"/>
        <w:jc w:val="both"/>
        <w:rPr>
          <w:sz w:val="28"/>
        </w:rPr>
      </w:pPr>
    </w:p>
    <w:p w14:paraId="F6000000">
      <w:pPr>
        <w:ind/>
        <w:jc w:val="center"/>
        <w:rPr>
          <w:rFonts w:ascii="TimesNewRoman" w:hAnsi="TimesNewRoman"/>
          <w:color w:val="000000"/>
          <w:sz w:val="28"/>
        </w:rPr>
      </w:pPr>
      <w:r>
        <w:rPr>
          <w:rFonts w:ascii="TimesNewRoman" w:hAnsi="TimesNewRoman"/>
          <w:color w:val="000000"/>
          <w:sz w:val="28"/>
        </w:rPr>
        <w:t>2.</w:t>
      </w:r>
      <w:r>
        <w:rPr>
          <w:rFonts w:ascii="TimesNewRoman" w:hAnsi="TimesNewRoman"/>
          <w:color w:val="000000"/>
          <w:sz w:val="28"/>
        </w:rPr>
        <w:t>4</w:t>
      </w:r>
      <w:r>
        <w:rPr>
          <w:rFonts w:ascii="TimesNewRoman" w:hAnsi="TimesNewRoman"/>
          <w:color w:val="000000"/>
          <w:sz w:val="28"/>
        </w:rPr>
        <w:t>. Контрольные мероприятия</w:t>
      </w:r>
    </w:p>
    <w:p w14:paraId="F7000000">
      <w:pPr>
        <w:ind w:firstLine="567"/>
        <w:jc w:val="both"/>
        <w:rPr>
          <w:b w:val="1"/>
          <w:color w:val="000000"/>
          <w:sz w:val="28"/>
        </w:rPr>
      </w:pPr>
      <w:r>
        <w:rPr>
          <w:b w:val="1"/>
          <w:color w:val="000000"/>
          <w:sz w:val="28"/>
        </w:rPr>
        <w:t>Информация по</w:t>
      </w:r>
      <w:r>
        <w:rPr>
          <w:b w:val="1"/>
          <w:color w:val="000000"/>
          <w:sz w:val="28"/>
        </w:rPr>
        <w:t xml:space="preserve"> проверк</w:t>
      </w:r>
      <w:r>
        <w:rPr>
          <w:b w:val="1"/>
          <w:color w:val="000000"/>
          <w:sz w:val="28"/>
        </w:rPr>
        <w:t>е</w:t>
      </w:r>
      <w:r>
        <w:rPr>
          <w:b w:val="1"/>
          <w:color w:val="000000"/>
          <w:sz w:val="28"/>
        </w:rPr>
        <w:t xml:space="preserve"> </w:t>
      </w:r>
      <w:r>
        <w:rPr>
          <w:b w:val="1"/>
          <w:color w:val="000000"/>
          <w:spacing w:val="-7"/>
          <w:sz w:val="28"/>
        </w:rPr>
        <w:t>соблюдения администрацией муниципального образования Кавказский район действующего законодательства при расходовании средств бюджета Краснодарского края на размещение и питание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вынуждено покинувших жилые помещения и находившихся в пунктах временного размещения и питания на территории Краснодарского края</w:t>
      </w:r>
      <w:r>
        <w:rPr>
          <w:b w:val="1"/>
          <w:color w:val="000000"/>
          <w:sz w:val="28"/>
        </w:rPr>
        <w:t>.</w:t>
      </w:r>
    </w:p>
    <w:p w14:paraId="F8000000">
      <w:pPr>
        <w:tabs>
          <w:tab w:leader="none" w:pos="7380" w:val="left"/>
        </w:tabs>
        <w:ind w:firstLine="567"/>
        <w:jc w:val="both"/>
        <w:rPr>
          <w:color w:val="000000"/>
          <w:sz w:val="28"/>
          <w:shd w:fill="FFD821" w:val="clear"/>
        </w:rPr>
      </w:pPr>
      <w:r>
        <w:rPr>
          <w:color w:val="000000"/>
          <w:sz w:val="28"/>
        </w:rPr>
        <w:t>Муниципальным казенным учреждением «Управление по делам ГО и ЧС Кавказского района»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(далее - Закон № 44-ФЗ), на основании пп. 6.1 п.1 постановления главы администрации (губернатора) Краснодарского края от 21.03.2022 г. № 98 «О реализации положений Федерального закона от 8 марта 2022 г. № 46-ФЗ «О внесении изменений в отдельные законодательные акты Российской Федерации», решения комиссии администрации Краснодарского края по определению случаев закупки у единственного поставщика (подрядчика, исполнителя) в Краснодарском крае от 02.11.2022 г. № 26 заключены муниципальные контракты с юридическими лицами и индивидуальными предпринимателями по размещению и питанию граждан Российской Федерации, иностранных граждан и лиц без гражданства, вынужденно покинувших территории Запорожской и Херсонской областей, прибывших на территорию Краснодарского края в экстренном массовом порядке, находившихся и находящихся в пунктах временного размещения и питания на территории Кавказского района.</w:t>
      </w:r>
    </w:p>
    <w:p w14:paraId="F9000000">
      <w:pPr>
        <w:tabs>
          <w:tab w:leader="none" w:pos="7380" w:val="left"/>
        </w:tabs>
        <w:ind w:firstLine="709"/>
        <w:jc w:val="both"/>
        <w:rPr>
          <w:color w:val="000000"/>
          <w:sz w:val="28"/>
          <w:shd w:fill="FFD821" w:val="clear"/>
        </w:rPr>
      </w:pPr>
      <w:r>
        <w:rPr>
          <w:color w:val="000000"/>
          <w:sz w:val="28"/>
        </w:rPr>
        <w:t>Согласно пункта 2 Правил, утвержденных Постановлением №770 иные межбюджетные трансферты предоставляются местным бюджетам муниципальных образований Краснодарского края на размещение и питание лиц, вынужденно покинувших жилые помещения, в течение необходимого срока из расчета расходов на пребывание в размере до 1 800,0 рублей на одного человека в сутки, включая расходы на временное размещение в размере до 913,0 рублей на человека в сутки и на питание - в размере до 887,0 рублей на человека в сутки.</w:t>
      </w:r>
    </w:p>
    <w:p w14:paraId="FA000000">
      <w:pPr>
        <w:widowControl w:val="0"/>
        <w:tabs>
          <w:tab w:leader="none" w:pos="7380" w:val="left"/>
        </w:tabs>
        <w:ind w:firstLine="709"/>
        <w:jc w:val="both"/>
        <w:rPr>
          <w:color w:val="000000"/>
          <w:sz w:val="28"/>
        </w:rPr>
      </w:pPr>
      <w:r>
        <w:rPr>
          <w:color w:val="000000"/>
          <w:sz w:val="28"/>
        </w:rPr>
        <w:t>Постановлением губернатора Краснодарского края от 13.10.2023 г. № 813 внесены изменения в пункт 2 Правил, утвержденных Постановлением № 770, и установлено, что иные межбюджетные трансферты предоставляются местным бюджетам муниципальных образований Краснодарского края на размещение и питание лиц, вынужденно покинувших жилые помещения в течение необходимого срока из расчета расходов на пребывание в размере до 1 328,0 рублей на одного человека в сутки, включая расходы на временное размещение в размере до 913,0 рублей на человека в сутки и на питание - в размере до 415,0 рублей на человека в сутки.</w:t>
      </w:r>
    </w:p>
    <w:p w14:paraId="FB000000">
      <w:pPr>
        <w:ind w:firstLine="708"/>
        <w:jc w:val="both"/>
        <w:rPr>
          <w:color w:val="000000"/>
          <w:sz w:val="28"/>
        </w:rPr>
      </w:pPr>
      <w:r>
        <w:rPr>
          <w:color w:val="000000"/>
          <w:sz w:val="28"/>
        </w:rPr>
        <w:t>На территории муниципального образования Кавказский район определены пункты временного размещения и питания (гостиниц, отелей), постановление главы администрации (губернатора) Краснодарского края от 28.10.2022 г. №770.</w:t>
      </w:r>
    </w:p>
    <w:p w14:paraId="FC000000">
      <w:pPr>
        <w:tabs>
          <w:tab w:leader="none" w:pos="7380" w:val="left"/>
        </w:tabs>
        <w:ind w:firstLine="709"/>
        <w:jc w:val="both"/>
        <w:rPr>
          <w:color w:val="000000"/>
          <w:sz w:val="28"/>
        </w:rPr>
      </w:pPr>
      <w:r>
        <w:rPr>
          <w:color w:val="000000"/>
          <w:sz w:val="28"/>
        </w:rPr>
        <w:t>Согласно представленного администрацией муниципального образования Кавказский район Отчета об использовании субсидии (субвенции, иных межбюджетных трансфертов) по состоянию на 01.01.2024 года из бюджета муниципального образования Кавказский район индивидуальными предпринимателями, оказавшими услуги по размещению и питанию граждан Российской Федерации, иностранных граждан и лиц без гражданства, вынужденно покинувших территории Запорожской и Херсонской областей, прибывших на территорию Краснодарского края в экстренном массовом порядке, находившихся и находящихся в пунктах временного размещения и питания на территории Кавказского района заключено 19 муниципальных контрактов на сумму 23 361 392,0 рублей, в том числе:</w:t>
      </w:r>
    </w:p>
    <w:p w14:paraId="FD000000">
      <w:pPr>
        <w:tabs>
          <w:tab w:leader="none" w:pos="7380" w:val="left"/>
        </w:tabs>
        <w:ind w:firstLine="709"/>
        <w:jc w:val="both"/>
        <w:rPr>
          <w:color w:val="000000"/>
          <w:sz w:val="8"/>
        </w:rPr>
      </w:pPr>
    </w:p>
    <w:tbl>
      <w:tblPr>
        <w:tblStyle w:val="Style_2"/>
        <w:tblInd w:type="dxa" w:w="62"/>
        <w:tblLayout w:type="fixed"/>
        <w:tblCellMar>
          <w:top w:type="dxa" w:w="102"/>
          <w:left w:type="dxa" w:w="62"/>
          <w:bottom w:type="dxa" w:w="102"/>
          <w:right w:type="dxa" w:w="62"/>
        </w:tblCellMar>
      </w:tblPr>
      <w:tblGrid>
        <w:gridCol w:w="560"/>
        <w:gridCol w:w="5954"/>
        <w:gridCol w:w="3118"/>
      </w:tblGrid>
      <w:tr>
        <w:trPr>
          <w:trHeight w:hRule="atLeast" w:val="249"/>
        </w:trPr>
        <w:tc>
          <w:tcPr>
            <w:tcW w:type="dxa" w:w="5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E000000">
            <w:pPr>
              <w:ind w:firstLine="709"/>
              <w:jc w:val="center"/>
              <w:rPr>
                <w:color w:val="000000"/>
              </w:rPr>
            </w:p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F000000">
            <w:pPr>
              <w:ind w:firstLine="709"/>
              <w:jc w:val="center"/>
              <w:rPr>
                <w:color w:val="000000"/>
              </w:rPr>
            </w:pPr>
            <w:r>
              <w:rPr>
                <w:color w:val="000000"/>
              </w:rPr>
              <w:t>Наименование пунктов</w:t>
            </w:r>
          </w:p>
          <w:p w14:paraId="00010000">
            <w:pPr>
              <w:ind w:firstLine="709"/>
              <w:jc w:val="center"/>
              <w:rPr>
                <w:color w:val="000000"/>
              </w:rPr>
            </w:pPr>
            <w:r>
              <w:rPr>
                <w:color w:val="000000"/>
              </w:rPr>
              <w:t xml:space="preserve"> временного размещения  и питания</w:t>
            </w:r>
          </w:p>
        </w:tc>
        <w:tc>
          <w:tcPr>
            <w:tcW w:type="dxa" w:w="3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010000">
            <w:pPr>
              <w:ind w:firstLine="709"/>
              <w:jc w:val="center"/>
              <w:rPr>
                <w:color w:val="000000"/>
              </w:rPr>
            </w:pPr>
            <w:r>
              <w:rPr>
                <w:color w:val="000000"/>
              </w:rPr>
              <w:t>Сумма всего, рублей</w:t>
            </w:r>
          </w:p>
        </w:tc>
      </w:tr>
      <w:tr>
        <w:trPr>
          <w:trHeight w:hRule="atLeast" w:val="283"/>
        </w:trPr>
        <w:tc>
          <w:tcPr>
            <w:tcW w:type="dxa" w:w="5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2010000">
            <w:pPr>
              <w:ind/>
              <w:jc w:val="center"/>
              <w:rPr>
                <w:color w:val="000000"/>
              </w:rPr>
            </w:pPr>
            <w:r>
              <w:rPr>
                <w:color w:val="000000"/>
              </w:rPr>
              <w:t>1.</w:t>
            </w: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3010000">
            <w:pPr>
              <w:ind w:firstLine="709"/>
              <w:jc w:val="center"/>
              <w:rPr>
                <w:color w:val="000000"/>
              </w:rPr>
            </w:pPr>
            <w:r>
              <w:rPr>
                <w:color w:val="000000"/>
              </w:rPr>
              <w:t>Индивидуальный предприниматель Кадькало Ирина Александровна гостиница «Кавказ»</w:t>
            </w:r>
          </w:p>
        </w:tc>
        <w:tc>
          <w:tcPr>
            <w:tcW w:type="dxa" w:w="3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4010000">
            <w:pPr>
              <w:ind/>
              <w:jc w:val="center"/>
              <w:rPr>
                <w:color w:val="000000"/>
              </w:rPr>
            </w:pPr>
            <w:r>
              <w:rPr>
                <w:color w:val="000000"/>
              </w:rPr>
              <w:t>16 900 088,0</w:t>
            </w:r>
          </w:p>
        </w:tc>
      </w:tr>
      <w:tr>
        <w:trPr>
          <w:trHeight w:hRule="atLeast" w:val="283"/>
        </w:trPr>
        <w:tc>
          <w:tcPr>
            <w:tcW w:type="dxa" w:w="5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5010000">
            <w:pPr>
              <w:ind/>
              <w:jc w:val="center"/>
              <w:rPr>
                <w:color w:val="000000"/>
              </w:rPr>
            </w:pPr>
            <w:r>
              <w:rPr>
                <w:color w:val="000000"/>
              </w:rPr>
              <w:t>2.</w:t>
            </w: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6010000">
            <w:pPr>
              <w:ind w:firstLine="709"/>
              <w:jc w:val="center"/>
              <w:rPr>
                <w:color w:val="000000"/>
              </w:rPr>
            </w:pPr>
            <w:r>
              <w:rPr>
                <w:color w:val="000000"/>
              </w:rPr>
              <w:t>Индивидуальный предприниматель Матяско Ирина Михайловна отель «Европа»</w:t>
            </w:r>
          </w:p>
        </w:tc>
        <w:tc>
          <w:tcPr>
            <w:tcW w:type="dxa" w:w="3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10000">
            <w:pPr>
              <w:ind/>
              <w:jc w:val="center"/>
              <w:rPr>
                <w:color w:val="000000"/>
              </w:rPr>
            </w:pPr>
            <w:r>
              <w:rPr>
                <w:color w:val="000000"/>
              </w:rPr>
              <w:t>6 461 304,0</w:t>
            </w:r>
          </w:p>
        </w:tc>
      </w:tr>
      <w:tr>
        <w:trPr>
          <w:trHeight w:hRule="atLeast" w:val="207"/>
        </w:trPr>
        <w:tc>
          <w:tcPr>
            <w:tcW w:type="dxa" w:w="5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10000">
            <w:pPr>
              <w:ind w:firstLine="709"/>
              <w:rPr>
                <w:b w:val="1"/>
                <w:color w:val="000000"/>
              </w:rPr>
            </w:p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10000">
            <w:pPr>
              <w:ind w:firstLine="709"/>
              <w:rPr>
                <w:b w:val="1"/>
                <w:color w:val="000000"/>
              </w:rPr>
            </w:pPr>
            <w:r>
              <w:rPr>
                <w:b w:val="1"/>
                <w:color w:val="000000"/>
              </w:rPr>
              <w:t>Всего:</w:t>
            </w:r>
          </w:p>
        </w:tc>
        <w:tc>
          <w:tcPr>
            <w:tcW w:type="dxa" w:w="3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10000">
            <w:pPr>
              <w:ind/>
              <w:jc w:val="center"/>
              <w:rPr>
                <w:b w:val="1"/>
                <w:color w:val="000000"/>
              </w:rPr>
            </w:pPr>
            <w:r>
              <w:rPr>
                <w:b w:val="1"/>
                <w:color w:val="000000"/>
              </w:rPr>
              <w:t>23 361 392,0</w:t>
            </w:r>
          </w:p>
        </w:tc>
      </w:tr>
    </w:tbl>
    <w:p w14:paraId="0B010000">
      <w:pPr>
        <w:ind w:firstLine="567"/>
        <w:jc w:val="both"/>
        <w:rPr>
          <w:rFonts w:ascii="Times New Roman CYR" w:hAnsi="Times New Roman CYR"/>
          <w:color w:val="000000"/>
          <w:sz w:val="28"/>
          <w:shd w:fill="FFD821" w:val="clear"/>
        </w:rPr>
      </w:pPr>
    </w:p>
    <w:p w14:paraId="0C010000">
      <w:pPr>
        <w:tabs>
          <w:tab w:leader="none" w:pos="7380" w:val="left"/>
        </w:tabs>
        <w:ind w:firstLine="709"/>
        <w:jc w:val="both"/>
        <w:rPr>
          <w:color w:val="000000"/>
          <w:sz w:val="28"/>
        </w:rPr>
      </w:pPr>
      <w:r>
        <w:rPr>
          <w:color w:val="000000"/>
          <w:sz w:val="28"/>
        </w:rPr>
        <w:t>Согласно представленного администрацией муниципального образования Кавказский район Отчета об использовании субсидии (субвенции, иных межбюджетных трансфертов) по состоянию на 01.01.2025 года из бюджета муниципального образования Кавказский район юридическими лицами и индивидуальными предпринимателями, оказавшими услуги по размещению и питанию граждан Российской Федерации, иностранных граждан и лиц без гражданства, вынужденно покинувших территории Запорожской и Херсонской областей, прибывших на территорию Краснодарского края в экстренном массовом порядке, находившихся и находящихся в пунктах временного размещения и питания на территории Кавказского района заключено 26 муниципальных контрактов на сумму 23 170 944,0 рублей, в том числе:</w:t>
      </w:r>
    </w:p>
    <w:p w14:paraId="0D010000">
      <w:pPr>
        <w:tabs>
          <w:tab w:leader="none" w:pos="7380" w:val="left"/>
        </w:tabs>
        <w:ind w:firstLine="709"/>
        <w:jc w:val="both"/>
        <w:rPr>
          <w:color w:val="000000"/>
          <w:sz w:val="8"/>
        </w:rPr>
      </w:pPr>
    </w:p>
    <w:tbl>
      <w:tblPr>
        <w:tblStyle w:val="Style_2"/>
        <w:tblInd w:type="dxa" w:w="62"/>
        <w:tblLayout w:type="fixed"/>
        <w:tblCellMar>
          <w:top w:type="dxa" w:w="102"/>
          <w:left w:type="dxa" w:w="62"/>
          <w:bottom w:type="dxa" w:w="102"/>
          <w:right w:type="dxa" w:w="62"/>
        </w:tblCellMar>
      </w:tblPr>
      <w:tblGrid>
        <w:gridCol w:w="567"/>
        <w:gridCol w:w="5954"/>
        <w:gridCol w:w="3118"/>
      </w:tblGrid>
      <w:tr>
        <w:trPr>
          <w:trHeight w:hRule="atLeast" w:val="249"/>
        </w:trP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10000">
            <w:pPr>
              <w:ind w:firstLine="709"/>
              <w:jc w:val="center"/>
              <w:rPr>
                <w:color w:val="000000"/>
              </w:rPr>
            </w:p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10000">
            <w:pPr>
              <w:ind w:firstLine="709"/>
              <w:jc w:val="center"/>
              <w:rPr>
                <w:color w:val="000000"/>
              </w:rPr>
            </w:pPr>
            <w:r>
              <w:rPr>
                <w:color w:val="000000"/>
              </w:rPr>
              <w:t>Наименование пунктов</w:t>
            </w:r>
          </w:p>
          <w:p w14:paraId="10010000">
            <w:pPr>
              <w:ind w:firstLine="709"/>
              <w:jc w:val="center"/>
              <w:rPr>
                <w:color w:val="000000"/>
              </w:rPr>
            </w:pPr>
            <w:r>
              <w:rPr>
                <w:color w:val="000000"/>
              </w:rPr>
              <w:t xml:space="preserve"> временного размещения  и питания</w:t>
            </w:r>
          </w:p>
        </w:tc>
        <w:tc>
          <w:tcPr>
            <w:tcW w:type="dxa" w:w="3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10000">
            <w:pPr>
              <w:ind w:firstLine="709"/>
              <w:jc w:val="center"/>
              <w:rPr>
                <w:color w:val="000000"/>
              </w:rPr>
            </w:pPr>
            <w:r>
              <w:rPr>
                <w:color w:val="000000"/>
              </w:rPr>
              <w:t>Сумма всего, рублей</w:t>
            </w:r>
          </w:p>
        </w:tc>
      </w:tr>
      <w:tr>
        <w:trPr>
          <w:trHeight w:hRule="atLeast" w:val="283"/>
        </w:trP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2010000">
            <w:pPr>
              <w:ind/>
              <w:jc w:val="center"/>
              <w:rPr>
                <w:color w:val="000000"/>
              </w:rPr>
            </w:pPr>
            <w:r>
              <w:rPr>
                <w:color w:val="000000"/>
              </w:rPr>
              <w:t>1.</w:t>
            </w: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10000">
            <w:pPr>
              <w:ind w:firstLine="709"/>
              <w:jc w:val="center"/>
              <w:rPr>
                <w:color w:val="000000"/>
              </w:rPr>
            </w:pPr>
            <w:r>
              <w:rPr>
                <w:color w:val="000000"/>
              </w:rPr>
              <w:t>Индивидуальный предприниматель Кадькало Ирина Александровна гостиница «Кавказ»</w:t>
            </w:r>
          </w:p>
        </w:tc>
        <w:tc>
          <w:tcPr>
            <w:tcW w:type="dxa" w:w="3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10000">
            <w:pPr>
              <w:ind/>
              <w:jc w:val="center"/>
              <w:rPr>
                <w:color w:val="000000"/>
              </w:rPr>
            </w:pPr>
            <w:r>
              <w:rPr>
                <w:color w:val="000000"/>
              </w:rPr>
              <w:t>4 960 080,0</w:t>
            </w:r>
          </w:p>
        </w:tc>
      </w:tr>
      <w:tr>
        <w:trPr>
          <w:trHeight w:hRule="atLeast" w:val="283"/>
        </w:trP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10000">
            <w:pPr>
              <w:ind/>
              <w:jc w:val="center"/>
              <w:rPr>
                <w:color w:val="000000"/>
              </w:rPr>
            </w:pPr>
            <w:r>
              <w:rPr>
                <w:color w:val="000000"/>
              </w:rPr>
              <w:t>2.</w:t>
            </w: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10000">
            <w:pPr>
              <w:ind w:firstLine="709"/>
              <w:jc w:val="center"/>
              <w:rPr>
                <w:color w:val="000000"/>
              </w:rPr>
            </w:pPr>
            <w:r>
              <w:rPr>
                <w:color w:val="000000"/>
              </w:rPr>
              <w:t>Индивидуальный предприниматель Матяско Ирина Михайловна отель «Европа»</w:t>
            </w:r>
          </w:p>
        </w:tc>
        <w:tc>
          <w:tcPr>
            <w:tcW w:type="dxa" w:w="3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10000">
            <w:pPr>
              <w:ind/>
              <w:jc w:val="center"/>
              <w:rPr>
                <w:color w:val="000000"/>
              </w:rPr>
            </w:pPr>
            <w:r>
              <w:rPr>
                <w:color w:val="000000"/>
              </w:rPr>
              <w:t>6 086 224,0</w:t>
            </w:r>
          </w:p>
        </w:tc>
      </w:tr>
      <w:tr>
        <w:trPr>
          <w:trHeight w:hRule="atLeast" w:val="283"/>
        </w:trP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10000">
            <w:pPr>
              <w:ind/>
              <w:jc w:val="center"/>
              <w:rPr>
                <w:color w:val="000000"/>
              </w:rPr>
            </w:pPr>
            <w:r>
              <w:rPr>
                <w:color w:val="000000"/>
              </w:rPr>
              <w:t>3.</w:t>
            </w: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10000">
            <w:pPr>
              <w:ind w:firstLine="709"/>
              <w:jc w:val="center"/>
              <w:rPr>
                <w:color w:val="000000"/>
              </w:rPr>
            </w:pPr>
            <w:r>
              <w:rPr>
                <w:color w:val="000000"/>
              </w:rPr>
              <w:t>ООО «Гостиница Кавказ»</w:t>
            </w:r>
          </w:p>
        </w:tc>
        <w:tc>
          <w:tcPr>
            <w:tcW w:type="dxa" w:w="3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10000">
            <w:pPr>
              <w:ind/>
              <w:jc w:val="center"/>
              <w:rPr>
                <w:color w:val="000000"/>
              </w:rPr>
            </w:pPr>
            <w:r>
              <w:rPr>
                <w:color w:val="000000"/>
              </w:rPr>
              <w:t>12 124 640,0</w:t>
            </w:r>
          </w:p>
        </w:tc>
      </w:tr>
      <w:tr>
        <w:trPr>
          <w:trHeight w:hRule="atLeast" w:val="207"/>
        </w:trP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B010000">
            <w:pPr>
              <w:ind w:firstLine="709"/>
              <w:rPr>
                <w:b w:val="1"/>
                <w:color w:val="000000"/>
              </w:rPr>
            </w:p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10000">
            <w:pPr>
              <w:ind w:firstLine="709"/>
              <w:rPr>
                <w:b w:val="1"/>
                <w:color w:val="000000"/>
              </w:rPr>
            </w:pPr>
            <w:r>
              <w:rPr>
                <w:b w:val="1"/>
                <w:color w:val="000000"/>
              </w:rPr>
              <w:t>Всего:</w:t>
            </w:r>
          </w:p>
        </w:tc>
        <w:tc>
          <w:tcPr>
            <w:tcW w:type="dxa" w:w="3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D010000">
            <w:pPr>
              <w:ind/>
              <w:jc w:val="center"/>
              <w:rPr>
                <w:b w:val="1"/>
                <w:color w:val="000000"/>
              </w:rPr>
            </w:pPr>
            <w:r>
              <w:rPr>
                <w:b w:val="1"/>
                <w:color w:val="000000"/>
              </w:rPr>
              <w:t>23 170 944,0</w:t>
            </w:r>
          </w:p>
        </w:tc>
      </w:tr>
    </w:tbl>
    <w:p w14:paraId="1E010000">
      <w:pPr>
        <w:ind w:firstLine="709"/>
        <w:jc w:val="both"/>
        <w:rPr>
          <w:color w:val="000000"/>
          <w:sz w:val="28"/>
        </w:rPr>
      </w:pPr>
      <w:r>
        <w:rPr>
          <w:color w:val="000000"/>
          <w:sz w:val="28"/>
        </w:rPr>
        <w:t>Цены муниципальных контрактов определялись посредством применения нормативного метода в соответствии с ч.7 ст.22 Закона № 44-ФЗ.</w:t>
      </w:r>
    </w:p>
    <w:p w14:paraId="1F010000">
      <w:pPr>
        <w:ind w:firstLine="709"/>
        <w:jc w:val="both"/>
        <w:rPr>
          <w:color w:val="000000"/>
          <w:sz w:val="28"/>
        </w:rPr>
      </w:pPr>
      <w:r>
        <w:rPr>
          <w:color w:val="000000"/>
          <w:sz w:val="28"/>
        </w:rPr>
        <w:t>Оказанные услуги приняты, запланированные бюджетные средства израсходованы в полном объёме.</w:t>
      </w:r>
    </w:p>
    <w:p w14:paraId="20010000">
      <w:pPr>
        <w:widowControl w:val="0"/>
        <w:tabs>
          <w:tab w:leader="none" w:pos="7380" w:val="left"/>
        </w:tabs>
        <w:ind w:firstLine="709"/>
        <w:jc w:val="both"/>
        <w:rPr>
          <w:color w:val="000000"/>
          <w:sz w:val="28"/>
        </w:rPr>
      </w:pPr>
      <w:r>
        <w:rPr>
          <w:color w:val="000000"/>
          <w:sz w:val="28"/>
        </w:rPr>
        <w:t>В ходе проверки установлено:</w:t>
      </w:r>
    </w:p>
    <w:p w14:paraId="21010000">
      <w:pPr>
        <w:widowControl w:val="0"/>
        <w:tabs>
          <w:tab w:leader="none" w:pos="7380" w:val="left"/>
        </w:tabs>
        <w:ind w:firstLine="709"/>
        <w:jc w:val="both"/>
        <w:rPr>
          <w:color w:val="000000"/>
          <w:sz w:val="28"/>
        </w:rPr>
      </w:pPr>
      <w:r>
        <w:rPr>
          <w:color w:val="000000"/>
          <w:sz w:val="28"/>
        </w:rPr>
        <w:t xml:space="preserve">- общее количество по списку к контракту, проживающих граждан в отеле, не соответствует спецификации к муниципальному контракту. </w:t>
      </w:r>
    </w:p>
    <w:p w14:paraId="22010000">
      <w:pPr>
        <w:ind w:firstLine="709"/>
        <w:jc w:val="both"/>
        <w:rPr>
          <w:color w:val="000000"/>
          <w:sz w:val="28"/>
        </w:rPr>
      </w:pPr>
      <w:r>
        <w:rPr>
          <w:color w:val="000000"/>
          <w:sz w:val="28"/>
        </w:rPr>
        <w:t>- Переплата по муниципальному контракту, несоответствие количества дней проживания, повлекло переплату в сумме 1 328,0 рублей.</w:t>
      </w:r>
    </w:p>
    <w:p w14:paraId="23010000">
      <w:pPr>
        <w:ind w:firstLine="567"/>
        <w:jc w:val="both"/>
        <w:rPr>
          <w:color w:val="000000"/>
          <w:sz w:val="28"/>
        </w:rPr>
      </w:pPr>
      <w:r>
        <w:rPr>
          <w:color w:val="000000"/>
          <w:sz w:val="28"/>
        </w:rPr>
        <w:t>Рекомендовано, утвердить:</w:t>
      </w:r>
    </w:p>
    <w:p w14:paraId="24010000">
      <w:pPr>
        <w:ind w:firstLine="567"/>
        <w:jc w:val="both"/>
        <w:rPr>
          <w:color w:val="000000"/>
          <w:sz w:val="28"/>
        </w:rPr>
      </w:pPr>
      <w:r>
        <w:rPr>
          <w:color w:val="000000"/>
          <w:sz w:val="28"/>
        </w:rPr>
        <w:t>-  порядок работы пунктов временного размещения граждан, вынужденно покинувших территории Украины, Донецкой Народной Республики, Луганской Народной Республики и прибывающих на территорию муниципального образования Кавказский район;</w:t>
      </w:r>
    </w:p>
    <w:p w14:paraId="25010000">
      <w:pPr>
        <w:tabs>
          <w:tab w:leader="none" w:pos="7380" w:val="left"/>
        </w:tabs>
        <w:ind w:firstLine="709"/>
        <w:jc w:val="both"/>
        <w:rPr>
          <w:color w:val="000000"/>
          <w:sz w:val="28"/>
        </w:rPr>
      </w:pPr>
      <w:r>
        <w:rPr>
          <w:color w:val="000000"/>
          <w:sz w:val="28"/>
        </w:rPr>
        <w:t xml:space="preserve">- функциональные обязанности должностных лиц ПВР; </w:t>
      </w:r>
    </w:p>
    <w:p w14:paraId="26010000">
      <w:pPr>
        <w:tabs>
          <w:tab w:leader="none" w:pos="7380" w:val="left"/>
        </w:tabs>
        <w:ind w:firstLine="709"/>
        <w:jc w:val="both"/>
        <w:rPr>
          <w:color w:val="000000"/>
          <w:sz w:val="28"/>
        </w:rPr>
      </w:pPr>
      <w:r>
        <w:rPr>
          <w:color w:val="000000"/>
          <w:sz w:val="28"/>
        </w:rPr>
        <w:t>- правила внутреннего распорядка пункта временного размещения;</w:t>
      </w:r>
    </w:p>
    <w:p w14:paraId="27010000">
      <w:pPr>
        <w:tabs>
          <w:tab w:leader="none" w:pos="7380" w:val="left"/>
        </w:tabs>
        <w:ind w:firstLine="709"/>
        <w:jc w:val="both"/>
        <w:rPr>
          <w:color w:val="000000"/>
          <w:sz w:val="28"/>
        </w:rPr>
      </w:pPr>
      <w:r>
        <w:rPr>
          <w:color w:val="000000"/>
          <w:sz w:val="28"/>
        </w:rPr>
        <w:t>- сформировать штатный состав пункта временного размещения.</w:t>
      </w:r>
    </w:p>
    <w:p w14:paraId="28010000">
      <w:pPr>
        <w:tabs>
          <w:tab w:leader="none" w:pos="7380" w:val="left"/>
        </w:tabs>
        <w:ind w:firstLine="709"/>
        <w:jc w:val="both"/>
        <w:rPr>
          <w:color w:val="000000"/>
          <w:sz w:val="28"/>
        </w:rPr>
      </w:pPr>
      <w:r>
        <w:rPr>
          <w:color w:val="000000"/>
          <w:sz w:val="28"/>
        </w:rPr>
        <w:t>Организацию взаимодействия Администрации муниципального образования Кавказский район и учреждений всех форм собственности по вопросам охраны общественного порядка, питания проживающих, оказания медицинской помощи возложить на ответственных лиц (раннее назначенных).</w:t>
      </w:r>
    </w:p>
    <w:p w14:paraId="29010000">
      <w:pPr>
        <w:ind w:firstLine="709"/>
        <w:jc w:val="both"/>
        <w:rPr>
          <w:color w:val="000000"/>
          <w:sz w:val="28"/>
        </w:rPr>
      </w:pPr>
    </w:p>
    <w:p w14:paraId="2A010000">
      <w:pPr>
        <w:ind w:firstLine="709"/>
        <w:jc w:val="both"/>
        <w:rPr>
          <w:b w:val="1"/>
          <w:color w:val="000000"/>
          <w:sz w:val="28"/>
        </w:rPr>
      </w:pPr>
      <w:r>
        <w:rPr>
          <w:b w:val="1"/>
          <w:color w:val="000000"/>
          <w:sz w:val="28"/>
        </w:rPr>
        <w:t xml:space="preserve">Информация по проверке </w:t>
      </w:r>
      <w:r>
        <w:rPr>
          <w:b w:val="1"/>
          <w:color w:val="000000"/>
          <w:sz w:val="28"/>
        </w:rPr>
        <w:t>целевого и эффективного использования бюджетных средств по муниципальной программе «Развитие культуры Темижбекского сельского поселения Кавказского района» муниципального бюджетного учреждения культуры «Центральная сельская библиотека» Темижбекского сельского поселения Кавказского района за 2023 год и текущий период 2024 года</w:t>
      </w:r>
      <w:r>
        <w:rPr>
          <w:b w:val="1"/>
          <w:color w:val="000000"/>
          <w:sz w:val="28"/>
        </w:rPr>
        <w:t>.</w:t>
      </w:r>
    </w:p>
    <w:p w14:paraId="2B010000">
      <w:pPr>
        <w:ind w:firstLine="567"/>
        <w:jc w:val="both"/>
        <w:rPr>
          <w:color w:val="000000"/>
          <w:sz w:val="28"/>
        </w:rPr>
      </w:pPr>
      <w:r>
        <w:rPr>
          <w:color w:val="000000"/>
          <w:sz w:val="28"/>
        </w:rPr>
        <w:t>В ходе проверки установлено нарушение графика перечисления субсидии по Соглашению от 29.12.2023 г. № 1/2024 «О порядке и условиях предоставления субсидий на финансовое обеспечение выполнения муниципального задания на оказание муниципальных услуг (выполнение работ)» заключенного между администрацией Темижбекского сельского поселения Кавказского района и МБУК «Центральная сельская библиотека» Темижбекского сельского поселения Кавказского района.</w:t>
      </w:r>
    </w:p>
    <w:p w14:paraId="2C010000">
      <w:pPr>
        <w:ind w:firstLine="567"/>
        <w:jc w:val="both"/>
        <w:rPr>
          <w:color w:val="000000"/>
          <w:sz w:val="28"/>
        </w:rPr>
      </w:pPr>
      <w:r>
        <w:rPr>
          <w:color w:val="000000"/>
          <w:sz w:val="28"/>
        </w:rPr>
        <w:t>В действиях должностных лиц Администрации Темижбекского сельского поселения Кавказского района усматриваются признаки административного правонарушения, предусмотренного ч. 1 ст. 15.15.5. КоАП РФ –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w:t>
      </w:r>
    </w:p>
    <w:p w14:paraId="2D010000">
      <w:pPr>
        <w:ind w:firstLine="567"/>
        <w:jc w:val="both"/>
        <w:rPr>
          <w:color w:val="000000"/>
          <w:sz w:val="28"/>
        </w:rPr>
      </w:pPr>
      <w:r>
        <w:rPr>
          <w:color w:val="000000"/>
          <w:sz w:val="28"/>
        </w:rPr>
        <w:t>Нарушение п.9 Порядка формирования муниципального задания на оказание муниципальных услуг (выполнение работ) в отношении муниципальных учреждений Темижбекского сельского поселения и финансового обеспечения выполнения муниципального задания утвержденного постановлением администрации Темижбекского сельского поселения Кавказского района от 30.12.2019 г. № 150.</w:t>
      </w:r>
    </w:p>
    <w:p w14:paraId="2E010000">
      <w:pPr>
        <w:ind w:firstLine="567"/>
        <w:jc w:val="both"/>
        <w:rPr>
          <w:color w:val="000000"/>
          <w:sz w:val="28"/>
        </w:rPr>
      </w:pPr>
      <w:r>
        <w:rPr>
          <w:color w:val="000000"/>
          <w:sz w:val="28"/>
        </w:rPr>
        <w:t>Проверка правильности начисления заработной платы сотрудников МБУК «ЦСБ» проводилась выборочным способом, установлено:</w:t>
      </w:r>
    </w:p>
    <w:p w14:paraId="2F010000">
      <w:pPr>
        <w:ind w:firstLine="567"/>
        <w:jc w:val="both"/>
        <w:rPr>
          <w:color w:val="000000"/>
          <w:sz w:val="28"/>
        </w:rPr>
      </w:pPr>
      <w:r>
        <w:rPr>
          <w:color w:val="000000"/>
          <w:sz w:val="28"/>
        </w:rPr>
        <w:t>нарушение ст. 139 ТК РФ, п. 4 Постановления Правительства РФ от 24 декабря 2007 года № 922 «Об особенностях порядка исчисления средней заработной платы» при расчете среднедневного заработка.</w:t>
      </w:r>
    </w:p>
    <w:p w14:paraId="30010000">
      <w:pPr>
        <w:ind w:firstLine="567"/>
        <w:jc w:val="both"/>
        <w:rPr>
          <w:color w:val="000000"/>
          <w:sz w:val="28"/>
        </w:rPr>
      </w:pPr>
      <w:r>
        <w:rPr>
          <w:color w:val="000000"/>
          <w:sz w:val="28"/>
        </w:rPr>
        <w:t xml:space="preserve">Нарушение п. 2 ч. 8 ст. 16 Закона №44 ФЗ. </w:t>
      </w:r>
    </w:p>
    <w:p w14:paraId="31010000">
      <w:pPr>
        <w:ind w:firstLine="567"/>
        <w:jc w:val="both"/>
        <w:rPr>
          <w:color w:val="000000"/>
          <w:sz w:val="28"/>
        </w:rPr>
      </w:pPr>
      <w:r>
        <w:rPr>
          <w:color w:val="000000"/>
          <w:sz w:val="28"/>
        </w:rPr>
        <w:t>Рекомендовано рассмотреть и принять меры для устранения выявленных нарушений и недостатков:</w:t>
      </w:r>
    </w:p>
    <w:p w14:paraId="32010000">
      <w:pPr>
        <w:ind w:firstLine="709"/>
        <w:jc w:val="both"/>
        <w:rPr>
          <w:color w:val="000000"/>
          <w:sz w:val="28"/>
        </w:rPr>
      </w:pPr>
      <w:r>
        <w:rPr>
          <w:color w:val="000000"/>
          <w:sz w:val="28"/>
        </w:rPr>
        <w:t>- произвести доплату по заработной плате, возместить неправомерно выплаченную заработную плату, перечислить страховые взносы (30,2%) во внебюджетные фонды, возместить ранее перечисленные страховые взносы (30,2%).</w:t>
      </w:r>
    </w:p>
    <w:p w14:paraId="33010000">
      <w:pPr>
        <w:ind w:firstLine="360"/>
        <w:jc w:val="both"/>
        <w:rPr>
          <w:rFonts w:ascii="Arial" w:hAnsi="Arial"/>
          <w:b w:val="1"/>
          <w:color w:val="000000"/>
          <w:sz w:val="28"/>
        </w:rPr>
      </w:pPr>
      <w:r>
        <w:rPr>
          <w:color w:val="000000"/>
          <w:sz w:val="28"/>
        </w:rPr>
        <w:t>Материалы по результатам проведения контрольного мероприятия направлены, в соответствии со статьей 23.1 КоАП РФ, в Мировой судебный участок №144 Кавказского района Краснодарского края.</w:t>
      </w:r>
    </w:p>
    <w:p w14:paraId="34010000">
      <w:pPr>
        <w:ind w:firstLine="567"/>
        <w:jc w:val="both"/>
        <w:rPr>
          <w:color w:val="000000"/>
          <w:sz w:val="28"/>
        </w:rPr>
      </w:pPr>
    </w:p>
    <w:p w14:paraId="35010000">
      <w:pPr>
        <w:ind w:firstLine="567"/>
        <w:jc w:val="both"/>
        <w:rPr>
          <w:b w:val="1"/>
          <w:color w:val="000000"/>
          <w:sz w:val="28"/>
        </w:rPr>
      </w:pPr>
      <w:r>
        <w:rPr>
          <w:b w:val="1"/>
          <w:color w:val="000000"/>
          <w:sz w:val="28"/>
        </w:rPr>
        <w:t xml:space="preserve">Информация по проверке </w:t>
      </w:r>
      <w:r>
        <w:rPr>
          <w:b w:val="1"/>
          <w:color w:val="000000"/>
          <w:sz w:val="28"/>
        </w:rPr>
        <w:t>целевого и эффективного использования бюджетных средств по муниципальной программе «Развитие культуры Кропоткинского городского поселения Кавказского района», мероприятие организация культурного досуга (в том числе расходы на содержание МБУК «Городской парк культуры и отдыха»), за 2024 год и текущий период 2025 года.</w:t>
      </w:r>
    </w:p>
    <w:p w14:paraId="36010000">
      <w:pPr>
        <w:widowControl w:val="0"/>
        <w:ind w:firstLine="567"/>
        <w:jc w:val="both"/>
        <w:rPr>
          <w:color w:val="000000"/>
          <w:sz w:val="28"/>
        </w:rPr>
      </w:pPr>
      <w:r>
        <w:rPr>
          <w:color w:val="000000"/>
          <w:sz w:val="28"/>
        </w:rPr>
        <w:t>Цель контрольного мероприятия: соблюдение целевого и эффективного использования бюджетных средств по муниципальной программе «Развитие культуры Кропоткинского городского поселения Кавказского района», мероприятие организация культурного досуга (в том числе расходы на содержание МБУК «Городской парк культуры и отдыха»), за 2024 год и текущий период 2025 года.</w:t>
      </w:r>
    </w:p>
    <w:p w14:paraId="37010000">
      <w:pPr>
        <w:ind w:firstLine="567"/>
        <w:jc w:val="both"/>
        <w:rPr>
          <w:color w:val="000000"/>
          <w:sz w:val="28"/>
        </w:rPr>
      </w:pPr>
      <w:r>
        <w:rPr>
          <w:color w:val="000000"/>
          <w:sz w:val="28"/>
        </w:rPr>
        <w:t xml:space="preserve">Постановлением администрации Кропоткинского городского поселения Кавказского района от 05.12.2023 г. №2264 утверждено муниципальное задание для МБУК «Городской парк культуры и отдыха» на 2024 г. </w:t>
      </w:r>
    </w:p>
    <w:p w14:paraId="38010000">
      <w:pPr>
        <w:ind w:firstLine="567"/>
        <w:jc w:val="both"/>
        <w:rPr>
          <w:color w:val="000000"/>
          <w:sz w:val="28"/>
        </w:rPr>
      </w:pPr>
      <w:r>
        <w:rPr>
          <w:color w:val="000000"/>
          <w:sz w:val="28"/>
        </w:rPr>
        <w:t xml:space="preserve">Между Администрацией и МБУК «Городской парк культуры и отдыха» на 2024 год заключено Соглашение №5. </w:t>
      </w:r>
    </w:p>
    <w:p w14:paraId="39010000">
      <w:pPr>
        <w:widowControl w:val="0"/>
        <w:ind w:firstLine="567"/>
        <w:jc w:val="both"/>
        <w:rPr>
          <w:color w:val="000000"/>
          <w:sz w:val="28"/>
        </w:rPr>
      </w:pPr>
      <w:r>
        <w:rPr>
          <w:color w:val="000000"/>
          <w:sz w:val="28"/>
        </w:rPr>
        <w:t>Установлено нарушение п.10 Положения №1178 муниципальное задание на 2024 г., отчеты о выполнении муниципального задания за 2024 г. не опубликованы на официальном сайте в информационно-телекоммуникационной сети «Интернет» МБУК «Городской парк культуры и отдыха» (</w:t>
      </w:r>
      <w:r>
        <w:rPr>
          <w:color w:val="0000FF"/>
          <w:sz w:val="28"/>
          <w:u w:val="single"/>
        </w:rPr>
        <w:fldChar w:fldCharType="begin"/>
      </w:r>
      <w:r>
        <w:rPr>
          <w:color w:val="0000FF"/>
          <w:sz w:val="28"/>
          <w:u w:val="single"/>
        </w:rPr>
        <w:instrText>HYPERLINK "https://kroppark.ru/"</w:instrText>
      </w:r>
      <w:r>
        <w:rPr>
          <w:color w:val="0000FF"/>
          <w:sz w:val="28"/>
          <w:u w:val="single"/>
        </w:rPr>
        <w:fldChar w:fldCharType="separate"/>
      </w:r>
      <w:r>
        <w:rPr>
          <w:color w:val="0000FF"/>
          <w:sz w:val="28"/>
          <w:u w:val="single"/>
        </w:rPr>
        <w:t>https://kroppark.ru/</w:t>
      </w:r>
      <w:r>
        <w:rPr>
          <w:color w:val="0000FF"/>
          <w:sz w:val="28"/>
          <w:u w:val="single"/>
        </w:rPr>
        <w:fldChar w:fldCharType="end"/>
      </w:r>
      <w:r>
        <w:rPr>
          <w:color w:val="000000"/>
          <w:sz w:val="28"/>
        </w:rPr>
        <w:t>).</w:t>
      </w:r>
    </w:p>
    <w:p w14:paraId="3A010000">
      <w:pPr>
        <w:ind w:firstLine="567"/>
        <w:jc w:val="both"/>
        <w:rPr>
          <w:color w:val="000000"/>
          <w:sz w:val="28"/>
        </w:rPr>
      </w:pPr>
      <w:r>
        <w:rPr>
          <w:color w:val="000000"/>
          <w:sz w:val="28"/>
        </w:rPr>
        <w:t>В ходе выборочной проверки проведен анализ заключения и исполнения муниципальных контрактов, установлено:</w:t>
      </w:r>
    </w:p>
    <w:p w14:paraId="3B010000">
      <w:pPr>
        <w:widowControl w:val="0"/>
        <w:ind w:firstLine="567"/>
        <w:jc w:val="both"/>
        <w:rPr>
          <w:color w:val="000000"/>
          <w:sz w:val="28"/>
        </w:rPr>
      </w:pPr>
      <w:r>
        <w:rPr>
          <w:color w:val="000000"/>
          <w:sz w:val="28"/>
        </w:rPr>
        <w:t>нарушение ч. 3 ст. 103 Закона №44-ФЗ, пп. б п. 15 ч. 3 Правил №60 заказчик в течение пяти рабочих дней размещает информацию об изменении контракта в ЕИС.</w:t>
      </w:r>
    </w:p>
    <w:p w14:paraId="3C010000">
      <w:pPr>
        <w:widowControl w:val="0"/>
        <w:ind w:firstLine="567"/>
        <w:jc w:val="both"/>
        <w:rPr>
          <w:color w:val="000000"/>
          <w:sz w:val="28"/>
        </w:rPr>
      </w:pPr>
      <w:r>
        <w:rPr>
          <w:color w:val="000000"/>
          <w:sz w:val="28"/>
          <w:highlight w:val="white"/>
        </w:rPr>
        <w:t xml:space="preserve">Нарушение заказчиком, оператором электронной площадки, оператором специализированной площадки, кредитной организацией установленных </w:t>
      </w:r>
      <w:r>
        <w:rPr>
          <w:color w:val="000000"/>
          <w:sz w:val="28"/>
          <w:highlight w:val="white"/>
        </w:rPr>
        <w:fldChar w:fldCharType="begin"/>
      </w:r>
      <w:r>
        <w:rPr>
          <w:color w:val="000000"/>
          <w:sz w:val="28"/>
          <w:highlight w:val="white"/>
        </w:rPr>
        <w:instrText>HYPERLINK "https://internet.garant.ru/" \l "/document/70353464/entry/2"</w:instrText>
      </w:r>
      <w:r>
        <w:rPr>
          <w:color w:val="000000"/>
          <w:sz w:val="28"/>
          <w:highlight w:val="white"/>
        </w:rPr>
        <w:fldChar w:fldCharType="separate"/>
      </w:r>
      <w:r>
        <w:rPr>
          <w:color w:val="000000"/>
          <w:sz w:val="28"/>
          <w:highlight w:val="white"/>
        </w:rPr>
        <w:t>законодательством</w:t>
      </w:r>
      <w:r>
        <w:rPr>
          <w:color w:val="000000"/>
          <w:sz w:val="28"/>
          <w:highlight w:val="white"/>
        </w:rPr>
        <w:fldChar w:fldCharType="end"/>
      </w:r>
      <w:r>
        <w:rPr>
          <w:color w:val="000000"/>
          <w:sz w:val="28"/>
          <w:highlight w:val="white"/>
        </w:rPr>
        <w:t xml:space="preserve">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содержит признаки административного правонарушения ч. 9 ст. 7.30.1 КоАП.</w:t>
      </w:r>
    </w:p>
    <w:p w14:paraId="3D010000">
      <w:pPr>
        <w:widowControl w:val="0"/>
        <w:ind w:firstLine="567"/>
        <w:jc w:val="both"/>
        <w:rPr>
          <w:color w:val="000000"/>
          <w:sz w:val="28"/>
          <w:u w:val="single"/>
        </w:rPr>
      </w:pPr>
      <w:r>
        <w:rPr>
          <w:color w:val="000000"/>
          <w:sz w:val="28"/>
        </w:rPr>
        <w:t>Материалы по результатам проведения контрольного мероприятия направлены в Прокуратуру муниципального образования Кавказский район.</w:t>
      </w:r>
    </w:p>
    <w:p w14:paraId="3E010000">
      <w:pPr>
        <w:ind/>
        <w:jc w:val="both"/>
        <w:rPr>
          <w:color w:val="000000"/>
          <w:sz w:val="28"/>
        </w:rPr>
      </w:pPr>
    </w:p>
    <w:p w14:paraId="3F010000">
      <w:pPr>
        <w:ind w:firstLine="567"/>
        <w:jc w:val="both"/>
        <w:rPr>
          <w:b w:val="1"/>
          <w:color w:val="000000"/>
          <w:sz w:val="28"/>
        </w:rPr>
      </w:pPr>
      <w:r>
        <w:rPr>
          <w:b w:val="1"/>
          <w:color w:val="000000"/>
          <w:sz w:val="28"/>
        </w:rPr>
        <w:t xml:space="preserve">Информация по проверке </w:t>
      </w:r>
      <w:r>
        <w:rPr>
          <w:b w:val="1"/>
          <w:color w:val="000000"/>
          <w:sz w:val="28"/>
        </w:rPr>
        <w:t>целевого и эффективного использования бюджетных средств по муниципальной программе «Развитие культуры Лосевского сельского поселения Кавказского района» муниципальное бюджетное учреждение культуры ДК «СКЦ».</w:t>
      </w:r>
    </w:p>
    <w:p w14:paraId="40010000">
      <w:pPr>
        <w:ind w:firstLine="567"/>
        <w:jc w:val="both"/>
        <w:rPr>
          <w:color w:val="000000"/>
          <w:sz w:val="28"/>
        </w:rPr>
      </w:pPr>
      <w:r>
        <w:rPr>
          <w:color w:val="000000"/>
          <w:sz w:val="28"/>
        </w:rPr>
        <w:t>В ходе проверки установлено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В действиях должностных лиц Администрации Лосевского сельского поселения Кавказского района усматриваются признаки административного правонарушения, предусмотренного ч. 1 ст. 15.15.5. КоАП РФ.</w:t>
      </w:r>
    </w:p>
    <w:p w14:paraId="41010000">
      <w:pPr>
        <w:ind w:firstLine="720"/>
        <w:jc w:val="both"/>
        <w:rPr>
          <w:color w:val="000000"/>
          <w:sz w:val="28"/>
          <w:shd w:fill="FFD821" w:val="clear"/>
        </w:rPr>
      </w:pPr>
      <w:r>
        <w:rPr>
          <w:color w:val="000000"/>
          <w:sz w:val="28"/>
        </w:rPr>
        <w:t xml:space="preserve">МБУК ДК «СКЦ» представлены на проверку Планы ФХД на 2024 и 2025 годы (с изменениями), утвержденные главой Лосевского сельского поселения Кавказского района. </w:t>
      </w:r>
    </w:p>
    <w:p w14:paraId="42010000">
      <w:pPr>
        <w:ind w:firstLine="567"/>
        <w:jc w:val="both"/>
        <w:rPr>
          <w:color w:val="000000"/>
          <w:sz w:val="28"/>
        </w:rPr>
      </w:pPr>
      <w:r>
        <w:rPr>
          <w:color w:val="000000"/>
          <w:sz w:val="28"/>
        </w:rPr>
        <w:t>Установлено нарушение п. 2.6. Постановления администрации Лосевского сельского поселения Кавказского района от 30.12.2019 г. №222, Порядок составления и утверждения планов финансово – хозяйственной деятельности муниципальных бюджетных (автономных) учреждений Лосевского сельского поселения Кавказского района, в утвержденном плане финансово-хозяйственной деятельности отсутствует детализация по доходам.</w:t>
      </w:r>
    </w:p>
    <w:p w14:paraId="43010000">
      <w:pPr>
        <w:ind w:firstLine="567"/>
        <w:jc w:val="both"/>
        <w:rPr>
          <w:color w:val="000000"/>
          <w:sz w:val="28"/>
        </w:rPr>
      </w:pPr>
      <w:r>
        <w:rPr>
          <w:color w:val="000000"/>
          <w:sz w:val="28"/>
        </w:rPr>
        <w:t xml:space="preserve">Проведена оценка полноты состава кадровой документации, правильность заключения трудовых договоров, порядок ведения трудовых книжек сотрудников, порядок ведения книги учета движения трудовых книжек и вкладышей. </w:t>
      </w:r>
    </w:p>
    <w:p w14:paraId="44010000">
      <w:pPr>
        <w:ind w:firstLine="567"/>
        <w:jc w:val="both"/>
        <w:rPr>
          <w:i w:val="1"/>
          <w:color w:val="000000"/>
          <w:sz w:val="28"/>
        </w:rPr>
      </w:pPr>
      <w:r>
        <w:rPr>
          <w:color w:val="000000"/>
          <w:sz w:val="28"/>
        </w:rPr>
        <w:t>В ходе проверки были выборочно проверены трудовые договоры сотрудников МБУК ДК «СКЦ», установлено нарушение ст. 57, 72 ТК РФ.</w:t>
      </w:r>
    </w:p>
    <w:p w14:paraId="45010000">
      <w:pPr>
        <w:ind w:firstLine="567"/>
        <w:jc w:val="both"/>
        <w:rPr>
          <w:color w:val="000000"/>
          <w:sz w:val="28"/>
          <w:shd w:fill="FFD821" w:val="clear"/>
        </w:rPr>
      </w:pPr>
      <w:r>
        <w:rPr>
          <w:color w:val="222222"/>
          <w:sz w:val="28"/>
          <w:highlight w:val="white"/>
        </w:rPr>
        <w:t xml:space="preserve">Нарушение трудового законодательства и иных нормативных правовых актов, содержащих нормы трудового права, </w:t>
      </w:r>
      <w:r>
        <w:rPr>
          <w:color w:val="000000"/>
          <w:sz w:val="28"/>
        </w:rPr>
        <w:t>содержит состав административного правонарушения, предусмотренного частью 1 статьи 5.27 Кодекса Российской Федерации об административных правонарушениях.</w:t>
      </w:r>
    </w:p>
    <w:p w14:paraId="46010000">
      <w:pPr>
        <w:widowControl w:val="0"/>
        <w:ind w:firstLine="709"/>
        <w:jc w:val="both"/>
        <w:rPr>
          <w:color w:val="000000"/>
          <w:sz w:val="28"/>
          <w:shd w:fill="FFD821" w:val="clear"/>
        </w:rPr>
      </w:pPr>
      <w:r>
        <w:rPr>
          <w:color w:val="000000"/>
          <w:sz w:val="28"/>
        </w:rPr>
        <w:t>Проверка правильности начисления заработной платы в МБУК ДК «СКЦ» проводилась выборочным способом. В ходе выборочной проверки установлено: табель учета отработанного времени не соответствует фактически отработанным дням. Отсутствие со стороны работодателя надлежащего учета времени, фактически отработанного каждым из работников, является нарушением ст.91 ТК РФ.</w:t>
      </w:r>
    </w:p>
    <w:p w14:paraId="47010000">
      <w:pPr>
        <w:ind w:firstLine="567"/>
        <w:jc w:val="both"/>
        <w:rPr>
          <w:color w:val="000000"/>
          <w:sz w:val="28"/>
        </w:rPr>
      </w:pPr>
      <w:r>
        <w:rPr>
          <w:color w:val="000000"/>
          <w:sz w:val="28"/>
        </w:rPr>
        <w:t>Нарушение Приказа Минфина России от 30 марта 2015 г.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в карточке-справке (ф.0504417).</w:t>
      </w:r>
    </w:p>
    <w:p w14:paraId="48010000">
      <w:pPr>
        <w:ind w:firstLine="709"/>
        <w:jc w:val="both"/>
        <w:rPr>
          <w:color w:val="000000"/>
          <w:sz w:val="28"/>
        </w:rPr>
      </w:pPr>
      <w:r>
        <w:rPr>
          <w:color w:val="000000"/>
          <w:sz w:val="28"/>
        </w:rPr>
        <w:t xml:space="preserve">Нарушение ст. 139 ТК РФ, п. 4 Постановления Правительства РФ от 24 декабря 2007 года № 922 «Об особенностях порядка исчисления средней заработной платы», при расчете среднедневного заработка, установлена недоплата, (переплата) заработной платы. Сумма, подлежит удержанию (доплате) с учетом страховых взносов. </w:t>
      </w:r>
    </w:p>
    <w:p w14:paraId="49010000">
      <w:pPr>
        <w:ind w:firstLine="709"/>
        <w:jc w:val="both"/>
        <w:rPr>
          <w:color w:val="000000"/>
          <w:sz w:val="28"/>
        </w:rPr>
      </w:pPr>
      <w:r>
        <w:rPr>
          <w:color w:val="000000"/>
          <w:sz w:val="28"/>
        </w:rPr>
        <w:t xml:space="preserve">Нарушение п. 13 р. 2 </w:t>
      </w:r>
      <w:r>
        <w:rPr>
          <w:color w:val="22272F"/>
          <w:sz w:val="28"/>
          <w:highlight w:val="white"/>
        </w:rPr>
        <w:t>Приказ Министерства транспорта РФ от 28 сентября 2022 г. № 390 «Об утверждении состава сведений, указанных в части 3 ст. 6 УАТ №259, и порядка оформления или формирования путевого листа»</w:t>
      </w:r>
      <w:r>
        <w:rPr>
          <w:color w:val="22272F"/>
          <w:sz w:val="28"/>
        </w:rPr>
        <w:t>;</w:t>
      </w:r>
      <w:r>
        <w:rPr>
          <w:color w:val="000000"/>
          <w:sz w:val="28"/>
        </w:rPr>
        <w:t xml:space="preserve"> </w:t>
      </w:r>
      <w:r>
        <w:rPr>
          <w:color w:val="000000"/>
          <w:sz w:val="28"/>
          <w:highlight w:val="white"/>
        </w:rPr>
        <w:t>п. 7 ст. 9 Закона № 402-ФЗ</w:t>
      </w:r>
      <w:r>
        <w:rPr>
          <w:color w:val="000000"/>
          <w:sz w:val="28"/>
        </w:rPr>
        <w:t>; ч. 3 ст. 103 Закона №44-ФЗ, пп. б п. 15 ч. 3 правил ведения реестров контрактов, заключенных заказчиками, утвержденные Постановлением Правительства от 27 января 2022 г.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14:paraId="4A010000">
      <w:pPr>
        <w:ind w:firstLine="709"/>
        <w:jc w:val="both"/>
        <w:rPr>
          <w:color w:val="000000"/>
          <w:sz w:val="28"/>
        </w:rPr>
      </w:pPr>
      <w:r>
        <w:rPr>
          <w:color w:val="000000"/>
          <w:sz w:val="28"/>
        </w:rPr>
        <w:t>С нарушением сроков опубликована информация о стоимости исполненных обязательств в ЕИС.</w:t>
      </w:r>
    </w:p>
    <w:p w14:paraId="4B010000">
      <w:pPr>
        <w:ind w:firstLine="709"/>
        <w:jc w:val="both"/>
        <w:rPr>
          <w:color w:val="000000"/>
          <w:sz w:val="20"/>
        </w:rPr>
      </w:pPr>
      <w:r>
        <w:rPr>
          <w:color w:val="000000"/>
          <w:sz w:val="28"/>
          <w:highlight w:val="white"/>
        </w:rPr>
        <w:t xml:space="preserve">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r>
        <w:rPr>
          <w:color w:val="000000"/>
          <w:sz w:val="28"/>
          <w:highlight w:val="white"/>
        </w:rPr>
        <w:fldChar w:fldCharType="begin"/>
      </w:r>
      <w:r>
        <w:rPr>
          <w:color w:val="000000"/>
          <w:sz w:val="28"/>
          <w:highlight w:val="white"/>
        </w:rPr>
        <w:instrText>HYPERLINK "https://www.consultant.ru/document/cons_doc_LAW_93980/" \l "dst100003"</w:instrText>
      </w:r>
      <w:r>
        <w:rPr>
          <w:color w:val="000000"/>
          <w:sz w:val="28"/>
          <w:highlight w:val="white"/>
        </w:rPr>
        <w:fldChar w:fldCharType="separate"/>
      </w:r>
      <w:r>
        <w:rPr>
          <w:color w:val="000000"/>
          <w:sz w:val="28"/>
          <w:highlight w:val="white"/>
        </w:rPr>
        <w:t>сведения</w:t>
      </w:r>
      <w:r>
        <w:rPr>
          <w:color w:val="000000"/>
          <w:sz w:val="28"/>
          <w:highlight w:val="white"/>
        </w:rPr>
        <w:fldChar w:fldCharType="end"/>
      </w:r>
      <w:r>
        <w:rPr>
          <w:color w:val="000000"/>
          <w:sz w:val="28"/>
          <w:highlight w:val="white"/>
        </w:rPr>
        <w:t xml:space="preserve">,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w:t>
      </w:r>
      <w:r>
        <w:rPr>
          <w:color w:val="000000"/>
          <w:sz w:val="28"/>
          <w:highlight w:val="white"/>
        </w:rPr>
        <w:fldChar w:fldCharType="begin"/>
      </w:r>
      <w:r>
        <w:rPr>
          <w:color w:val="000000"/>
          <w:sz w:val="28"/>
          <w:highlight w:val="white"/>
        </w:rPr>
        <w:instrText>HYPERLINK "https://www.consultant.ru/document/cons_doc_LAW_34661/dc3e22f2517244a9bd44be880949284e70dde53d/"</w:instrText>
      </w:r>
      <w:r>
        <w:rPr>
          <w:color w:val="000000"/>
          <w:sz w:val="28"/>
          <w:highlight w:val="white"/>
        </w:rPr>
        <w:fldChar w:fldCharType="separate"/>
      </w:r>
      <w:r>
        <w:rPr>
          <w:color w:val="000000"/>
          <w:sz w:val="28"/>
          <w:highlight w:val="white"/>
        </w:rPr>
        <w:t>законодательством</w:t>
      </w:r>
      <w:r>
        <w:rPr>
          <w:color w:val="000000"/>
          <w:sz w:val="28"/>
          <w:highlight w:val="white"/>
        </w:rPr>
        <w:fldChar w:fldCharType="end"/>
      </w:r>
      <w:r>
        <w:rPr>
          <w:color w:val="000000"/>
          <w:sz w:val="28"/>
          <w:highlight w:val="white"/>
        </w:rPr>
        <w:t xml:space="preserve">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содержит признаки административного правонарушения в ч. 2 ст. 7.31 КоАП.</w:t>
      </w:r>
    </w:p>
    <w:p w14:paraId="4C010000">
      <w:pPr>
        <w:ind w:firstLine="567"/>
        <w:jc w:val="both"/>
        <w:rPr>
          <w:color w:val="000000"/>
          <w:sz w:val="28"/>
        </w:rPr>
      </w:pPr>
      <w:r>
        <w:rPr>
          <w:color w:val="000000"/>
          <w:sz w:val="28"/>
        </w:rPr>
        <w:t>Материалы по результатам проведения контрольного мероприятия направлены: в Прокуратуру муниципального образования Кавказский район;</w:t>
      </w:r>
    </w:p>
    <w:p w14:paraId="4D010000">
      <w:pPr>
        <w:ind/>
        <w:jc w:val="both"/>
        <w:rPr>
          <w:color w:val="000000"/>
          <w:sz w:val="28"/>
        </w:rPr>
      </w:pPr>
      <w:r>
        <w:rPr>
          <w:color w:val="000000"/>
          <w:sz w:val="28"/>
        </w:rPr>
        <w:t>в соответствии со статьей 23.66 КоАП РФ, в Министерство экономики Краснодарского края;</w:t>
      </w:r>
      <w:r>
        <w:rPr>
          <w:color w:val="000000"/>
          <w:sz w:val="28"/>
        </w:rPr>
        <w:t xml:space="preserve"> </w:t>
      </w:r>
      <w:r>
        <w:rPr>
          <w:color w:val="000000"/>
          <w:sz w:val="28"/>
        </w:rPr>
        <w:t>в соответствии со статьей 23.1 КоАП РФ, в судебный участок.</w:t>
      </w:r>
    </w:p>
    <w:p w14:paraId="4E010000">
      <w:pPr>
        <w:ind/>
        <w:jc w:val="both"/>
        <w:rPr>
          <w:color w:val="000000"/>
          <w:sz w:val="28"/>
        </w:rPr>
      </w:pPr>
    </w:p>
    <w:p w14:paraId="4F010000">
      <w:pPr>
        <w:ind w:firstLine="567"/>
        <w:jc w:val="both"/>
        <w:rPr>
          <w:b w:val="1"/>
          <w:color w:val="000000"/>
          <w:sz w:val="28"/>
        </w:rPr>
      </w:pPr>
      <w:r>
        <w:rPr>
          <w:b w:val="1"/>
          <w:color w:val="000000"/>
          <w:sz w:val="28"/>
        </w:rPr>
        <w:t xml:space="preserve">Информация по проверке </w:t>
      </w:r>
      <w:r>
        <w:rPr>
          <w:b w:val="1"/>
          <w:color w:val="000000"/>
          <w:sz w:val="28"/>
        </w:rPr>
        <w:t>годовой бюджетной отчетности главного администратора бюджетных средств администрации Дмитриевского сельского поселения Кавказского района за 2024 год.</w:t>
      </w:r>
    </w:p>
    <w:p w14:paraId="50010000">
      <w:pPr>
        <w:ind w:firstLine="567"/>
        <w:jc w:val="both"/>
        <w:rPr>
          <w:color w:val="000000"/>
          <w:sz w:val="28"/>
          <w:highlight w:val="white"/>
        </w:rPr>
      </w:pPr>
      <w:r>
        <w:rPr>
          <w:color w:val="000000"/>
          <w:sz w:val="28"/>
        </w:rPr>
        <w:t xml:space="preserve">Установлено: нарушение требований п.4 ст.7 </w:t>
      </w:r>
      <w:r>
        <w:rPr>
          <w:color w:val="000000"/>
          <w:sz w:val="28"/>
          <w:highlight w:val="white"/>
        </w:rPr>
        <w:t>Федерального закона от 6 октября 2003 г. № 131-ФЗ «Об общих принципах организации местного самоуправления в Российской Федерации».</w:t>
      </w:r>
    </w:p>
    <w:p w14:paraId="51010000">
      <w:pPr>
        <w:tabs>
          <w:tab w:leader="none" w:pos="838" w:val="left"/>
        </w:tabs>
        <w:spacing w:line="320" w:lineRule="exact"/>
        <w:ind w:firstLine="567"/>
        <w:jc w:val="both"/>
        <w:rPr>
          <w:color w:val="000000"/>
          <w:sz w:val="28"/>
        </w:rPr>
      </w:pPr>
      <w:r>
        <w:rPr>
          <w:color w:val="000000"/>
          <w:sz w:val="28"/>
        </w:rPr>
        <w:t>Нарушение ведения реестра муниципальной собственности.</w:t>
      </w:r>
    </w:p>
    <w:p w14:paraId="52010000">
      <w:pPr>
        <w:ind w:firstLine="567"/>
        <w:jc w:val="both"/>
        <w:rPr>
          <w:b w:val="1"/>
          <w:color w:val="000000"/>
          <w:sz w:val="28"/>
        </w:rPr>
      </w:pPr>
      <w:r>
        <w:rPr>
          <w:color w:val="000000"/>
          <w:sz w:val="28"/>
        </w:rPr>
        <w:t xml:space="preserve">Нарушение ч.1 ст.9, ч.1 ст.13 Федерального закона </w:t>
      </w:r>
      <w:r>
        <w:rPr>
          <w:color w:val="000000"/>
          <w:sz w:val="28"/>
          <w:highlight w:val="white"/>
        </w:rPr>
        <w:t>от 6 декабря 2011 г. N 402-ФЗ «О бухгалтерском учете»</w:t>
      </w:r>
      <w:r>
        <w:rPr>
          <w:color w:val="000000"/>
          <w:sz w:val="28"/>
        </w:rPr>
        <w:t>, пункта 38 Инструкции по применению Плана счетов бюджетного учета, утвержденной приказом Минфина России от 06.12.2010 № 162н.</w:t>
      </w:r>
    </w:p>
    <w:p w14:paraId="53010000">
      <w:pPr>
        <w:ind w:firstLine="567"/>
        <w:jc w:val="both"/>
        <w:rPr>
          <w:color w:val="000000"/>
          <w:sz w:val="28"/>
        </w:rPr>
      </w:pPr>
      <w:r>
        <w:rPr>
          <w:color w:val="000000"/>
          <w:sz w:val="28"/>
        </w:rPr>
        <w:t>С</w:t>
      </w:r>
      <w:r>
        <w:rPr>
          <w:color w:val="000000"/>
          <w:sz w:val="28"/>
        </w:rPr>
        <w:t xml:space="preserve">одержит состав административного правонарушения, предусмотренного частью 2 статьи 15.15.6 Кодекса Российской Федерации об административных правонарушениях </w:t>
      </w:r>
      <w:r>
        <w:rPr>
          <w:color w:val="000000"/>
          <w:sz w:val="28"/>
        </w:rPr>
        <w:t>«Нарушение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w:t>
      </w:r>
      <w:r>
        <w:rPr>
          <w:color w:val="000000"/>
          <w:sz w:val="28"/>
        </w:rPr>
        <w:t>.</w:t>
      </w:r>
      <w:r>
        <w:rPr>
          <w:color w:val="000000"/>
          <w:sz w:val="28"/>
        </w:rPr>
        <w:t xml:space="preserve"> </w:t>
      </w:r>
    </w:p>
    <w:p w14:paraId="54010000">
      <w:pPr>
        <w:ind w:firstLine="567"/>
        <w:jc w:val="both"/>
        <w:rPr>
          <w:color w:val="000000"/>
          <w:sz w:val="28"/>
        </w:rPr>
      </w:pPr>
      <w:r>
        <w:rPr>
          <w:color w:val="000000"/>
          <w:sz w:val="28"/>
        </w:rPr>
        <w:t>Материалы по результатам проведения контрольного мероприятия направлены: в соответствии со статьей 23.1 КоАП РФ, в Мировой судебный участок №144 Кавказского района Краснодарского края.</w:t>
      </w:r>
    </w:p>
    <w:p w14:paraId="55010000">
      <w:pPr>
        <w:ind/>
        <w:jc w:val="both"/>
        <w:rPr>
          <w:color w:val="000000"/>
          <w:sz w:val="28"/>
        </w:rPr>
      </w:pPr>
    </w:p>
    <w:p w14:paraId="56010000">
      <w:pPr>
        <w:ind w:firstLine="567"/>
        <w:jc w:val="both"/>
        <w:rPr>
          <w:b w:val="1"/>
          <w:color w:val="000000"/>
          <w:sz w:val="28"/>
        </w:rPr>
      </w:pPr>
      <w:r>
        <w:rPr>
          <w:b w:val="1"/>
          <w:color w:val="000000"/>
          <w:sz w:val="28"/>
        </w:rPr>
        <w:t xml:space="preserve">Информация по проверке </w:t>
      </w:r>
      <w:r>
        <w:rPr>
          <w:b w:val="1"/>
          <w:color w:val="000000"/>
          <w:sz w:val="28"/>
        </w:rPr>
        <w:t>годовой бюджетной отчетности главного администратора бюджетных средств администрации Кавказского сельского поселения Кавказского района за 2024 год.</w:t>
      </w:r>
    </w:p>
    <w:p w14:paraId="57010000">
      <w:pPr>
        <w:ind w:firstLine="567"/>
        <w:jc w:val="both"/>
        <w:rPr>
          <w:color w:val="000000"/>
          <w:sz w:val="28"/>
        </w:rPr>
      </w:pPr>
      <w:r>
        <w:rPr>
          <w:color w:val="000000"/>
          <w:sz w:val="28"/>
        </w:rPr>
        <w:t>Представленная для проверки годовая бюджетная отчётность администрации Кавказского сельского поселения Кавказского района велась в соответствии с требованиями бюджетного законодательства, на основе положений инструкций и рекомендаций Министерства финансов Российской Федерации и министерства финансов Краснодарского края и иных нормативных документов. По результатам анализа показателей форм годовой отчетности установлено их соответствие главной книге, дополнительным сведениям, предоставленным в ходе проверки.</w:t>
      </w:r>
    </w:p>
    <w:p w14:paraId="58010000">
      <w:pPr>
        <w:ind w:firstLine="709"/>
        <w:jc w:val="both"/>
        <w:rPr>
          <w:color w:val="000000"/>
          <w:sz w:val="28"/>
        </w:rPr>
      </w:pPr>
      <w:r>
        <w:rPr>
          <w:color w:val="000000"/>
          <w:sz w:val="28"/>
        </w:rPr>
        <w:t xml:space="preserve">Нарушение </w:t>
      </w:r>
      <w:r>
        <w:rPr>
          <w:color w:val="000000"/>
          <w:sz w:val="28"/>
        </w:rPr>
        <w:fldChar w:fldCharType="begin"/>
      </w:r>
      <w:r>
        <w:rPr>
          <w:color w:val="000000"/>
          <w:sz w:val="28"/>
        </w:rPr>
        <w:instrText>HYPERLINK "https://arbitr.garant.ru/" \l "/document/70103036/entry/1301"</w:instrText>
      </w:r>
      <w:r>
        <w:rPr>
          <w:color w:val="000000"/>
          <w:sz w:val="28"/>
        </w:rPr>
        <w:fldChar w:fldCharType="separate"/>
      </w:r>
      <w:r>
        <w:rPr>
          <w:color w:val="000000"/>
          <w:sz w:val="28"/>
        </w:rPr>
        <w:t>ч. 1 ст. 13</w:t>
      </w:r>
      <w:r>
        <w:rPr>
          <w:color w:val="000000"/>
          <w:sz w:val="28"/>
        </w:rPr>
        <w:fldChar w:fldCharType="end"/>
      </w:r>
      <w:r>
        <w:rPr>
          <w:color w:val="000000"/>
          <w:sz w:val="28"/>
        </w:rPr>
        <w:t xml:space="preserve"> Закона № 402-ФЗ, п. 144 Инструкции №157н, администрация Кавказского сельского поселения допустила отражение в бюджетном учете и бюджетной отчетности (ф.0503168) по состоянию на 01.01.2025, в составе земельных участков, не на соответствующих счетах аналитического учета.</w:t>
      </w:r>
    </w:p>
    <w:p w14:paraId="59010000">
      <w:pPr>
        <w:ind w:firstLine="709"/>
        <w:jc w:val="both"/>
        <w:rPr>
          <w:color w:val="000000"/>
          <w:sz w:val="28"/>
        </w:rPr>
      </w:pPr>
    </w:p>
    <w:p w14:paraId="5A010000">
      <w:pPr>
        <w:ind w:firstLine="709"/>
        <w:jc w:val="both"/>
        <w:rPr>
          <w:color w:val="000000"/>
          <w:sz w:val="28"/>
        </w:rPr>
      </w:pPr>
      <w:r>
        <w:rPr>
          <w:color w:val="000000"/>
          <w:sz w:val="28"/>
        </w:rPr>
        <w:t xml:space="preserve">Информация по проверке </w:t>
      </w:r>
      <w:r>
        <w:rPr>
          <w:color w:val="000000"/>
          <w:sz w:val="28"/>
        </w:rPr>
        <w:t>годовой бюджетной отчетности главного администратора бюджетных средств администрации Казанского сельского поселения Кавказского района за 2024 год.</w:t>
      </w:r>
    </w:p>
    <w:p w14:paraId="5B010000">
      <w:pPr>
        <w:ind w:firstLine="709"/>
        <w:jc w:val="both"/>
        <w:rPr>
          <w:color w:val="000000"/>
          <w:sz w:val="28"/>
        </w:rPr>
      </w:pPr>
      <w:r>
        <w:rPr>
          <w:color w:val="000000"/>
          <w:sz w:val="28"/>
        </w:rPr>
        <w:t>Представленная для проверки годовая бюджетная отчётность администрации Казанского сельского поселения Казанского района велась в соответствии с требованиями бюджетного законодательства, на основе положений инструкций и рекомендаций Министерства финансов Российской Федерации и министерства финансов Краснодарского края и иных нормативных документов. По результатам анализа показателей форм годовой отчетности установлено их соответствие главной книге, дополнительным сведениям, предоставленным в ходе проверки.</w:t>
      </w:r>
    </w:p>
    <w:p w14:paraId="5C010000">
      <w:pPr>
        <w:ind w:firstLine="709"/>
        <w:jc w:val="both"/>
        <w:rPr>
          <w:color w:val="000000"/>
          <w:sz w:val="28"/>
        </w:rPr>
      </w:pPr>
      <w:r>
        <w:rPr>
          <w:color w:val="000000"/>
          <w:sz w:val="28"/>
        </w:rPr>
        <w:t>Установлено нарушение требований п.4 ст.7 Федерального закона №131-ФЗ, муниципальный правовой акт Казанского сельского поселения Положение № 12 не актуализирован, и противоречит нормативным правовым актам Российской Федерации Приказ Министерства финансов Российской Федерации от 10.10.2023 г. № 163н «</w:t>
      </w:r>
      <w:r>
        <w:rPr>
          <w:color w:val="000000"/>
          <w:sz w:val="28"/>
        </w:rPr>
        <w:fldChar w:fldCharType="begin"/>
      </w:r>
      <w:r>
        <w:rPr>
          <w:color w:val="000000"/>
          <w:sz w:val="28"/>
        </w:rPr>
        <w:instrText>HYPERLINK "consultantplus://offline/ref=B42F02CB0A7C56274757A77AD630B224BC21A7F01B9F64FC5D000A06F95D5A958FBB0F0E4FCDD74B9B895B2974BBAE9CB45A5BC4474672EFmFW6J"</w:instrText>
      </w:r>
      <w:r>
        <w:rPr>
          <w:color w:val="000000"/>
          <w:sz w:val="28"/>
        </w:rPr>
        <w:fldChar w:fldCharType="separate"/>
      </w:r>
      <w:r>
        <w:rPr>
          <w:color w:val="000000"/>
          <w:sz w:val="28"/>
        </w:rPr>
        <w:t>Общие требования</w:t>
      </w:r>
      <w:r>
        <w:rPr>
          <w:color w:val="000000"/>
          <w:sz w:val="28"/>
        </w:rPr>
        <w:fldChar w:fldCharType="end"/>
      </w:r>
      <w:r>
        <w:rPr>
          <w:color w:val="000000"/>
          <w:sz w:val="28"/>
        </w:rPr>
        <w:t xml:space="preserve"> к порядку ведения органами местного самоуправления реестров муниципального имущества утверждены».</w:t>
      </w:r>
    </w:p>
    <w:p w14:paraId="5D010000">
      <w:pPr>
        <w:ind w:firstLine="709"/>
        <w:jc w:val="both"/>
        <w:rPr>
          <w:color w:val="000000"/>
          <w:sz w:val="28"/>
        </w:rPr>
      </w:pPr>
      <w:r>
        <w:rPr>
          <w:color w:val="000000"/>
          <w:sz w:val="28"/>
        </w:rPr>
        <w:t>Реестр муниципальной собственности Казанского сельского поселения, «сведения о стоимости земельных участков» не соответствуют кадастровой стоимости выписки Единого государственного реестра недвижимости об объекте недвижимости.</w:t>
      </w:r>
    </w:p>
    <w:p w14:paraId="5E010000">
      <w:pPr>
        <w:ind w:firstLine="709"/>
        <w:jc w:val="both"/>
        <w:rPr>
          <w:color w:val="000000"/>
          <w:sz w:val="28"/>
        </w:rPr>
      </w:pPr>
    </w:p>
    <w:p w14:paraId="5F010000">
      <w:pPr>
        <w:ind w:firstLine="709"/>
        <w:jc w:val="both"/>
        <w:rPr>
          <w:b w:val="1"/>
          <w:color w:val="000000"/>
          <w:sz w:val="28"/>
        </w:rPr>
      </w:pPr>
      <w:r>
        <w:rPr>
          <w:b w:val="1"/>
          <w:color w:val="000000"/>
          <w:sz w:val="28"/>
        </w:rPr>
        <w:t xml:space="preserve">Информация по проверке </w:t>
      </w:r>
      <w:r>
        <w:rPr>
          <w:b w:val="1"/>
          <w:color w:val="000000"/>
          <w:sz w:val="28"/>
        </w:rPr>
        <w:t>годовой бюджетной отчетности главного администратора бюджетных средств администрации Кропоткинского городского поселения Кавказского района за 2024 год.</w:t>
      </w:r>
    </w:p>
    <w:p w14:paraId="60010000">
      <w:pPr>
        <w:tabs>
          <w:tab w:leader="none" w:pos="838" w:val="left"/>
        </w:tabs>
        <w:ind w:firstLine="709"/>
        <w:jc w:val="both"/>
        <w:rPr>
          <w:color w:val="000000"/>
          <w:sz w:val="28"/>
        </w:rPr>
      </w:pPr>
      <w:r>
        <w:rPr>
          <w:color w:val="000000"/>
          <w:sz w:val="28"/>
        </w:rPr>
        <w:t xml:space="preserve">Установлено: </w:t>
      </w:r>
    </w:p>
    <w:p w14:paraId="61010000">
      <w:pPr>
        <w:tabs>
          <w:tab w:leader="none" w:pos="838" w:val="left"/>
        </w:tabs>
        <w:ind w:firstLine="709"/>
        <w:jc w:val="both"/>
        <w:rPr>
          <w:color w:val="000000"/>
          <w:sz w:val="28"/>
        </w:rPr>
      </w:pPr>
      <w:r>
        <w:rPr>
          <w:color w:val="000000"/>
          <w:sz w:val="28"/>
        </w:rPr>
        <w:t xml:space="preserve">- нарушение ведения реестра муниципальной собственности; </w:t>
      </w:r>
    </w:p>
    <w:p w14:paraId="62010000">
      <w:pPr>
        <w:ind w:firstLine="709"/>
        <w:jc w:val="both"/>
        <w:rPr>
          <w:color w:val="000000"/>
          <w:sz w:val="28"/>
        </w:rPr>
      </w:pPr>
      <w:r>
        <w:rPr>
          <w:color w:val="000000"/>
          <w:sz w:val="28"/>
        </w:rPr>
        <w:t xml:space="preserve">- нарушение ч.1 ст. 9, ч. 1 ст. 13 Закон № 402-ФЗ, п. 38 «Инструкции по применению плана счетов бюджетного учета» Приказ Минфина России от 06.12.2010 № 162н. </w:t>
      </w:r>
    </w:p>
    <w:p w14:paraId="63010000">
      <w:pPr>
        <w:ind w:firstLine="709"/>
        <w:jc w:val="both"/>
        <w:rPr>
          <w:color w:val="000000"/>
          <w:sz w:val="28"/>
        </w:rPr>
      </w:pPr>
      <w:r>
        <w:rPr>
          <w:color w:val="000000"/>
          <w:sz w:val="28"/>
        </w:rPr>
        <w:t>С</w:t>
      </w:r>
      <w:r>
        <w:rPr>
          <w:color w:val="000000"/>
          <w:sz w:val="28"/>
        </w:rPr>
        <w:t xml:space="preserve">одержит состав административного правонарушения, предусмотренного частью 2 статьи 15.15.6 Кодекса Российской Федерации об административных правонарушениях </w:t>
      </w:r>
      <w:r>
        <w:rPr>
          <w:color w:val="000000"/>
          <w:sz w:val="28"/>
        </w:rPr>
        <w:t>«Нарушение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w:t>
      </w:r>
    </w:p>
    <w:p w14:paraId="64010000">
      <w:pPr>
        <w:ind w:firstLine="709"/>
        <w:jc w:val="both"/>
        <w:rPr>
          <w:color w:val="000000"/>
          <w:sz w:val="28"/>
        </w:rPr>
      </w:pPr>
      <w:r>
        <w:rPr>
          <w:color w:val="000000"/>
          <w:sz w:val="28"/>
        </w:rPr>
        <w:t>Нарушение ч.2 ст. 10, ч.1 ст. 13 Федерального закона № 402-ФЗ,</w:t>
      </w:r>
      <w:r>
        <w:rPr>
          <w:color w:val="7030A0"/>
          <w:sz w:val="28"/>
        </w:rPr>
        <w:t xml:space="preserve"> </w:t>
      </w:r>
      <w:r>
        <w:rPr>
          <w:color w:val="000000"/>
          <w:sz w:val="28"/>
        </w:rPr>
        <w:t>п.141 Инструкция № 157н,</w:t>
      </w:r>
      <w:r>
        <w:rPr>
          <w:color w:val="7030A0"/>
          <w:sz w:val="28"/>
        </w:rPr>
        <w:t xml:space="preserve"> </w:t>
      </w:r>
      <w:r>
        <w:rPr>
          <w:color w:val="000000"/>
          <w:sz w:val="28"/>
        </w:rPr>
        <w:t>абзацев первого и второго п.2.1.3 Положения о порядке управления и распоряжения муниципальным имуществом Кропоткинского городского поселения Кавказского района, решение Совета Кропоткинского городского поселения Кавказского района от 22.09.2010 № 309.</w:t>
      </w:r>
    </w:p>
    <w:p w14:paraId="65010000">
      <w:pPr>
        <w:ind w:firstLine="567"/>
        <w:jc w:val="both"/>
        <w:rPr>
          <w:color w:val="000000"/>
          <w:sz w:val="28"/>
        </w:rPr>
      </w:pPr>
      <w:r>
        <w:rPr>
          <w:color w:val="000000"/>
          <w:sz w:val="28"/>
        </w:rPr>
        <w:t>С</w:t>
      </w:r>
      <w:r>
        <w:rPr>
          <w:color w:val="000000"/>
          <w:sz w:val="28"/>
        </w:rPr>
        <w:t xml:space="preserve">одержит состав административного правонарушения, предусмотренного частью 4 статьи 15.15.6 Кодекса Российской Федерации об административных правонарушениях </w:t>
      </w:r>
      <w:r>
        <w:rPr>
          <w:color w:val="000000"/>
          <w:sz w:val="28"/>
          <w:highlight w:val="white"/>
        </w:rPr>
        <w:t>«Грубое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w:t>
      </w:r>
      <w:r>
        <w:rPr>
          <w:color w:val="000000"/>
          <w:sz w:val="28"/>
        </w:rPr>
        <w:t>.</w:t>
      </w:r>
      <w:r>
        <w:rPr>
          <w:color w:val="000000"/>
          <w:sz w:val="28"/>
        </w:rPr>
        <w:t xml:space="preserve"> </w:t>
      </w:r>
    </w:p>
    <w:p w14:paraId="66010000">
      <w:pPr>
        <w:ind w:firstLine="567"/>
        <w:jc w:val="both"/>
        <w:rPr>
          <w:color w:val="000000"/>
          <w:sz w:val="28"/>
        </w:rPr>
      </w:pPr>
      <w:r>
        <w:rPr>
          <w:color w:val="000000"/>
          <w:sz w:val="28"/>
        </w:rPr>
        <w:t>Материалы по результатам проведения контрольного мероприятия направлены: в соответствии со статьей 23.1 КоАП РФ, в Мировой судебный участок №67 Кавказского района Краснодарского края.</w:t>
      </w:r>
    </w:p>
    <w:p w14:paraId="67010000">
      <w:pPr>
        <w:ind w:firstLine="567"/>
        <w:jc w:val="both"/>
        <w:rPr>
          <w:color w:val="000000"/>
          <w:sz w:val="28"/>
        </w:rPr>
      </w:pPr>
    </w:p>
    <w:p w14:paraId="68010000">
      <w:pPr>
        <w:ind w:firstLine="567"/>
        <w:jc w:val="both"/>
        <w:rPr>
          <w:b w:val="1"/>
          <w:color w:val="000000"/>
          <w:sz w:val="28"/>
        </w:rPr>
      </w:pPr>
      <w:r>
        <w:rPr>
          <w:b w:val="1"/>
          <w:color w:val="000000"/>
          <w:sz w:val="28"/>
        </w:rPr>
        <w:t xml:space="preserve">Информация по проверке </w:t>
      </w:r>
      <w:r>
        <w:rPr>
          <w:b w:val="1"/>
          <w:color w:val="000000"/>
          <w:sz w:val="28"/>
        </w:rPr>
        <w:t>годовой бюджетной отчетности главного администратора бюджетных средств администрации Лосевского сельского поселения Кавказского района за 2024 год.</w:t>
      </w:r>
    </w:p>
    <w:p w14:paraId="69010000">
      <w:pPr>
        <w:ind w:firstLine="567"/>
        <w:jc w:val="both"/>
        <w:rPr>
          <w:color w:val="000000"/>
          <w:sz w:val="28"/>
        </w:rPr>
      </w:pPr>
      <w:r>
        <w:rPr>
          <w:color w:val="000000"/>
          <w:sz w:val="28"/>
        </w:rPr>
        <w:t>Установлено, представленная для проверки годовая бюджетная отчётность администрации Лосевского сельского поселения Кавказского района велась в соответствии с требованиями бюджетного законодательства, на основе положений инструкций и рекомендаций Министерства финансов Российской Федерации и министерства финансов Краснодарского края и иных нормативных документов. По результатам анализа показателей форм годовой отчетности установлено их соответствие главной книге, дополнительным сведениям, предоставленным в ходе проверки.</w:t>
      </w:r>
    </w:p>
    <w:p w14:paraId="6A010000">
      <w:pPr>
        <w:ind w:firstLine="567"/>
        <w:jc w:val="both"/>
        <w:rPr>
          <w:color w:val="000000"/>
          <w:sz w:val="28"/>
        </w:rPr>
      </w:pPr>
    </w:p>
    <w:p w14:paraId="6B010000">
      <w:pPr>
        <w:ind w:firstLine="567"/>
        <w:jc w:val="both"/>
        <w:rPr>
          <w:b w:val="1"/>
          <w:color w:val="000000"/>
          <w:sz w:val="28"/>
        </w:rPr>
      </w:pPr>
      <w:r>
        <w:rPr>
          <w:b w:val="1"/>
          <w:color w:val="000000"/>
          <w:sz w:val="28"/>
        </w:rPr>
        <w:t xml:space="preserve">Информация по проверке </w:t>
      </w:r>
      <w:r>
        <w:rPr>
          <w:b w:val="1"/>
          <w:color w:val="000000"/>
          <w:sz w:val="28"/>
        </w:rPr>
        <w:t>годовой бюджетной отчетности главного администратора бюджетных средств администрации сельского поселения им.М.Горького Кавказского района за 2024 год.</w:t>
      </w:r>
    </w:p>
    <w:p w14:paraId="6C010000">
      <w:pPr>
        <w:ind w:firstLine="567"/>
        <w:jc w:val="both"/>
        <w:rPr>
          <w:color w:val="000000"/>
          <w:sz w:val="28"/>
        </w:rPr>
      </w:pPr>
      <w:r>
        <w:rPr>
          <w:color w:val="000000"/>
          <w:sz w:val="28"/>
        </w:rPr>
        <w:t>Представленная для проверки годовая бюджетная отчётность администрации сельского поселения им.М.Горького Кавказского района велась в соответствии с требованиями бюджетного законодательства, на основе положений инструкций и рекомендаций Министерства финансов Российской Федерации и министерства финансов Краснодарского края и иных нормативных документов. По результатам анализа показателей форм годовой отчетности установлено их соответствие главной книге, дополнительным сведениям, предоставленным в ходе проверки.</w:t>
      </w:r>
    </w:p>
    <w:p w14:paraId="6D010000">
      <w:pPr>
        <w:ind w:firstLine="567"/>
        <w:jc w:val="both"/>
        <w:rPr>
          <w:color w:val="000000"/>
          <w:sz w:val="28"/>
        </w:rPr>
      </w:pPr>
      <w:r>
        <w:rPr>
          <w:color w:val="000000"/>
          <w:sz w:val="28"/>
        </w:rPr>
        <w:t>Установлено:</w:t>
      </w:r>
    </w:p>
    <w:p w14:paraId="6E010000">
      <w:pPr>
        <w:ind w:firstLine="567"/>
        <w:jc w:val="both"/>
        <w:rPr>
          <w:color w:val="000000"/>
          <w:sz w:val="28"/>
          <w:shd w:fill="FFD821" w:val="clear"/>
        </w:rPr>
      </w:pPr>
      <w:r>
        <w:rPr>
          <w:color w:val="000000"/>
          <w:sz w:val="28"/>
        </w:rPr>
        <w:t>- нарушение требований п.4 ст.7 Федерального закона №131-ФЗ, муниципальный правовой акт сельского поселения им.М.Горького Положение №5 не актуализирован, и противоречит нормативным правовым актам Российской Федерации Приказу № 163н;</w:t>
      </w:r>
    </w:p>
    <w:p w14:paraId="6F010000">
      <w:pPr>
        <w:tabs>
          <w:tab w:leader="none" w:pos="838" w:val="left"/>
        </w:tabs>
        <w:ind w:firstLine="567"/>
        <w:jc w:val="both"/>
        <w:rPr>
          <w:color w:val="000000"/>
          <w:sz w:val="28"/>
        </w:rPr>
      </w:pPr>
      <w:r>
        <w:rPr>
          <w:color w:val="000000"/>
          <w:sz w:val="28"/>
        </w:rPr>
        <w:t>- при ведении реестра муниципальной собственности не исключены из раздела «Казна сельского поселения им. М. Горького Кавказского района» земельные участки раннее переданные в постоянное (бессрочное) пользование» муниципальному бюджетному учреждению.</w:t>
      </w:r>
    </w:p>
    <w:p w14:paraId="70010000">
      <w:pPr>
        <w:ind/>
        <w:jc w:val="both"/>
        <w:rPr>
          <w:color w:val="000000"/>
          <w:sz w:val="28"/>
        </w:rPr>
      </w:pPr>
    </w:p>
    <w:p w14:paraId="71010000">
      <w:pPr>
        <w:ind w:firstLine="567"/>
        <w:jc w:val="both"/>
        <w:rPr>
          <w:b w:val="1"/>
          <w:color w:val="000000"/>
          <w:sz w:val="28"/>
        </w:rPr>
      </w:pPr>
      <w:r>
        <w:rPr>
          <w:b w:val="1"/>
          <w:color w:val="000000"/>
          <w:sz w:val="28"/>
        </w:rPr>
        <w:t xml:space="preserve">Информация по проверке </w:t>
      </w:r>
      <w:r>
        <w:rPr>
          <w:b w:val="1"/>
          <w:color w:val="000000"/>
          <w:sz w:val="28"/>
        </w:rPr>
        <w:t>годовой бюджетной отчетности главного администратора бюджетных средств администрации Мирского сельского поселения Кавказского района за 2024 год.</w:t>
      </w:r>
    </w:p>
    <w:p w14:paraId="72010000">
      <w:pPr>
        <w:spacing w:line="320" w:lineRule="exact"/>
        <w:ind w:firstLine="720" w:left="40" w:right="40"/>
        <w:jc w:val="both"/>
        <w:rPr>
          <w:color w:val="000000"/>
          <w:sz w:val="28"/>
        </w:rPr>
      </w:pPr>
      <w:r>
        <w:rPr>
          <w:color w:val="000000"/>
          <w:sz w:val="28"/>
        </w:rPr>
        <w:t>В ходе проверки установлено: пояснительная записка администрации Мирского сельского поселения Кавказского района (ф. 0503160) не соответствуют нормативным требованиям пункта 152 Инструкции 191н.</w:t>
      </w:r>
    </w:p>
    <w:p w14:paraId="73010000">
      <w:pPr>
        <w:ind w:firstLine="567"/>
        <w:jc w:val="both"/>
        <w:rPr>
          <w:color w:val="000000"/>
          <w:sz w:val="28"/>
        </w:rPr>
      </w:pPr>
      <w:r>
        <w:rPr>
          <w:color w:val="000000"/>
          <w:sz w:val="28"/>
        </w:rPr>
        <w:t>В нарушение требований п.4 ст.7 Федерального закона №131-ФЗ муниципальный правовой акт Мирского сельского поселения  Положение №35 не актуализирован, и противоречит нормативным правовым актам Российской Федерации Приказу № 163н.</w:t>
      </w:r>
    </w:p>
    <w:p w14:paraId="74010000">
      <w:pPr>
        <w:ind w:firstLine="567"/>
        <w:jc w:val="both"/>
        <w:rPr>
          <w:color w:val="000000"/>
        </w:rPr>
      </w:pPr>
      <w:r>
        <w:rPr>
          <w:color w:val="000000"/>
          <w:sz w:val="28"/>
        </w:rPr>
        <w:t>Реестр муниципальной собственности Мирского сельского поселения, «сведения о стоимости земельных участков» не соответствуют кадастровой стоимости выписки Единого государственного реестра недвижимости об объекте недвижимости.</w:t>
      </w:r>
    </w:p>
    <w:p w14:paraId="75010000">
      <w:pPr>
        <w:ind/>
        <w:jc w:val="both"/>
        <w:rPr>
          <w:color w:val="000000"/>
          <w:sz w:val="28"/>
        </w:rPr>
      </w:pPr>
    </w:p>
    <w:p w14:paraId="76010000">
      <w:pPr>
        <w:ind w:firstLine="567"/>
        <w:jc w:val="both"/>
        <w:rPr>
          <w:b w:val="1"/>
          <w:color w:val="000000"/>
          <w:sz w:val="28"/>
        </w:rPr>
      </w:pPr>
      <w:r>
        <w:rPr>
          <w:b w:val="1"/>
          <w:color w:val="000000"/>
          <w:sz w:val="28"/>
        </w:rPr>
        <w:t xml:space="preserve">Информация по проверке </w:t>
      </w:r>
      <w:r>
        <w:rPr>
          <w:b w:val="1"/>
          <w:color w:val="000000"/>
          <w:sz w:val="28"/>
        </w:rPr>
        <w:t>финансово-хозяйственной деятельности в муниципальном унитарном предприятии «Привольное».</w:t>
      </w:r>
    </w:p>
    <w:p w14:paraId="77010000">
      <w:pPr>
        <w:ind w:firstLine="567"/>
        <w:jc w:val="both"/>
        <w:rPr>
          <w:color w:val="000000"/>
          <w:sz w:val="28"/>
        </w:rPr>
      </w:pPr>
      <w:r>
        <w:rPr>
          <w:color w:val="000000"/>
          <w:sz w:val="28"/>
        </w:rPr>
        <w:t>В ходе проверки установлено:</w:t>
      </w:r>
    </w:p>
    <w:p w14:paraId="78010000">
      <w:pPr>
        <w:ind w:firstLine="567"/>
        <w:jc w:val="both"/>
        <w:rPr>
          <w:color w:val="000000"/>
          <w:sz w:val="28"/>
        </w:rPr>
      </w:pPr>
      <w:r>
        <w:rPr>
          <w:color w:val="000000"/>
          <w:sz w:val="28"/>
        </w:rPr>
        <w:t>нарушение п. 81 Стандарта бухгалтерского учета государственных учреждений «Концептуальные основы», утвержденного </w:t>
      </w:r>
      <w:r>
        <w:rPr>
          <w:color w:val="000000"/>
          <w:sz w:val="28"/>
        </w:rPr>
        <w:fldChar w:fldCharType="begin"/>
      </w:r>
      <w:r>
        <w:rPr>
          <w:color w:val="000000"/>
          <w:sz w:val="28"/>
        </w:rPr>
        <w:instrText>HYPERLINK "https://d.garant.ru/" \l "/document/71586636/entry/0"</w:instrText>
      </w:r>
      <w:r>
        <w:rPr>
          <w:color w:val="000000"/>
          <w:sz w:val="28"/>
        </w:rPr>
        <w:fldChar w:fldCharType="separate"/>
      </w:r>
      <w:r>
        <w:rPr>
          <w:color w:val="000000"/>
          <w:sz w:val="28"/>
        </w:rPr>
        <w:t>Приказом</w:t>
      </w:r>
      <w:r>
        <w:rPr>
          <w:color w:val="000000"/>
          <w:sz w:val="28"/>
        </w:rPr>
        <w:fldChar w:fldCharType="end"/>
      </w:r>
      <w:r>
        <w:rPr>
          <w:color w:val="000000"/>
          <w:sz w:val="28"/>
        </w:rPr>
        <w:t> Минфина России от 31.12.2016 № 256н;</w:t>
      </w:r>
    </w:p>
    <w:p w14:paraId="79010000">
      <w:pPr>
        <w:ind w:firstLine="567"/>
        <w:jc w:val="both"/>
        <w:rPr>
          <w:color w:val="000000"/>
          <w:sz w:val="28"/>
        </w:rPr>
      </w:pPr>
      <w:r>
        <w:rPr>
          <w:color w:val="000000"/>
          <w:sz w:val="28"/>
        </w:rPr>
        <w:t>п.3 </w:t>
      </w:r>
      <w:r>
        <w:rPr>
          <w:color w:val="000000"/>
          <w:sz w:val="28"/>
        </w:rPr>
        <w:fldChar w:fldCharType="begin"/>
      </w:r>
      <w:r>
        <w:rPr>
          <w:color w:val="000000"/>
          <w:sz w:val="28"/>
        </w:rPr>
        <w:instrText>HYPERLINK "https://d.garant.ru/" \l "/document/70951956/entry/5000"</w:instrText>
      </w:r>
      <w:r>
        <w:rPr>
          <w:color w:val="000000"/>
          <w:sz w:val="28"/>
        </w:rPr>
        <w:fldChar w:fldCharType="separate"/>
      </w:r>
      <w:r>
        <w:rPr>
          <w:color w:val="000000"/>
          <w:sz w:val="28"/>
        </w:rPr>
        <w:t>Приложения № 5</w:t>
      </w:r>
      <w:r>
        <w:rPr>
          <w:color w:val="000000"/>
          <w:sz w:val="28"/>
        </w:rPr>
        <w:fldChar w:fldCharType="end"/>
      </w:r>
      <w:r>
        <w:rPr>
          <w:color w:val="000000"/>
          <w:sz w:val="28"/>
        </w:rPr>
        <w:t> к </w:t>
      </w:r>
      <w:r>
        <w:rPr>
          <w:color w:val="000000"/>
          <w:sz w:val="28"/>
        </w:rPr>
        <w:fldChar w:fldCharType="begin"/>
      </w:r>
      <w:r>
        <w:rPr>
          <w:color w:val="000000"/>
          <w:sz w:val="28"/>
        </w:rPr>
        <w:instrText>HYPERLINK "https://d.garant.ru/" \l "/document/70951956/entry/0"</w:instrText>
      </w:r>
      <w:r>
        <w:rPr>
          <w:color w:val="000000"/>
          <w:sz w:val="28"/>
        </w:rPr>
        <w:fldChar w:fldCharType="separate"/>
      </w:r>
      <w:r>
        <w:rPr>
          <w:color w:val="000000"/>
          <w:sz w:val="28"/>
        </w:rPr>
        <w:t>Приказу</w:t>
      </w:r>
      <w:r>
        <w:rPr>
          <w:color w:val="000000"/>
          <w:sz w:val="28"/>
        </w:rPr>
        <w:fldChar w:fldCharType="end"/>
      </w:r>
      <w:r>
        <w:rPr>
          <w:color w:val="000000"/>
          <w:sz w:val="28"/>
        </w:rPr>
        <w:t>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14:paraId="7A010000">
      <w:pPr>
        <w:ind w:firstLine="567"/>
        <w:jc w:val="both"/>
        <w:rPr>
          <w:color w:val="000000"/>
          <w:sz w:val="28"/>
        </w:rPr>
      </w:pPr>
      <w:r>
        <w:rPr>
          <w:color w:val="000000"/>
          <w:sz w:val="28"/>
        </w:rPr>
        <w:t>п.23, 27 Общих требований к организации и проведению инвентаризации активов и обязательств, утвержденных Приказом Минфина России от 13.09.2021 № 142н.</w:t>
      </w:r>
    </w:p>
    <w:p w14:paraId="7B010000">
      <w:pPr>
        <w:ind w:firstLine="567"/>
        <w:jc w:val="both"/>
        <w:rPr>
          <w:color w:val="000000"/>
          <w:sz w:val="28"/>
        </w:rPr>
      </w:pPr>
      <w:r>
        <w:rPr>
          <w:color w:val="000000"/>
          <w:sz w:val="28"/>
        </w:rPr>
        <w:t>Нарушение ст. 72 ТК РФ изменение определенных сторонами условий трудового договора.</w:t>
      </w:r>
    </w:p>
    <w:p w14:paraId="7C010000">
      <w:pPr>
        <w:ind w:firstLine="567"/>
        <w:jc w:val="both"/>
        <w:rPr>
          <w:color w:val="000000"/>
          <w:sz w:val="28"/>
        </w:rPr>
      </w:pPr>
      <w:r>
        <w:rPr>
          <w:color w:val="000000"/>
          <w:sz w:val="28"/>
        </w:rPr>
        <w:t>Нарушение требований п. 4 ст. 29 Закона № 402-ФЗ «О бухгалтерском учете».</w:t>
      </w:r>
    </w:p>
    <w:p w14:paraId="7D010000">
      <w:pPr>
        <w:ind w:firstLine="567"/>
        <w:jc w:val="both"/>
        <w:rPr>
          <w:color w:val="000000"/>
          <w:sz w:val="28"/>
        </w:rPr>
      </w:pPr>
      <w:r>
        <w:rPr>
          <w:color w:val="000000"/>
          <w:sz w:val="28"/>
        </w:rPr>
        <w:t>В ходе выборочной проверки установлено, табель учета отработанного времени не соответствует фактически отработанным дням нарушением ст.91 ТК РФ.</w:t>
      </w:r>
    </w:p>
    <w:p w14:paraId="7E010000">
      <w:pPr>
        <w:ind w:firstLine="567"/>
        <w:jc w:val="both"/>
        <w:rPr>
          <w:color w:val="000000"/>
          <w:sz w:val="28"/>
        </w:rPr>
      </w:pPr>
      <w:r>
        <w:rPr>
          <w:color w:val="000000"/>
          <w:sz w:val="28"/>
        </w:rPr>
        <w:t xml:space="preserve">Бухгалтерский учет в МУП «Привольное» отсутствует, касса за январь – июнь 2024 года не предоставлена. </w:t>
      </w:r>
    </w:p>
    <w:p w14:paraId="7F010000">
      <w:pPr>
        <w:ind w:firstLine="567"/>
        <w:jc w:val="both"/>
        <w:rPr>
          <w:color w:val="000000"/>
          <w:sz w:val="28"/>
        </w:rPr>
      </w:pPr>
      <w:r>
        <w:rPr>
          <w:color w:val="000000"/>
          <w:sz w:val="28"/>
        </w:rPr>
        <w:t>Провести анализ достоверности начисленной, выплаченной заработной платы на основании переданных МУП «Привольное» документов за 2024 год не предоставляется возможным. В действиях должностных лиц МУП «Привольное» усматриваются признаки административного правонарушения, предусмотренного ч. 1 ст. 15.11. КоАП РФ – «грубое нарушение требований к бухгалтерскому учету, в том числе к бухгалтерской (финансовой) отчетности», выразившегося в отсутствие первичных учетных документов и (или) регистров бухгалтерского учета.</w:t>
      </w:r>
    </w:p>
    <w:p w14:paraId="80010000">
      <w:pPr>
        <w:ind w:firstLine="709"/>
        <w:jc w:val="both"/>
        <w:rPr>
          <w:rFonts w:ascii="PT Serif" w:hAnsi="PT Serif"/>
          <w:b w:val="1"/>
          <w:color w:val="000000"/>
          <w:sz w:val="23"/>
        </w:rPr>
      </w:pPr>
      <w:r>
        <w:rPr>
          <w:color w:val="000000"/>
          <w:sz w:val="28"/>
        </w:rPr>
        <w:t>В приходных кассовых ордерах МУП (далее ПКО) «Привольное» сумма принятых наличных денежных средств не соответствует итоговой сумме кассовой ленты, отсутствуют ПКО подтверждающие поступление денежных средств от абонентов. Остаток денежных средств по кассе не соответствует принятой денежной наличности. Отсутствие ПКО при поступлении наличных в кассу является нарушением кассовой дисциплины.</w:t>
      </w:r>
      <w:r>
        <w:rPr>
          <w:rFonts w:ascii="PT Serif" w:hAnsi="PT Serif"/>
          <w:b w:val="1"/>
          <w:color w:val="000000"/>
          <w:sz w:val="23"/>
        </w:rPr>
        <w:t xml:space="preserve"> </w:t>
      </w:r>
    </w:p>
    <w:p w14:paraId="81010000">
      <w:pPr>
        <w:ind w:firstLine="567"/>
        <w:jc w:val="both"/>
        <w:rPr>
          <w:color w:val="000000"/>
          <w:sz w:val="28"/>
        </w:rPr>
      </w:pPr>
      <w:r>
        <w:rPr>
          <w:color w:val="000000"/>
          <w:sz w:val="28"/>
        </w:rPr>
        <w:t>Не оприходование (неполное оприходование) в кассу денежной наличности, то есть фактическое получение выручки и не отражение ее в соответствующих бухгалтерских документах, является нарушением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r>
        <w:rPr>
          <w:color w:val="000000"/>
          <w:sz w:val="28"/>
        </w:rPr>
        <w:fldChar w:fldCharType="begin"/>
      </w:r>
      <w:r>
        <w:rPr>
          <w:color w:val="000000"/>
          <w:sz w:val="28"/>
        </w:rPr>
        <w:instrText>HYPERLINK "https://internet.garant.ru/" \l "/document/149999/entry/0"</w:instrText>
      </w:r>
      <w:r>
        <w:rPr>
          <w:color w:val="000000"/>
          <w:sz w:val="28"/>
        </w:rPr>
        <w:fldChar w:fldCharType="separate"/>
      </w:r>
      <w:r>
        <w:rPr>
          <w:color w:val="000000"/>
          <w:sz w:val="28"/>
        </w:rPr>
        <w:t>размеров</w:t>
      </w:r>
      <w:r>
        <w:rPr>
          <w:color w:val="000000"/>
          <w:sz w:val="28"/>
        </w:rPr>
        <w:fldChar w:fldCharType="end"/>
      </w:r>
      <w:r>
        <w:rPr>
          <w:color w:val="000000"/>
          <w:sz w:val="28"/>
        </w:rPr>
        <w:t>, не оприходовании (неполном оприходовании) в кассу денежной наличности, усматриваются признаки административного правонарушения, предусмотренного статьей 15.1.</w:t>
      </w:r>
    </w:p>
    <w:p w14:paraId="82010000">
      <w:pPr>
        <w:ind w:firstLine="567"/>
        <w:jc w:val="both"/>
        <w:rPr>
          <w:color w:val="000000"/>
          <w:sz w:val="28"/>
        </w:rPr>
      </w:pPr>
      <w:r>
        <w:rPr>
          <w:color w:val="000000"/>
          <w:sz w:val="28"/>
        </w:rPr>
        <w:t>Материалы по результатам проведения контрольного мероприятия направлены: в соответствии со статьей 23.1 КоАП РФ, в судебный участок.</w:t>
      </w:r>
    </w:p>
    <w:p w14:paraId="83010000">
      <w:pPr>
        <w:ind w:firstLine="567"/>
        <w:jc w:val="both"/>
        <w:rPr>
          <w:color w:val="000000"/>
          <w:sz w:val="28"/>
        </w:rPr>
      </w:pPr>
    </w:p>
    <w:p w14:paraId="84010000">
      <w:pPr>
        <w:ind w:firstLine="567"/>
        <w:jc w:val="both"/>
        <w:rPr>
          <w:b w:val="1"/>
          <w:color w:val="000000"/>
          <w:sz w:val="28"/>
        </w:rPr>
      </w:pPr>
      <w:r>
        <w:rPr>
          <w:b w:val="1"/>
          <w:color w:val="000000"/>
          <w:sz w:val="28"/>
        </w:rPr>
        <w:t xml:space="preserve">Информация по проверке </w:t>
      </w:r>
      <w:r>
        <w:rPr>
          <w:b w:val="1"/>
          <w:color w:val="000000"/>
          <w:sz w:val="28"/>
        </w:rPr>
        <w:t>финансово-хозяйственной деятельности в муниципальном унитарном предприятии «Тепловодокомплекс» «Темижбекский».</w:t>
      </w:r>
    </w:p>
    <w:p w14:paraId="85010000">
      <w:pPr>
        <w:ind w:firstLine="567"/>
        <w:jc w:val="both"/>
        <w:rPr>
          <w:color w:val="000000"/>
          <w:sz w:val="28"/>
        </w:rPr>
      </w:pPr>
      <w:r>
        <w:rPr>
          <w:color w:val="000000"/>
          <w:sz w:val="28"/>
        </w:rPr>
        <w:t>В ходе проверки установлено:</w:t>
      </w:r>
    </w:p>
    <w:p w14:paraId="86010000">
      <w:pPr>
        <w:ind w:firstLine="709"/>
        <w:jc w:val="both"/>
        <w:rPr>
          <w:color w:val="000000"/>
          <w:sz w:val="28"/>
        </w:rPr>
      </w:pPr>
      <w:r>
        <w:rPr>
          <w:color w:val="000000"/>
          <w:sz w:val="28"/>
        </w:rPr>
        <w:t>нарушение п. 81 Стандарта бухгалтерского учета государственных учреждений «Концептуальные основы», утвержденного </w:t>
      </w:r>
      <w:r>
        <w:rPr>
          <w:color w:val="000000"/>
          <w:sz w:val="28"/>
        </w:rPr>
        <w:fldChar w:fldCharType="begin"/>
      </w:r>
      <w:r>
        <w:rPr>
          <w:color w:val="000000"/>
          <w:sz w:val="28"/>
        </w:rPr>
        <w:instrText>HYPERLINK "https://d.garant.ru/" \l "/document/71586636/entry/0"</w:instrText>
      </w:r>
      <w:r>
        <w:rPr>
          <w:color w:val="000000"/>
          <w:sz w:val="28"/>
        </w:rPr>
        <w:fldChar w:fldCharType="separate"/>
      </w:r>
      <w:r>
        <w:rPr>
          <w:color w:val="000000"/>
          <w:sz w:val="28"/>
        </w:rPr>
        <w:t>Приказом</w:t>
      </w:r>
      <w:r>
        <w:rPr>
          <w:color w:val="000000"/>
          <w:sz w:val="28"/>
        </w:rPr>
        <w:fldChar w:fldCharType="end"/>
      </w:r>
      <w:r>
        <w:rPr>
          <w:color w:val="000000"/>
          <w:sz w:val="28"/>
        </w:rPr>
        <w:t> Минфина России от 31.12.2016 № 256н.</w:t>
      </w:r>
    </w:p>
    <w:p w14:paraId="87010000">
      <w:pPr>
        <w:ind w:firstLine="567"/>
        <w:jc w:val="both"/>
        <w:rPr>
          <w:color w:val="000000"/>
          <w:sz w:val="28"/>
        </w:rPr>
      </w:pPr>
      <w:r>
        <w:rPr>
          <w:color w:val="000000"/>
          <w:sz w:val="28"/>
        </w:rPr>
        <w:t>Нарушение Приказа Минфина России от 30 марта 2015 года № 52н.</w:t>
      </w:r>
    </w:p>
    <w:p w14:paraId="88010000">
      <w:pPr>
        <w:ind w:firstLine="567"/>
        <w:jc w:val="both"/>
        <w:rPr>
          <w:color w:val="000000"/>
          <w:sz w:val="28"/>
        </w:rPr>
      </w:pPr>
      <w:r>
        <w:rPr>
          <w:color w:val="000000"/>
          <w:sz w:val="28"/>
        </w:rPr>
        <w:t xml:space="preserve">Нарушение п. 3.5. р. 3 Положение об оплате труда, ст. 152 ТК РФ, не производилось начисление заработной платы за сверхурочную работу сторожам. </w:t>
      </w:r>
    </w:p>
    <w:p w14:paraId="89010000">
      <w:pPr>
        <w:ind w:firstLine="567"/>
        <w:jc w:val="both"/>
        <w:rPr>
          <w:color w:val="000000"/>
          <w:sz w:val="28"/>
        </w:rPr>
      </w:pPr>
      <w:r>
        <w:rPr>
          <w:color w:val="000000"/>
          <w:sz w:val="28"/>
        </w:rPr>
        <w:t xml:space="preserve">Нарушение п. 3.2. р. 3 Положение об оплате труда, ст.154 ТК РФ не производилось начисление заработной платы сторожам за ночное время. </w:t>
      </w:r>
    </w:p>
    <w:p w14:paraId="8A010000">
      <w:pPr>
        <w:ind w:firstLine="709"/>
        <w:jc w:val="both"/>
        <w:rPr>
          <w:color w:val="000000"/>
          <w:sz w:val="28"/>
        </w:rPr>
      </w:pPr>
      <w:r>
        <w:rPr>
          <w:color w:val="000000"/>
          <w:sz w:val="28"/>
        </w:rPr>
        <w:t xml:space="preserve">Нарушение Постановления Госкомстата РФ от 01.08.2001 № 55 «Об утверждении унифицированной формы первичной учетной документации № АО-1 «Авансовый отчет». </w:t>
      </w:r>
    </w:p>
    <w:p w14:paraId="8B010000">
      <w:pPr>
        <w:ind w:firstLine="709"/>
        <w:jc w:val="both"/>
        <w:rPr>
          <w:color w:val="000000"/>
          <w:sz w:val="28"/>
        </w:rPr>
      </w:pPr>
      <w:r>
        <w:rPr>
          <w:color w:val="000000"/>
          <w:sz w:val="28"/>
        </w:rPr>
        <w:t>Систематическая выдача из кассы МУПа наличных под отчёт по расходному кассовому ордеру, с последующей сдачей этих сумм в кассу на следующий день. Систематические «круговые» операции без реального расходования по назначению повышают риск документальных претензий и возможной доначисления налогов либо административных санкций,</w:t>
      </w:r>
      <w:r>
        <w:rPr>
          <w:rFonts w:ascii="Calibri" w:hAnsi="Calibri"/>
          <w:color w:val="000000"/>
          <w:sz w:val="22"/>
        </w:rPr>
        <w:t xml:space="preserve"> (</w:t>
      </w:r>
      <w:r>
        <w:rPr>
          <w:color w:val="000000"/>
          <w:sz w:val="28"/>
        </w:rPr>
        <w:t>п.1.1, 1.4; 6.3 Указания Банка России от 11.03.2014 N 3210-У), является административным правонарушением, за которое предусмотрена ответственность по </w:t>
      </w:r>
      <w:r>
        <w:rPr>
          <w:color w:val="000000"/>
          <w:sz w:val="28"/>
        </w:rPr>
        <w:fldChar w:fldCharType="begin"/>
      </w:r>
      <w:r>
        <w:rPr>
          <w:color w:val="000000"/>
          <w:sz w:val="28"/>
        </w:rPr>
        <w:instrText>HYPERLINK "https://d.garant.ru/" \l "/document/12125267/entry/151"</w:instrText>
      </w:r>
      <w:r>
        <w:rPr>
          <w:color w:val="000000"/>
          <w:sz w:val="28"/>
        </w:rPr>
        <w:fldChar w:fldCharType="separate"/>
      </w:r>
      <w:r>
        <w:rPr>
          <w:color w:val="000000"/>
          <w:sz w:val="28"/>
        </w:rPr>
        <w:t>статье 15.1</w:t>
      </w:r>
      <w:r>
        <w:rPr>
          <w:color w:val="000000"/>
          <w:sz w:val="28"/>
        </w:rPr>
        <w:fldChar w:fldCharType="end"/>
      </w:r>
      <w:r>
        <w:rPr>
          <w:color w:val="000000"/>
          <w:sz w:val="28"/>
        </w:rPr>
        <w:t> КоАП РФ.</w:t>
      </w:r>
    </w:p>
    <w:p w14:paraId="8C010000">
      <w:pPr>
        <w:ind w:firstLine="567"/>
        <w:jc w:val="both"/>
        <w:rPr>
          <w:color w:val="000000"/>
          <w:sz w:val="28"/>
        </w:rPr>
      </w:pPr>
      <w:r>
        <w:rPr>
          <w:color w:val="000000"/>
          <w:sz w:val="28"/>
        </w:rPr>
        <w:t>Материалы по результатам проведения контрольного мероприятия направлены: в соответствии со статьей 23.1 КоАП РФ, в судебный участок.</w:t>
      </w:r>
    </w:p>
    <w:p w14:paraId="8D010000">
      <w:pPr>
        <w:ind w:firstLine="567"/>
        <w:jc w:val="both"/>
        <w:rPr>
          <w:b w:val="1"/>
          <w:color w:val="000000"/>
          <w:sz w:val="28"/>
        </w:rPr>
      </w:pPr>
      <w:r>
        <w:rPr>
          <w:b w:val="1"/>
          <w:color w:val="000000"/>
          <w:sz w:val="28"/>
        </w:rPr>
        <w:t>Информация по</w:t>
      </w:r>
      <w:r>
        <w:rPr>
          <w:b w:val="1"/>
          <w:color w:val="000000"/>
          <w:sz w:val="28"/>
        </w:rPr>
        <w:t xml:space="preserve"> проверк</w:t>
      </w:r>
      <w:r>
        <w:rPr>
          <w:b w:val="1"/>
          <w:color w:val="000000"/>
          <w:sz w:val="28"/>
        </w:rPr>
        <w:t>е</w:t>
      </w:r>
      <w:r>
        <w:rPr>
          <w:b w:val="1"/>
          <w:color w:val="000000"/>
          <w:sz w:val="28"/>
        </w:rPr>
        <w:t xml:space="preserve"> финансово-хозяйственной деятельности в Муниципальном унитарном предприятие «Мирское».</w:t>
      </w:r>
    </w:p>
    <w:p w14:paraId="8E010000">
      <w:pPr>
        <w:ind w:firstLine="567"/>
        <w:jc w:val="both"/>
        <w:rPr>
          <w:i w:val="1"/>
          <w:color w:val="000000"/>
          <w:sz w:val="28"/>
          <w:shd w:fill="FFD821" w:val="clear"/>
        </w:rPr>
      </w:pPr>
      <w:r>
        <w:rPr>
          <w:color w:val="000000"/>
          <w:sz w:val="28"/>
        </w:rPr>
        <w:t>Нарушение п.п. 1.3.1. и 1.3.2. Соглашения № 1 «О предоставлении субсидий на оказание финансовой помощи в целях предупреждения банкротства и восстановления платежеспособности муниципального унитарного предприятия» заключенного между администрацией Мирского сельского поселения Кавказского района и МУП «Мирское», нарушены условия использования субсидии.</w:t>
      </w:r>
      <w:r>
        <w:rPr>
          <w:i w:val="1"/>
          <w:color w:val="000000"/>
          <w:sz w:val="28"/>
        </w:rPr>
        <w:t xml:space="preserve"> </w:t>
      </w:r>
    </w:p>
    <w:p w14:paraId="8F010000">
      <w:pPr>
        <w:ind w:firstLine="567"/>
        <w:jc w:val="both"/>
        <w:rPr>
          <w:color w:val="000000"/>
          <w:sz w:val="28"/>
        </w:rPr>
      </w:pPr>
      <w:r>
        <w:rPr>
          <w:color w:val="000000"/>
          <w:sz w:val="28"/>
        </w:rPr>
        <w:t>Данное нарушение содержит признаки административного правонарушения, предусмотренного ч. 3 ст. 15.15.3 КоАП РФ -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r>
        <w:rPr>
          <w:color w:val="000000"/>
          <w:sz w:val="28"/>
          <w:u w:val="single"/>
        </w:rPr>
        <w:fldChar w:fldCharType="begin"/>
      </w:r>
      <w:r>
        <w:rPr>
          <w:color w:val="000000"/>
          <w:sz w:val="28"/>
          <w:u w:val="single"/>
        </w:rPr>
        <w:instrText>HYPERLINK "https://internet.garant.ru/" \l "/document/12125267/entry/1514"</w:instrText>
      </w:r>
      <w:r>
        <w:rPr>
          <w:color w:val="000000"/>
          <w:sz w:val="28"/>
          <w:u w:val="single"/>
        </w:rPr>
        <w:fldChar w:fldCharType="separate"/>
      </w:r>
      <w:r>
        <w:rPr>
          <w:color w:val="000000"/>
          <w:sz w:val="28"/>
          <w:u w:val="single"/>
        </w:rPr>
        <w:t>статьей 15.14</w:t>
      </w:r>
      <w:r>
        <w:rPr>
          <w:color w:val="000000"/>
          <w:sz w:val="28"/>
          <w:u w:val="single"/>
        </w:rPr>
        <w:fldChar w:fldCharType="end"/>
      </w:r>
      <w:r>
        <w:rPr>
          <w:color w:val="000000"/>
          <w:sz w:val="28"/>
        </w:rPr>
        <w:t> настоящего Кодекса».</w:t>
      </w:r>
    </w:p>
    <w:p w14:paraId="90010000">
      <w:pPr>
        <w:ind w:firstLine="567"/>
        <w:jc w:val="both"/>
        <w:rPr>
          <w:color w:val="000000"/>
          <w:sz w:val="28"/>
        </w:rPr>
      </w:pPr>
      <w:r>
        <w:rPr>
          <w:color w:val="000000"/>
          <w:sz w:val="28"/>
        </w:rPr>
        <w:t>В ходе выборочной проверки заработной платы сотрудников МУП «Мирское» установлено, неверно начислена заработная плата (недоплата).</w:t>
      </w:r>
    </w:p>
    <w:p w14:paraId="91010000">
      <w:pPr>
        <w:ind w:firstLine="567"/>
        <w:jc w:val="both"/>
        <w:rPr>
          <w:color w:val="000000"/>
          <w:sz w:val="28"/>
        </w:rPr>
      </w:pPr>
      <w:r>
        <w:rPr>
          <w:color w:val="000000"/>
          <w:sz w:val="28"/>
        </w:rPr>
        <w:t>Нарушение Приказа Минфина России от 30 марта 2015 г.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w:t>
      </w:r>
    </w:p>
    <w:p w14:paraId="92010000">
      <w:pPr>
        <w:ind w:firstLine="567"/>
        <w:jc w:val="both"/>
        <w:rPr>
          <w:color w:val="000000"/>
          <w:sz w:val="28"/>
        </w:rPr>
      </w:pPr>
      <w:r>
        <w:rPr>
          <w:color w:val="000000"/>
          <w:sz w:val="28"/>
        </w:rPr>
        <w:t>Неправильный учёт рабочего времени и занижение фактически отработанных часов — нарушение обязанности работодателя вести учёт фактически отработанного времени, возможное уклонение от надлежащей оплаты (</w:t>
      </w:r>
      <w:r>
        <w:rPr>
          <w:color w:val="000000"/>
          <w:sz w:val="28"/>
        </w:rPr>
        <w:fldChar w:fldCharType="begin"/>
      </w:r>
      <w:r>
        <w:rPr>
          <w:color w:val="000000"/>
          <w:sz w:val="28"/>
        </w:rPr>
        <w:instrText>HYPERLINK "https://d.garant.ru/" \l "/document/12125268/entry/91"</w:instrText>
      </w:r>
      <w:r>
        <w:rPr>
          <w:color w:val="000000"/>
          <w:sz w:val="28"/>
        </w:rPr>
        <w:fldChar w:fldCharType="separate"/>
      </w:r>
      <w:r>
        <w:rPr>
          <w:color w:val="000000"/>
          <w:sz w:val="28"/>
        </w:rPr>
        <w:t>ст. 91</w:t>
      </w:r>
      <w:r>
        <w:rPr>
          <w:color w:val="000000"/>
          <w:sz w:val="28"/>
        </w:rPr>
        <w:fldChar w:fldCharType="end"/>
      </w:r>
      <w:r>
        <w:rPr>
          <w:color w:val="000000"/>
          <w:sz w:val="28"/>
        </w:rPr>
        <w:t> ТК РФ).</w:t>
      </w:r>
    </w:p>
    <w:p w14:paraId="93010000">
      <w:pPr>
        <w:ind w:firstLine="567"/>
        <w:jc w:val="both"/>
        <w:rPr>
          <w:color w:val="000000"/>
          <w:sz w:val="28"/>
        </w:rPr>
      </w:pPr>
      <w:r>
        <w:rPr>
          <w:color w:val="000000"/>
          <w:sz w:val="28"/>
        </w:rPr>
        <w:t>Нарушение кассового порядка Указания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14:paraId="94010000">
      <w:pPr>
        <w:ind w:firstLine="567"/>
        <w:jc w:val="both"/>
        <w:rPr>
          <w:color w:val="000000"/>
          <w:sz w:val="28"/>
        </w:rPr>
      </w:pPr>
      <w:r>
        <w:rPr>
          <w:color w:val="000000"/>
          <w:sz w:val="28"/>
        </w:rPr>
        <w:t>Нарушение п. 6.3 Указания №3210-У,</w:t>
      </w:r>
      <w:r>
        <w:rPr>
          <w:color w:val="000000"/>
        </w:rPr>
        <w:t xml:space="preserve"> </w:t>
      </w:r>
      <w:r>
        <w:rPr>
          <w:color w:val="000000"/>
          <w:sz w:val="28"/>
        </w:rPr>
        <w:t>Постановления Госкомстата РФ от 01.08.2001 № 55 «Об утверждении унифицированной формы первичной учетной документации № АО-1 «Авансовый отчет», Приказа № 52н.</w:t>
      </w:r>
    </w:p>
    <w:p w14:paraId="95010000">
      <w:pPr>
        <w:ind w:firstLine="567"/>
        <w:jc w:val="both"/>
        <w:rPr>
          <w:color w:val="000000"/>
          <w:sz w:val="28"/>
        </w:rPr>
      </w:pPr>
      <w:r>
        <w:rPr>
          <w:color w:val="000000"/>
          <w:sz w:val="28"/>
        </w:rPr>
        <w:t xml:space="preserve">Нарушение п.1, п.3 ст.23 </w:t>
      </w:r>
      <w:r>
        <w:rPr>
          <w:color w:val="000000"/>
          <w:sz w:val="28"/>
        </w:rPr>
        <w:fldChar w:fldCharType="begin"/>
      </w:r>
      <w:r>
        <w:rPr>
          <w:color w:val="000000"/>
          <w:sz w:val="28"/>
        </w:rPr>
        <w:instrText>HYPERLINK "https://www.consultant.ru/document/cons_doc_LAW_39768/"</w:instrText>
      </w:r>
      <w:r>
        <w:rPr>
          <w:color w:val="000000"/>
          <w:sz w:val="28"/>
        </w:rPr>
        <w:fldChar w:fldCharType="separate"/>
      </w:r>
      <w:r>
        <w:rPr>
          <w:color w:val="000000"/>
          <w:sz w:val="28"/>
        </w:rPr>
        <w:t xml:space="preserve">ФЗ от 14.11.2002 № 161-ФЗ «О государственных и муниципальных унитарных предприятиях» </w:t>
      </w:r>
      <w:r>
        <w:rPr>
          <w:color w:val="000000"/>
          <w:sz w:val="28"/>
        </w:rPr>
        <w:fldChar w:fldCharType="end"/>
      </w:r>
      <w:r>
        <w:rPr>
          <w:color w:val="000000"/>
          <w:sz w:val="28"/>
        </w:rPr>
        <w:t>решение о совершении крупной сделки собственника имущества унитарного предприятия отсутствует, такая сделка может быть признана недействительной.</w:t>
      </w:r>
    </w:p>
    <w:p w14:paraId="96010000">
      <w:pPr>
        <w:ind w:firstLine="567"/>
        <w:jc w:val="both"/>
        <w:rPr>
          <w:color w:val="000000"/>
          <w:sz w:val="28"/>
        </w:rPr>
      </w:pPr>
      <w:r>
        <w:rPr>
          <w:color w:val="000000"/>
          <w:sz w:val="28"/>
        </w:rPr>
        <w:t>Нарушение ст. 11 Федерального закона от 21.02.1992 № 2395-1 «О недрах».</w:t>
      </w:r>
    </w:p>
    <w:p w14:paraId="97010000">
      <w:pPr>
        <w:ind w:firstLine="567"/>
        <w:jc w:val="both"/>
        <w:rPr>
          <w:color w:val="000000"/>
          <w:sz w:val="28"/>
        </w:rPr>
      </w:pPr>
      <w:r>
        <w:rPr>
          <w:color w:val="000000"/>
          <w:sz w:val="28"/>
        </w:rPr>
        <w:t>Производилось исчисление суммы транспортного налога за фактически проданные транспортные средства за период с 2022 года по 2024 год. (п.3 ст.362 НК РФ).</w:t>
      </w:r>
    </w:p>
    <w:p w14:paraId="98010000">
      <w:pPr>
        <w:ind w:firstLine="567"/>
        <w:jc w:val="both"/>
        <w:rPr>
          <w:color w:val="000000"/>
          <w:sz w:val="28"/>
        </w:rPr>
      </w:pPr>
      <w:r>
        <w:rPr>
          <w:color w:val="000000"/>
          <w:sz w:val="28"/>
        </w:rPr>
        <w:t>Материалы по результатам проведения контрольного мероприятия направлены: в соответствии со статьей 23.1 КоАП РФ, в судебный участок.</w:t>
      </w:r>
    </w:p>
    <w:p w14:paraId="99010000">
      <w:pPr>
        <w:ind w:firstLine="567"/>
        <w:jc w:val="both"/>
        <w:rPr>
          <w:color w:val="000000"/>
          <w:sz w:val="28"/>
        </w:rPr>
      </w:pPr>
    </w:p>
    <w:p w14:paraId="9A010000">
      <w:pPr>
        <w:ind w:firstLine="567"/>
        <w:jc w:val="both"/>
        <w:rPr>
          <w:color w:val="000000"/>
          <w:sz w:val="28"/>
        </w:rPr>
      </w:pPr>
      <w:r>
        <w:rPr>
          <w:color w:val="000000"/>
          <w:sz w:val="28"/>
        </w:rPr>
        <w:t xml:space="preserve">Информация по проверке </w:t>
      </w:r>
      <w:r>
        <w:rPr>
          <w:color w:val="000000"/>
          <w:sz w:val="28"/>
        </w:rPr>
        <w:t>целевого и эффективного использования бюджетных средств по муниципальной программе «Благоустройство» прочие мероприятия по улучшению состояния территории Кропоткинского городского поселения Кавказского района в отношении территории Парка 30-летия Победы, за 2024 год и текущий период 2025 года.</w:t>
      </w:r>
    </w:p>
    <w:p w14:paraId="9B010000">
      <w:pPr>
        <w:ind w:firstLine="567"/>
        <w:jc w:val="both"/>
        <w:rPr>
          <w:color w:val="000000"/>
          <w:sz w:val="28"/>
        </w:rPr>
      </w:pPr>
      <w:r>
        <w:rPr>
          <w:color w:val="000000"/>
          <w:sz w:val="28"/>
        </w:rPr>
        <w:t>В проверяемом периоде на территории Кропоткинского городского поселения Кавказского района реализовалась муниципальная программа «Благоустройство территории Кропоткинского городского поселения Кавказского района на 2024 – 2026 годы».</w:t>
      </w:r>
    </w:p>
    <w:p w14:paraId="9C010000">
      <w:pPr>
        <w:ind w:firstLine="567"/>
        <w:jc w:val="both"/>
        <w:rPr>
          <w:color w:val="000000"/>
          <w:sz w:val="28"/>
          <w:shd w:fill="FFE779" w:val="clear"/>
        </w:rPr>
      </w:pPr>
      <w:r>
        <w:rPr>
          <w:color w:val="000000"/>
          <w:sz w:val="28"/>
        </w:rPr>
        <w:t>В отношении территории Парка 30-летия Победы, за 2024 год и текущий период 2025 года расходы проводились по</w:t>
      </w:r>
      <w:r>
        <w:rPr>
          <w:color w:val="000000"/>
          <w:sz w:val="28"/>
        </w:rPr>
        <w:t xml:space="preserve"> основному мероприятию № 4 «Мероприятия по благоустройству на территории Кропоткинского городского поселения Кавказского района.</w:t>
      </w:r>
    </w:p>
    <w:p w14:paraId="9D010000">
      <w:pPr>
        <w:tabs>
          <w:tab w:leader="none" w:pos="284" w:val="left"/>
        </w:tabs>
        <w:ind w:firstLine="567"/>
        <w:jc w:val="both"/>
        <w:rPr>
          <w:color w:val="000000"/>
          <w:sz w:val="28"/>
        </w:rPr>
      </w:pPr>
      <w:r>
        <w:rPr>
          <w:color w:val="000000"/>
          <w:sz w:val="28"/>
        </w:rPr>
        <w:t>Установлено, Администрацией допущено нарушение ст. 179 БК РФ выразившееся в несоответствии денежных средств по муниципальной программе отчету об исполнении бюджета Кропоткинского городского поселения (местный бюджет).</w:t>
      </w:r>
    </w:p>
    <w:p w14:paraId="9E010000">
      <w:pPr>
        <w:ind w:firstLine="567"/>
        <w:jc w:val="both"/>
        <w:rPr>
          <w:color w:val="000000"/>
          <w:sz w:val="28"/>
        </w:rPr>
      </w:pPr>
    </w:p>
    <w:p w14:paraId="9F010000">
      <w:pPr>
        <w:ind w:firstLine="567"/>
        <w:jc w:val="both"/>
        <w:rPr>
          <w:b w:val="1"/>
          <w:color w:val="000000"/>
          <w:sz w:val="28"/>
        </w:rPr>
      </w:pPr>
      <w:r>
        <w:rPr>
          <w:b w:val="1"/>
          <w:color w:val="000000"/>
          <w:sz w:val="28"/>
        </w:rPr>
        <w:t xml:space="preserve">Информация по проверке </w:t>
      </w:r>
      <w:r>
        <w:rPr>
          <w:b w:val="1"/>
          <w:color w:val="000000"/>
          <w:sz w:val="28"/>
        </w:rPr>
        <w:t>по оценке эффективности предоставления налоговых и иных льгот и преимуществ, бюджетных кредитов за счет средств местных бюджетов, а так 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местных бюджетов и имущества, находящегося в муниципальной собственности Привольного сельского поселения Кавказского района за 2024 год.</w:t>
      </w:r>
    </w:p>
    <w:p w14:paraId="A0010000">
      <w:pPr>
        <w:ind w:firstLine="567"/>
        <w:jc w:val="both"/>
        <w:rPr>
          <w:color w:val="000000"/>
          <w:sz w:val="28"/>
        </w:rPr>
      </w:pPr>
      <w:r>
        <w:rPr>
          <w:color w:val="000000"/>
          <w:sz w:val="28"/>
        </w:rPr>
        <w:t>В ходе проверки установлено, в целях контроля, для проведения оценки эффективности налоговых льгот, используется налоговая, финансовая, и статистическая отчетность, а также иные виды официальной информации, включая данные налогоплательщиков, использующих налоговые льготы, или лиц, инициирующих их установление. Также источником информации для расчета оценки эффективности налоговых льгот служат данные налоговой отчетности о базе налогообложения по местным видам налогов по форме 5-МН.</w:t>
      </w:r>
    </w:p>
    <w:p w14:paraId="A1010000">
      <w:pPr>
        <w:ind w:firstLine="567"/>
        <w:jc w:val="both"/>
        <w:rPr>
          <w:color w:val="000000"/>
          <w:sz w:val="28"/>
        </w:rPr>
      </w:pPr>
      <w:r>
        <w:rPr>
          <w:color w:val="000000"/>
          <w:sz w:val="28"/>
        </w:rPr>
        <w:t>Льготы для физических лиц, отменяющие уплату земельного налога, направлены на поддержку социально-незащищенных слоев населения – ветеранов и инвалидов ВОВ, а также ветеранов и инвалидов боевых действий и физических лиц, в отношении земельных участков под домовладениями, находящимися в зоне подтопления. Данные налоговые льготы имеют бессрочный характер. Документы, подтверждающие право на налоговые льготы и уменьшение налоговой базы в соответствии с главой 31 НК РФ и настоящими Решениями, предоставляются в налоговые органы по месту нахождения земельного участка.</w:t>
      </w:r>
    </w:p>
    <w:p w14:paraId="A2010000">
      <w:pPr>
        <w:ind w:firstLine="567"/>
        <w:jc w:val="both"/>
        <w:rPr>
          <w:color w:val="000000"/>
          <w:sz w:val="28"/>
        </w:rPr>
      </w:pPr>
      <w:r>
        <w:rPr>
          <w:color w:val="000000"/>
          <w:sz w:val="28"/>
        </w:rPr>
        <w:t xml:space="preserve">Стимулирующие налоговые расходы по налогу на имущество физических лиц предоставлены в виде пониженной налоговой ставки в размере 1%. Пониженная налоговая ставка для плательщиков налога в отношении объектов налогообложения, включенных в перечень в соответствии с п.7 ст.378.2 НК РФ и для объектов налогообложения, предусмотренных абзацем 2 п.10 ст.378.2 НК РФ. </w:t>
      </w:r>
    </w:p>
    <w:p w14:paraId="A3010000">
      <w:pPr>
        <w:ind w:firstLine="567"/>
        <w:jc w:val="both"/>
        <w:rPr>
          <w:color w:val="000000"/>
          <w:sz w:val="28"/>
          <w:shd w:fill="FFD821" w:val="clear"/>
        </w:rPr>
      </w:pPr>
    </w:p>
    <w:p w14:paraId="A4010000">
      <w:pPr>
        <w:ind w:firstLine="567"/>
        <w:jc w:val="both"/>
        <w:rPr>
          <w:b w:val="1"/>
          <w:color w:val="000000"/>
          <w:sz w:val="28"/>
        </w:rPr>
      </w:pPr>
      <w:r>
        <w:rPr>
          <w:b w:val="1"/>
          <w:color w:val="000000"/>
          <w:sz w:val="28"/>
        </w:rPr>
        <w:t xml:space="preserve">Информация по проверке </w:t>
      </w:r>
      <w:r>
        <w:rPr>
          <w:b w:val="1"/>
          <w:color w:val="000000"/>
          <w:sz w:val="28"/>
        </w:rPr>
        <w:t>целевого и эффективного расходования средств субсидий (в том числе на финансовое обеспечение выполнения муниципального задания), предоставленных из бюджета муниципального образования Кавказский район МБУ ДО СШ «Смена».</w:t>
      </w:r>
    </w:p>
    <w:p w14:paraId="A5010000">
      <w:pPr>
        <w:widowControl w:val="0"/>
        <w:ind w:firstLine="567"/>
        <w:jc w:val="both"/>
        <w:rPr>
          <w:color w:val="000000"/>
          <w:sz w:val="28"/>
        </w:rPr>
      </w:pPr>
      <w:r>
        <w:rPr>
          <w:color w:val="000000"/>
          <w:sz w:val="28"/>
        </w:rPr>
        <w:t>Установлено нарушение графика перечисления субсидии по Соглашению от 29.12.2023 г. № 5 «О порядке и условиях предоставления субсидии из бюджета муниципального образования Кавказский район муниципальному бюджетному учреждению муниципального образования Кавказский район на финансовое обеспечение выполнения муниципального задания на оказание муниципальных услуг (выполнение работ)».</w:t>
      </w:r>
    </w:p>
    <w:p w14:paraId="A6010000">
      <w:pPr>
        <w:ind w:firstLine="567"/>
        <w:jc w:val="both"/>
        <w:rPr>
          <w:color w:val="000000"/>
          <w:sz w:val="28"/>
          <w:shd w:fill="FFD821" w:val="clear"/>
        </w:rPr>
      </w:pPr>
      <w:r>
        <w:rPr>
          <w:color w:val="000000"/>
          <w:sz w:val="28"/>
        </w:rPr>
        <w:t>В действиях должностных лиц Отдела по физической культуре и спорта администрации муниципального образования Кавказский район усматриваются признаки административного правонарушения, предусмотренного ч. 1 ст. 15.15.5. КоАП РФ –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w:t>
      </w:r>
    </w:p>
    <w:p w14:paraId="A7010000">
      <w:pPr>
        <w:widowControl w:val="0"/>
        <w:ind w:firstLine="567"/>
        <w:jc w:val="both"/>
        <w:rPr>
          <w:color w:val="000000"/>
          <w:sz w:val="28"/>
        </w:rPr>
      </w:pPr>
      <w:r>
        <w:rPr>
          <w:color w:val="000000"/>
          <w:sz w:val="28"/>
        </w:rPr>
        <w:t>Нарушение п. 1 ст. 9 Федерального закона от 6.12.2011 г. № 402-ФЗ «О бухгалтерском учете».</w:t>
      </w:r>
    </w:p>
    <w:p w14:paraId="A8010000">
      <w:pPr>
        <w:widowControl w:val="0"/>
        <w:ind w:firstLine="567"/>
        <w:jc w:val="both"/>
        <w:rPr>
          <w:color w:val="000000"/>
          <w:sz w:val="28"/>
        </w:rPr>
      </w:pPr>
      <w:r>
        <w:rPr>
          <w:color w:val="000000"/>
          <w:sz w:val="28"/>
        </w:rPr>
        <w:t>Неэффективные расходы по списанию ГСМ.</w:t>
      </w:r>
    </w:p>
    <w:p w14:paraId="A9010000">
      <w:pPr>
        <w:ind w:firstLine="567"/>
        <w:jc w:val="both"/>
        <w:rPr>
          <w:color w:val="000000"/>
          <w:sz w:val="28"/>
        </w:rPr>
      </w:pPr>
      <w:r>
        <w:rPr>
          <w:color w:val="000000"/>
          <w:sz w:val="28"/>
        </w:rPr>
        <w:t>Нарушение раздела 3 Положения об оплате труда работников МБУ ДО СШ «Смена», № 63 от 20.03.2024г., ст. 152 ТК РФ.</w:t>
      </w:r>
    </w:p>
    <w:p w14:paraId="AA010000">
      <w:pPr>
        <w:ind w:firstLine="567"/>
        <w:jc w:val="both"/>
        <w:rPr>
          <w:color w:val="000000"/>
          <w:sz w:val="28"/>
        </w:rPr>
      </w:pPr>
      <w:r>
        <w:rPr>
          <w:color w:val="000000"/>
          <w:sz w:val="28"/>
        </w:rPr>
        <w:t>При расчете среднедневного заработка, установлена недоплата, заработной платы.</w:t>
      </w:r>
    </w:p>
    <w:p w14:paraId="AB010000">
      <w:pPr>
        <w:widowControl w:val="0"/>
        <w:ind w:firstLine="567"/>
        <w:jc w:val="both"/>
        <w:rPr>
          <w:color w:val="000000"/>
          <w:sz w:val="28"/>
        </w:rPr>
      </w:pPr>
      <w:r>
        <w:rPr>
          <w:color w:val="000000"/>
          <w:sz w:val="28"/>
        </w:rPr>
        <w:t>Материалы по результатам проведения контрольного мероприятия направлены: в соответствии со статьей 23.1 КоАП РФ, в Мировой судебный участок №67 Кавказского района Краснодарского края.</w:t>
      </w:r>
    </w:p>
    <w:p w14:paraId="AC010000">
      <w:pPr>
        <w:ind/>
        <w:jc w:val="both"/>
        <w:rPr>
          <w:color w:val="000000"/>
          <w:sz w:val="28"/>
        </w:rPr>
      </w:pPr>
    </w:p>
    <w:p w14:paraId="AD010000">
      <w:pPr>
        <w:ind w:firstLine="567"/>
        <w:jc w:val="both"/>
        <w:rPr>
          <w:b w:val="1"/>
          <w:color w:val="000000"/>
          <w:sz w:val="28"/>
        </w:rPr>
      </w:pPr>
      <w:r>
        <w:rPr>
          <w:b w:val="1"/>
          <w:color w:val="000000"/>
          <w:sz w:val="28"/>
        </w:rPr>
        <w:t>Информация по проверке</w:t>
      </w:r>
      <w:r>
        <w:rPr>
          <w:b w:val="1"/>
          <w:color w:val="000000"/>
          <w:sz w:val="28"/>
        </w:rPr>
        <w:t xml:space="preserve"> финансово – хозяйственной деятельности муниципального бюджетного образовательного учреждения дополнительного образования станция юных натуралистов города Кропоткин муниципального образования Кавказский район за 2024 год и текущий период 2025 года.</w:t>
      </w:r>
    </w:p>
    <w:p w14:paraId="AE010000">
      <w:pPr>
        <w:ind w:firstLine="567"/>
        <w:jc w:val="both"/>
        <w:rPr>
          <w:color w:val="000000"/>
          <w:sz w:val="28"/>
        </w:rPr>
      </w:pPr>
      <w:r>
        <w:rPr>
          <w:color w:val="000000"/>
          <w:sz w:val="28"/>
        </w:rPr>
        <w:t xml:space="preserve">Установлено нарушение графика перечисления субсидии по Соглашению от 09.01.2025 г. № 17/2 «О порядке и условиях предоставления субсидии из бюджета муниципального образования Кавказский район муниципальному бюджетному учреждению или автономному образовательному учреждению муниципального образования Кавказский район на финансовое обеспечение выполнения муниципального задания на оказание муниципальных услуг (выполнение работ)» заключенного между Управлением образования администрации муниципального образования Кавказский район и МБОУ ДО СЮН на 2025 год. </w:t>
      </w:r>
    </w:p>
    <w:p w14:paraId="AF010000">
      <w:pPr>
        <w:ind w:firstLine="567"/>
        <w:jc w:val="both"/>
        <w:rPr>
          <w:color w:val="000000"/>
          <w:sz w:val="28"/>
        </w:rPr>
      </w:pPr>
      <w:r>
        <w:rPr>
          <w:color w:val="000000"/>
          <w:sz w:val="28"/>
        </w:rPr>
        <w:t>В действиях должностных лиц Управления образования усматриваются признаки административного правонарушения, предусмотренного статьи 15.15.15. КоАП РФ – нарушение порядка формирования и (или) финансового обеспечения выполнения муниципального задания.</w:t>
      </w:r>
    </w:p>
    <w:p w14:paraId="B0010000">
      <w:pPr>
        <w:ind w:firstLine="567"/>
        <w:jc w:val="both"/>
        <w:rPr>
          <w:color w:val="000000"/>
          <w:sz w:val="28"/>
        </w:rPr>
      </w:pPr>
      <w:r>
        <w:rPr>
          <w:color w:val="000000"/>
          <w:sz w:val="28"/>
        </w:rPr>
        <w:t>Нарушение п. 42 раздела VIII приказа Министерства труда и социальной защиты РФ от 19 мая 2021 г. № 320н «Об утверждении формы, порядка ведения и хранения трудовых книжек».</w:t>
      </w:r>
    </w:p>
    <w:p w14:paraId="B1010000">
      <w:pPr>
        <w:ind w:firstLine="567"/>
        <w:jc w:val="both"/>
        <w:rPr>
          <w:color w:val="000000"/>
          <w:sz w:val="28"/>
          <w:shd w:fill="FFD821" w:val="clear"/>
        </w:rPr>
      </w:pPr>
      <w:r>
        <w:rPr>
          <w:color w:val="000000"/>
          <w:sz w:val="28"/>
        </w:rPr>
        <w:t>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содержит признаки административного правонарушения в ч. 1 ст. 5.27 КоАП РФ.</w:t>
      </w:r>
    </w:p>
    <w:p w14:paraId="B2010000">
      <w:pPr>
        <w:ind w:firstLine="567"/>
        <w:jc w:val="both"/>
        <w:rPr>
          <w:color w:val="000000"/>
          <w:sz w:val="28"/>
          <w:shd w:fill="FFD821" w:val="clear"/>
        </w:rPr>
      </w:pPr>
      <w:r>
        <w:rPr>
          <w:color w:val="000000"/>
          <w:sz w:val="28"/>
        </w:rPr>
        <w:t xml:space="preserve">Нарушение Приказа Минфина России от 30 марта 2015 г. № 52н. </w:t>
      </w:r>
    </w:p>
    <w:p w14:paraId="B3010000">
      <w:pPr>
        <w:ind w:firstLine="567"/>
        <w:rPr>
          <w:color w:val="000000"/>
          <w:sz w:val="28"/>
        </w:rPr>
      </w:pPr>
      <w:r>
        <w:rPr>
          <w:color w:val="000000"/>
          <w:sz w:val="28"/>
        </w:rPr>
        <w:t>В ходе выборочной проверки заработной платы сотрудников МБОУ ДО СЮН установлена недоплата (переплата).</w:t>
      </w:r>
    </w:p>
    <w:p w14:paraId="B4010000">
      <w:pPr>
        <w:ind w:firstLine="567"/>
        <w:rPr>
          <w:color w:val="000000"/>
          <w:sz w:val="28"/>
        </w:rPr>
      </w:pPr>
      <w:r>
        <w:rPr>
          <w:color w:val="000000"/>
          <w:sz w:val="28"/>
        </w:rPr>
        <w:t>Нарушение ст. 139 ТК РФ, п. 4 Положение № 922, не выплачивалась заработная плата водителям автобусов, за работу в праздничные дни.</w:t>
      </w:r>
    </w:p>
    <w:p w14:paraId="B5010000">
      <w:pPr>
        <w:ind w:firstLine="567"/>
        <w:jc w:val="both"/>
        <w:rPr>
          <w:color w:val="000000"/>
          <w:sz w:val="28"/>
        </w:rPr>
      </w:pPr>
      <w:r>
        <w:rPr>
          <w:color w:val="000000"/>
          <w:sz w:val="28"/>
        </w:rPr>
        <w:t xml:space="preserve">Нарушение ч. 3 ст. 103 </w:t>
      </w:r>
      <w:r>
        <w:rPr>
          <w:color w:val="000000"/>
          <w:sz w:val="28"/>
          <w:highlight w:val="white"/>
        </w:rPr>
        <w:t>Федерального закона от 5 апреля 2013 г. № 44-ФЗ</w:t>
      </w:r>
      <w:r>
        <w:rPr>
          <w:color w:val="000000"/>
          <w:sz w:val="28"/>
        </w:rPr>
        <w:t>, пп. б п. 15 ч. 3 Постановления Правительства от 27 января 2022 г.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14:paraId="B6010000">
      <w:pPr>
        <w:ind w:firstLine="567"/>
        <w:jc w:val="both"/>
        <w:rPr>
          <w:color w:val="000000"/>
          <w:sz w:val="28"/>
          <w:highlight w:val="white"/>
        </w:rPr>
      </w:pPr>
      <w:r>
        <w:rPr>
          <w:color w:val="000000"/>
          <w:sz w:val="28"/>
          <w:highlight w:val="white"/>
        </w:rPr>
        <w:t xml:space="preserve">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r>
        <w:rPr>
          <w:color w:val="000000"/>
          <w:sz w:val="28"/>
          <w:highlight w:val="white"/>
        </w:rPr>
        <w:fldChar w:fldCharType="begin"/>
      </w:r>
      <w:r>
        <w:rPr>
          <w:color w:val="000000"/>
          <w:sz w:val="28"/>
          <w:highlight w:val="white"/>
        </w:rPr>
        <w:instrText>HYPERLINK "https://www.consultant.ru/document/cons_doc_LAW_93980/" \l "dst100003"</w:instrText>
      </w:r>
      <w:r>
        <w:rPr>
          <w:color w:val="000000"/>
          <w:sz w:val="28"/>
          <w:highlight w:val="white"/>
        </w:rPr>
        <w:fldChar w:fldCharType="separate"/>
      </w:r>
      <w:r>
        <w:rPr>
          <w:color w:val="000000"/>
          <w:sz w:val="28"/>
          <w:highlight w:val="white"/>
        </w:rPr>
        <w:t>сведения</w:t>
      </w:r>
      <w:r>
        <w:rPr>
          <w:color w:val="000000"/>
          <w:sz w:val="28"/>
          <w:highlight w:val="white"/>
        </w:rPr>
        <w:fldChar w:fldCharType="end"/>
      </w:r>
      <w:r>
        <w:rPr>
          <w:color w:val="000000"/>
          <w:sz w:val="28"/>
          <w:highlight w:val="white"/>
        </w:rPr>
        <w:t xml:space="preserve">,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w:t>
      </w:r>
      <w:r>
        <w:rPr>
          <w:color w:val="000000"/>
          <w:sz w:val="28"/>
          <w:highlight w:val="white"/>
        </w:rPr>
        <w:fldChar w:fldCharType="begin"/>
      </w:r>
      <w:r>
        <w:rPr>
          <w:color w:val="000000"/>
          <w:sz w:val="28"/>
          <w:highlight w:val="white"/>
        </w:rPr>
        <w:instrText>HYPERLINK "https://www.consultant.ru/document/cons_doc_LAW_34661/dc3e22f2517244a9bd44be880949284e70dde53d/"</w:instrText>
      </w:r>
      <w:r>
        <w:rPr>
          <w:color w:val="000000"/>
          <w:sz w:val="28"/>
          <w:highlight w:val="white"/>
        </w:rPr>
        <w:fldChar w:fldCharType="separate"/>
      </w:r>
      <w:r>
        <w:rPr>
          <w:color w:val="000000"/>
          <w:sz w:val="28"/>
          <w:highlight w:val="white"/>
        </w:rPr>
        <w:t>законодательством</w:t>
      </w:r>
      <w:r>
        <w:rPr>
          <w:color w:val="000000"/>
          <w:sz w:val="28"/>
          <w:highlight w:val="white"/>
        </w:rPr>
        <w:fldChar w:fldCharType="end"/>
      </w:r>
      <w:r>
        <w:rPr>
          <w:color w:val="000000"/>
          <w:sz w:val="28"/>
          <w:highlight w:val="white"/>
        </w:rPr>
        <w:t xml:space="preserve">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содержит признаки административного правонарушения в ч. 2 ст. 7.31 КоАП.</w:t>
      </w:r>
    </w:p>
    <w:p w14:paraId="B7010000">
      <w:pPr>
        <w:ind w:firstLine="567"/>
        <w:jc w:val="both"/>
        <w:rPr>
          <w:color w:val="000000"/>
          <w:sz w:val="28"/>
        </w:rPr>
      </w:pPr>
      <w:r>
        <w:rPr>
          <w:color w:val="000000"/>
          <w:sz w:val="28"/>
        </w:rPr>
        <w:t>Материалы по результатам проведения контрольного мероприятия направлены: в Прокуратуру муниципального образования Кавказский район;</w:t>
      </w:r>
    </w:p>
    <w:p w14:paraId="B8010000">
      <w:pPr>
        <w:ind/>
        <w:jc w:val="both"/>
        <w:rPr>
          <w:color w:val="000000"/>
          <w:sz w:val="28"/>
        </w:rPr>
      </w:pPr>
      <w:r>
        <w:rPr>
          <w:color w:val="000000"/>
          <w:sz w:val="28"/>
        </w:rPr>
        <w:t>в соответствии со статьей 23.66 КоАП РФ, в Министерство экономики Краснодарского края; в соответствии со статьей 23.1 КоАП РФ, в судебный участок.</w:t>
      </w:r>
    </w:p>
    <w:p w14:paraId="B9010000">
      <w:pPr>
        <w:ind w:firstLine="567"/>
        <w:jc w:val="both"/>
        <w:rPr>
          <w:color w:val="000000"/>
          <w:sz w:val="28"/>
        </w:rPr>
      </w:pPr>
    </w:p>
    <w:p w14:paraId="BA010000">
      <w:pPr>
        <w:ind w:firstLine="567"/>
        <w:jc w:val="both"/>
        <w:rPr>
          <w:b w:val="1"/>
          <w:color w:val="000000"/>
          <w:sz w:val="28"/>
        </w:rPr>
      </w:pPr>
      <w:r>
        <w:rPr>
          <w:b w:val="1"/>
          <w:color w:val="000000"/>
          <w:sz w:val="28"/>
        </w:rPr>
        <w:t xml:space="preserve">Информация по проверке </w:t>
      </w:r>
      <w:r>
        <w:rPr>
          <w:b w:val="1"/>
          <w:color w:val="000000"/>
          <w:sz w:val="28"/>
        </w:rPr>
        <w:t>годовой бюджетной отчетности главного администратора бюджетных средств администрации Темижбекского сельского поселения Кавказского района за 2024 год.</w:t>
      </w:r>
    </w:p>
    <w:p w14:paraId="BB010000">
      <w:pPr>
        <w:ind w:firstLine="567"/>
        <w:jc w:val="both"/>
        <w:rPr>
          <w:color w:val="000000"/>
          <w:sz w:val="28"/>
        </w:rPr>
      </w:pPr>
      <w:r>
        <w:rPr>
          <w:color w:val="000000"/>
          <w:sz w:val="28"/>
        </w:rPr>
        <w:t>В ходе проверки установлено, пояснительная записка администрации Темижбекского сельского поселения (ф. 0503160) не соответствуют нормативным требованиям пункта 152 Инструкции 191н.</w:t>
      </w:r>
    </w:p>
    <w:p w14:paraId="BC010000">
      <w:pPr>
        <w:ind w:firstLine="567"/>
        <w:jc w:val="both"/>
        <w:rPr>
          <w:color w:val="000000"/>
          <w:sz w:val="28"/>
          <w:highlight w:val="white"/>
        </w:rPr>
      </w:pPr>
      <w:r>
        <w:rPr>
          <w:color w:val="000000"/>
          <w:sz w:val="28"/>
        </w:rPr>
        <w:t xml:space="preserve">Нарушение требований п.4 ст.7 </w:t>
      </w:r>
      <w:r>
        <w:rPr>
          <w:color w:val="000000"/>
          <w:sz w:val="28"/>
          <w:highlight w:val="white"/>
        </w:rPr>
        <w:t>Федерального закона от 6 октября 2003 г. № 131-ФЗ «Об общих принципах организации местного самоуправления в Российской Федерации».</w:t>
      </w:r>
    </w:p>
    <w:p w14:paraId="BD010000">
      <w:pPr>
        <w:tabs>
          <w:tab w:leader="none" w:pos="838" w:val="left"/>
        </w:tabs>
        <w:spacing w:line="320" w:lineRule="exact"/>
        <w:ind w:firstLine="567"/>
        <w:jc w:val="both"/>
        <w:rPr>
          <w:color w:val="000000"/>
          <w:sz w:val="28"/>
        </w:rPr>
      </w:pPr>
      <w:r>
        <w:rPr>
          <w:color w:val="000000"/>
          <w:sz w:val="28"/>
        </w:rPr>
        <w:t>Нарушение ведения реестра муниципальной собственности.</w:t>
      </w:r>
    </w:p>
    <w:p w14:paraId="BE010000">
      <w:pPr>
        <w:ind w:firstLine="567"/>
        <w:jc w:val="both"/>
        <w:rPr>
          <w:b w:val="1"/>
          <w:color w:val="000000"/>
          <w:sz w:val="28"/>
        </w:rPr>
      </w:pPr>
      <w:r>
        <w:rPr>
          <w:color w:val="000000"/>
          <w:sz w:val="28"/>
        </w:rPr>
        <w:t xml:space="preserve">Нарушение ч.1 ст.9, ч.1 ст.13 Федерального закона </w:t>
      </w:r>
      <w:r>
        <w:rPr>
          <w:color w:val="000000"/>
          <w:sz w:val="28"/>
          <w:highlight w:val="white"/>
        </w:rPr>
        <w:t>от 6 декабря 2011 г. N 402-ФЗ «О бухгалтерском учете»</w:t>
      </w:r>
      <w:r>
        <w:rPr>
          <w:color w:val="000000"/>
          <w:sz w:val="28"/>
        </w:rPr>
        <w:t>, пункта 38 Инструкции по применению Плана счетов бюджетного учета, утвержденной приказом Минфина России от 06.12.2010 №162н.</w:t>
      </w:r>
    </w:p>
    <w:p w14:paraId="BF010000">
      <w:pPr>
        <w:ind w:firstLine="567"/>
        <w:jc w:val="both"/>
        <w:rPr>
          <w:color w:val="000000"/>
          <w:sz w:val="28"/>
        </w:rPr>
      </w:pPr>
      <w:r>
        <w:rPr>
          <w:color w:val="000000"/>
          <w:sz w:val="28"/>
        </w:rPr>
        <w:t>«Нарушение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содержит состав административного правонарушения, предусмотренного частью 2 статьи 15.15.6 Кодекса Российской Федерации об административных правонарушениях и влечет наложение административного штрафа.</w:t>
      </w:r>
    </w:p>
    <w:p w14:paraId="C0010000">
      <w:pPr>
        <w:ind w:firstLine="567"/>
        <w:jc w:val="both"/>
        <w:rPr>
          <w:color w:val="000000"/>
          <w:sz w:val="28"/>
        </w:rPr>
      </w:pPr>
      <w:r>
        <w:rPr>
          <w:color w:val="000000"/>
          <w:sz w:val="28"/>
        </w:rPr>
        <w:t>Материалы по результатам проведения контрольного мероприятия направлены: в соответствии со статьей 23.1 КоАП РФ, в Мировой судебный участок №144 Кавказского района Краснодарского края.</w:t>
      </w:r>
    </w:p>
    <w:p w14:paraId="C1010000">
      <w:pPr>
        <w:ind w:firstLine="709"/>
        <w:jc w:val="both"/>
        <w:rPr>
          <w:sz w:val="28"/>
        </w:rPr>
      </w:pPr>
    </w:p>
    <w:p w14:paraId="C2010000">
      <w:pPr>
        <w:ind w:firstLine="709"/>
        <w:jc w:val="both"/>
        <w:rPr>
          <w:b w:val="1"/>
          <w:color w:val="000000"/>
          <w:sz w:val="28"/>
        </w:rPr>
      </w:pPr>
      <w:r>
        <w:rPr>
          <w:b w:val="1"/>
          <w:color w:val="000000"/>
          <w:sz w:val="28"/>
        </w:rPr>
        <w:t xml:space="preserve">Проведен </w:t>
      </w:r>
      <w:r>
        <w:rPr>
          <w:b w:val="1"/>
          <w:color w:val="000000"/>
          <w:sz w:val="28"/>
        </w:rPr>
        <w:t>анализ планирования бюджетных средств на финансовое обеспечение проведения углубленных медицинских осмотров лиц, занимающихся физической культурой и спортом в организациях муниципального образования Кавказский район, реализующих программы спортивной подготовки, и (или) дополнительные образовательные программы в области физической культуры и спорта; законность, целевое и эффективное использование бюджетных средств, полученных на финансовое обеспечение проведения углубленных медицинских осмотров (учебно-тренировочный этап спортивной подготовки).</w:t>
      </w:r>
    </w:p>
    <w:p w14:paraId="C3010000">
      <w:pPr>
        <w:ind w:firstLine="708"/>
        <w:jc w:val="both"/>
        <w:rPr>
          <w:color w:val="000000"/>
          <w:sz w:val="28"/>
        </w:rPr>
      </w:pPr>
      <w:r>
        <w:rPr>
          <w:color w:val="000000"/>
          <w:sz w:val="28"/>
        </w:rPr>
        <w:t xml:space="preserve">В соответствии со ст.3 </w:t>
      </w:r>
      <w:r>
        <w:rPr>
          <w:color w:val="000000"/>
          <w:sz w:val="28"/>
        </w:rPr>
        <w:t>ФЗ № 329 от 04.12.2007 года «О физической культуре и спорте в Российской Федерации»</w:t>
      </w:r>
      <w:r>
        <w:rPr>
          <w:color w:val="000000"/>
          <w:sz w:val="28"/>
        </w:rPr>
        <w:t xml:space="preserve">, одним из основных принципов является обеспечение безопасности жизни и здоровья лиц, занимающихся физической культурой и спортом. </w:t>
      </w:r>
    </w:p>
    <w:p w14:paraId="C4010000">
      <w:pPr>
        <w:tabs>
          <w:tab w:leader="none" w:pos="709" w:val="left"/>
        </w:tabs>
        <w:ind w:firstLine="724" w:left="-15"/>
        <w:jc w:val="both"/>
        <w:rPr>
          <w:color w:val="000000"/>
          <w:sz w:val="28"/>
        </w:rPr>
      </w:pPr>
      <w:r>
        <w:rPr>
          <w:color w:val="000000"/>
          <w:sz w:val="28"/>
        </w:rPr>
        <w:t xml:space="preserve">Начиная с учебно-тренировочного этапа спортивной подготовки, для получения допуска к учебно-тренировочным мероприятиям и к участию в спортивных соревнованиях спортсмен должен пройти углубленное медицинское обследование, то есть осмотр у всех врачей, указанных в </w:t>
      </w:r>
      <w:r>
        <w:rPr>
          <w:color w:val="000000"/>
          <w:sz w:val="28"/>
        </w:rPr>
        <w:fldChar w:fldCharType="begin"/>
      </w:r>
      <w:r>
        <w:rPr>
          <w:color w:val="000000"/>
          <w:sz w:val="28"/>
        </w:rPr>
        <w:instrText>HYPERLINK "https://internet.garant.ru/" \l "/document/74998631/entry/420"</w:instrText>
      </w:r>
      <w:r>
        <w:rPr>
          <w:color w:val="000000"/>
          <w:sz w:val="28"/>
        </w:rPr>
        <w:fldChar w:fldCharType="separate"/>
      </w:r>
      <w:r>
        <w:rPr>
          <w:color w:val="000000"/>
          <w:sz w:val="28"/>
        </w:rPr>
        <w:t>разделе</w:t>
      </w:r>
      <w:r>
        <w:rPr>
          <w:color w:val="000000"/>
          <w:sz w:val="28"/>
        </w:rPr>
        <w:t xml:space="preserve"> 1</w:t>
      </w:r>
      <w:r>
        <w:rPr>
          <w:color w:val="000000"/>
          <w:sz w:val="28"/>
        </w:rPr>
        <w:fldChar w:fldCharType="end"/>
      </w:r>
      <w:r>
        <w:rPr>
          <w:color w:val="000000"/>
          <w:sz w:val="28"/>
        </w:rPr>
        <w:t xml:space="preserve"> приложения № 1 к Порядку № 1144н, а также ряд диагностических исследований (</w:t>
      </w:r>
      <w:r>
        <w:rPr>
          <w:color w:val="000000"/>
          <w:sz w:val="28"/>
        </w:rPr>
        <w:t>PWC</w:t>
      </w:r>
      <w:r>
        <w:rPr>
          <w:color w:val="000000"/>
          <w:sz w:val="28"/>
        </w:rPr>
        <w:t xml:space="preserve"> 170 под контролем ЭКГ, </w:t>
      </w:r>
      <w:r>
        <w:rPr>
          <w:color w:val="000000"/>
          <w:sz w:val="28"/>
        </w:rPr>
        <w:t>PWC</w:t>
      </w:r>
      <w:r>
        <w:rPr>
          <w:color w:val="000000"/>
          <w:sz w:val="28"/>
        </w:rPr>
        <w:t xml:space="preserve"> 170 - для отдельных видов спорта и этапов подготовки) и получить медицинское заключение врача по спортивной медицине о таких допусках. </w:t>
      </w:r>
    </w:p>
    <w:p w14:paraId="C5010000">
      <w:pPr>
        <w:tabs>
          <w:tab w:leader="none" w:pos="709" w:val="left"/>
        </w:tabs>
        <w:ind w:firstLine="709"/>
        <w:jc w:val="both"/>
        <w:rPr>
          <w:color w:val="000000"/>
          <w:sz w:val="28"/>
        </w:rPr>
      </w:pPr>
      <w:r>
        <w:rPr>
          <w:color w:val="000000"/>
          <w:sz w:val="28"/>
        </w:rPr>
        <w:t>Медицинское обеспечение лиц, занимающихся физической культурой и спортом, регулируется положениями ст. 39 Закона № 329-ФЗ.</w:t>
      </w:r>
    </w:p>
    <w:p w14:paraId="C6010000">
      <w:pPr>
        <w:ind w:firstLine="567"/>
        <w:jc w:val="both"/>
        <w:rPr>
          <w:color w:val="000000"/>
          <w:sz w:val="28"/>
        </w:rPr>
      </w:pPr>
      <w:r>
        <w:rPr>
          <w:color w:val="000000"/>
          <w:sz w:val="28"/>
        </w:rPr>
        <w:t>В рамках исполнения мероприятия предусмотрено однократное проведение в год углубленных медицинских осмотров в учреждениях, занимающихся физической культурой и спортом.</w:t>
      </w:r>
    </w:p>
    <w:p w14:paraId="C7010000">
      <w:pPr>
        <w:ind w:firstLine="567"/>
        <w:jc w:val="both"/>
        <w:rPr>
          <w:color w:val="000000"/>
          <w:sz w:val="28"/>
        </w:rPr>
      </w:pPr>
      <w:r>
        <w:rPr>
          <w:color w:val="000000"/>
          <w:sz w:val="28"/>
        </w:rPr>
        <w:t>Списочный состав воспитанников по состоянию на 01.09.2024 года, составил 347 человек, в том числе по видам подготовки:</w:t>
      </w:r>
    </w:p>
    <w:p w14:paraId="C8010000">
      <w:pPr>
        <w:ind w:firstLine="567"/>
        <w:jc w:val="both"/>
        <w:rPr>
          <w:color w:val="000000"/>
          <w:sz w:val="28"/>
        </w:rPr>
      </w:pPr>
      <w:r>
        <w:rPr>
          <w:color w:val="000000"/>
          <w:sz w:val="28"/>
        </w:rPr>
        <w:t>начальная подготовка - 273 человек;</w:t>
      </w:r>
    </w:p>
    <w:p w14:paraId="C9010000">
      <w:pPr>
        <w:ind w:firstLine="567"/>
        <w:jc w:val="both"/>
        <w:rPr>
          <w:color w:val="000000"/>
          <w:sz w:val="28"/>
        </w:rPr>
      </w:pPr>
      <w:r>
        <w:rPr>
          <w:color w:val="000000"/>
          <w:sz w:val="28"/>
        </w:rPr>
        <w:t>учебно-тренировочная - 68 человек;</w:t>
      </w:r>
    </w:p>
    <w:p w14:paraId="CA010000">
      <w:pPr>
        <w:ind w:firstLine="567"/>
        <w:jc w:val="both"/>
        <w:rPr>
          <w:color w:val="000000"/>
          <w:sz w:val="28"/>
        </w:rPr>
      </w:pPr>
      <w:r>
        <w:rPr>
          <w:color w:val="000000"/>
          <w:sz w:val="28"/>
        </w:rPr>
        <w:t>совершенствование спортивного мастерства - 6 человек.</w:t>
      </w:r>
    </w:p>
    <w:p w14:paraId="CB010000">
      <w:pPr>
        <w:ind w:firstLine="567"/>
        <w:jc w:val="both"/>
        <w:rPr>
          <w:color w:val="000000"/>
          <w:vertAlign w:val="superscript"/>
        </w:rPr>
      </w:pPr>
      <w:r>
        <w:rPr>
          <w:color w:val="000000"/>
          <w:sz w:val="28"/>
        </w:rPr>
        <w:t>Для прохождения медосмотров спортсменами, осуществляющими спортивную подготовку в МБУ ДО СШ «Олимп», предусмотрены денежные средства в объеме финансового обеспечения на выполнение данного мероприятия.</w:t>
      </w:r>
    </w:p>
    <w:p w14:paraId="CC010000">
      <w:pPr>
        <w:ind w:firstLine="567"/>
        <w:jc w:val="both"/>
        <w:rPr>
          <w:color w:val="000000"/>
          <w:sz w:val="28"/>
        </w:rPr>
      </w:pPr>
      <w:r>
        <w:rPr>
          <w:color w:val="000000"/>
          <w:sz w:val="28"/>
        </w:rPr>
        <w:t>При формировании проекта бюджета МО Кавказский район в соответствии с расчетами-обоснованиями планировалось проведение медосмотров 347 человек на сумму 882 200,0 рублей, при проведение закупки НМЦК рассчитан на 115 человек для проведения медосмотров на сумму 882 162,1 рублей, то есть на 232 человека меньше при неизменном финансировании, что свидетельствует о низком качестве обоснования и планирования расходов бюджетных средств при реализации полномочий, предусмотренных п.1 пп.4 ст.158 БК РФ.</w:t>
      </w:r>
    </w:p>
    <w:p w14:paraId="CD010000">
      <w:pPr>
        <w:ind w:firstLine="709"/>
        <w:jc w:val="both"/>
        <w:rPr>
          <w:color w:val="000000"/>
          <w:sz w:val="28"/>
        </w:rPr>
      </w:pPr>
      <w:r>
        <w:rPr>
          <w:color w:val="000000"/>
          <w:sz w:val="28"/>
          <w:highlight w:val="white"/>
        </w:rPr>
        <w:t xml:space="preserve">На </w:t>
      </w:r>
      <w:r>
        <w:rPr>
          <w:color w:val="000000"/>
          <w:sz w:val="28"/>
        </w:rPr>
        <w:t>услуги по проведению углубленного медицинского осмотра лиц, занимающихся спортом на начальном и учебно-тренировочном этапах спортивной подготовки</w:t>
      </w:r>
      <w:r>
        <w:rPr>
          <w:color w:val="000000"/>
          <w:sz w:val="28"/>
          <w:highlight w:val="white"/>
        </w:rPr>
        <w:t xml:space="preserve"> заключен муниципальный контракт с </w:t>
      </w:r>
      <w:r>
        <w:rPr>
          <w:color w:val="000000"/>
          <w:sz w:val="28"/>
        </w:rPr>
        <w:t xml:space="preserve">ООО «Лечебно-диагностический центр Доктора Дукина плюс». Согласно, документа о приемке, услуги оказаны в полном объеме. </w:t>
      </w:r>
      <w:r>
        <w:rPr>
          <w:color w:val="000000"/>
          <w:sz w:val="28"/>
          <w:highlight w:val="white"/>
        </w:rPr>
        <w:t>Учреждение соблюло возрастные границы при прохождении учащихся на учебно-тренировочном этапе.</w:t>
      </w:r>
      <w:r>
        <w:rPr>
          <w:color w:val="000000"/>
          <w:sz w:val="28"/>
        </w:rPr>
        <w:t xml:space="preserve"> При анализе соблюдения периодичности прохождения УМО в </w:t>
      </w:r>
      <w:r>
        <w:rPr>
          <w:color w:val="000000"/>
          <w:sz w:val="28"/>
        </w:rPr>
        <w:t>МБУ ДО СШ «Олимп»</w:t>
      </w:r>
      <w:r>
        <w:rPr>
          <w:color w:val="000000"/>
          <w:sz w:val="28"/>
        </w:rPr>
        <w:t xml:space="preserve"> в 2024 году </w:t>
      </w:r>
      <w:r>
        <w:rPr>
          <w:color w:val="000000"/>
          <w:sz w:val="28"/>
        </w:rPr>
        <w:t>нарушений не установлено.</w:t>
      </w:r>
    </w:p>
    <w:p w14:paraId="CE010000">
      <w:pPr>
        <w:ind w:firstLine="567"/>
        <w:jc w:val="both"/>
        <w:rPr>
          <w:color w:val="000000"/>
          <w:sz w:val="28"/>
        </w:rPr>
      </w:pPr>
      <w:r>
        <w:rPr>
          <w:color w:val="000000"/>
          <w:sz w:val="28"/>
        </w:rPr>
        <w:t>Установлено нарушение «</w:t>
      </w:r>
      <w:r>
        <w:rPr>
          <w:color w:val="000000"/>
          <w:sz w:val="28"/>
        </w:rPr>
        <w:t>Порядка организации медико-биологического обеспечения спортсменов спортивных сборных команд Краснодарского края» № 1183 от 25.02.2022 года,</w:t>
      </w:r>
      <w:r>
        <w:rPr>
          <w:color w:val="000000"/>
          <w:sz w:val="28"/>
        </w:rPr>
        <w:t xml:space="preserve"> прохождение УМО спортсменами, входящими в состав сборных команд КК.</w:t>
      </w:r>
    </w:p>
    <w:p w14:paraId="CF010000">
      <w:pPr>
        <w:ind w:firstLine="709"/>
        <w:contextualSpacing w:val="1"/>
        <w:jc w:val="both"/>
        <w:rPr>
          <w:color w:val="000000"/>
          <w:sz w:val="28"/>
          <w:highlight w:val="yellow"/>
        </w:rPr>
      </w:pPr>
      <w:r>
        <w:rPr>
          <w:color w:val="000000"/>
          <w:sz w:val="28"/>
        </w:rPr>
        <w:t xml:space="preserve">В течение одного периода (2024 год), одновременно проведено </w:t>
      </w:r>
      <w:r>
        <w:rPr>
          <w:color w:val="000000"/>
          <w:sz w:val="28"/>
        </w:rPr>
        <w:t xml:space="preserve">УМО 3 </w:t>
      </w:r>
      <w:r>
        <w:rPr>
          <w:color w:val="000000"/>
          <w:sz w:val="28"/>
        </w:rPr>
        <w:t xml:space="preserve">членам сборных команд Краснодарского края (УТЭ), как из средств Учреждения, так и за счет средств бюджета Краснодарского края. </w:t>
      </w:r>
    </w:p>
    <w:p w14:paraId="D0010000">
      <w:pPr>
        <w:spacing w:after="200" w:line="276" w:lineRule="auto"/>
        <w:ind/>
        <w:rPr>
          <w:rFonts w:ascii="Calibri" w:hAnsi="Calibri"/>
          <w:sz w:val="22"/>
        </w:rPr>
      </w:pPr>
    </w:p>
    <w:p w14:paraId="D1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919"/>
        <w:jc w:val="center"/>
        <w:rPr>
          <w:rFonts w:ascii="TimesNewRoman" w:hAnsi="TimesNewRoman"/>
          <w:color w:val="000000"/>
          <w:sz w:val="28"/>
        </w:rPr>
      </w:pPr>
      <w:r>
        <w:rPr>
          <w:rFonts w:ascii="TimesNewRoman" w:hAnsi="TimesNewRoman"/>
          <w:color w:val="000000"/>
          <w:sz w:val="28"/>
        </w:rPr>
        <w:t>3</w:t>
      </w:r>
      <w:r>
        <w:rPr>
          <w:rFonts w:ascii="TimesNewRoman" w:hAnsi="TimesNewRoman"/>
          <w:color w:val="000000"/>
          <w:sz w:val="28"/>
        </w:rPr>
        <w:t>.</w:t>
      </w:r>
      <w:r>
        <w:rPr>
          <w:rFonts w:ascii="TimesNewRoman" w:hAnsi="TimesNewRoman"/>
          <w:color w:val="000000"/>
          <w:sz w:val="28"/>
        </w:rPr>
        <w:t>Взаимодействие</w:t>
      </w:r>
      <w:r>
        <w:rPr>
          <w:rFonts w:ascii="TimesNewRoman" w:hAnsi="TimesNewRoman"/>
          <w:color w:val="000000"/>
          <w:sz w:val="28"/>
        </w:rPr>
        <w:t xml:space="preserve"> с органами местного самоуправления и правоохранительными органами</w:t>
      </w:r>
    </w:p>
    <w:p w14:paraId="D2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919"/>
        <w:jc w:val="both"/>
        <w:rPr>
          <w:rFonts w:ascii="TimesNewRoman" w:hAnsi="TimesNewRoman"/>
          <w:color w:val="000000"/>
          <w:sz w:val="28"/>
        </w:rPr>
      </w:pPr>
      <w:r>
        <w:rPr>
          <w:rFonts w:ascii="TimesNewRoman" w:hAnsi="TimesNewRoman"/>
          <w:color w:val="000000"/>
          <w:sz w:val="28"/>
        </w:rPr>
        <w:t>В Контрольно-счетной палате действует Соглашение о взаимодействии и сотрудничестве с Прокуратурой Кавказского района</w:t>
      </w:r>
      <w:r>
        <w:rPr>
          <w:rFonts w:ascii="TimesNewRoman" w:hAnsi="TimesNewRoman"/>
          <w:color w:val="000000"/>
          <w:sz w:val="28"/>
        </w:rPr>
        <w:t>.</w:t>
      </w:r>
    </w:p>
    <w:p w14:paraId="D3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919"/>
        <w:jc w:val="both"/>
        <w:rPr>
          <w:rFonts w:ascii="TimesNewRoman" w:hAnsi="TimesNewRoman"/>
          <w:color w:val="000000"/>
          <w:sz w:val="28"/>
        </w:rPr>
      </w:pPr>
      <w:r>
        <w:rPr>
          <w:rFonts w:ascii="TimesNewRoman" w:hAnsi="TimesNewRoman"/>
          <w:color w:val="000000"/>
          <w:sz w:val="28"/>
        </w:rPr>
        <w:t>В 202</w:t>
      </w:r>
      <w:r>
        <w:rPr>
          <w:rFonts w:ascii="TimesNewRoman" w:hAnsi="TimesNewRoman"/>
          <w:color w:val="000000"/>
          <w:sz w:val="28"/>
        </w:rPr>
        <w:t>5</w:t>
      </w:r>
      <w:r>
        <w:rPr>
          <w:rFonts w:ascii="TimesNewRoman" w:hAnsi="TimesNewRoman"/>
          <w:color w:val="000000"/>
          <w:sz w:val="28"/>
        </w:rPr>
        <w:t xml:space="preserve"> году проведено </w:t>
      </w:r>
      <w:r>
        <w:rPr>
          <w:rFonts w:ascii="TimesNewRoman" w:hAnsi="TimesNewRoman"/>
          <w:color w:val="000000"/>
          <w:sz w:val="28"/>
        </w:rPr>
        <w:t xml:space="preserve">совместно с Прокуратурой </w:t>
      </w:r>
      <w:r>
        <w:rPr>
          <w:rFonts w:ascii="TimesNewRoman" w:hAnsi="TimesNewRoman"/>
          <w:color w:val="000000"/>
          <w:sz w:val="28"/>
        </w:rPr>
        <w:t>4</w:t>
      </w:r>
      <w:r>
        <w:rPr>
          <w:rFonts w:ascii="TimesNewRoman" w:hAnsi="TimesNewRoman"/>
          <w:color w:val="000000"/>
          <w:sz w:val="28"/>
        </w:rPr>
        <w:t xml:space="preserve"> </w:t>
      </w:r>
      <w:r>
        <w:rPr>
          <w:rFonts w:ascii="TimesNewRoman" w:hAnsi="TimesNewRoman"/>
          <w:color w:val="000000"/>
          <w:sz w:val="28"/>
        </w:rPr>
        <w:t>провер</w:t>
      </w:r>
      <w:r>
        <w:rPr>
          <w:rFonts w:ascii="TimesNewRoman" w:hAnsi="TimesNewRoman"/>
          <w:color w:val="000000"/>
          <w:sz w:val="28"/>
        </w:rPr>
        <w:t>ки</w:t>
      </w:r>
      <w:r>
        <w:rPr>
          <w:rFonts w:ascii="TimesNewRoman" w:hAnsi="TimesNewRoman"/>
          <w:color w:val="000000"/>
          <w:sz w:val="28"/>
        </w:rPr>
        <w:t>:</w:t>
      </w:r>
    </w:p>
    <w:p w14:paraId="D4010000">
      <w:pPr>
        <w:ind w:firstLine="567"/>
        <w:jc w:val="both"/>
        <w:rPr>
          <w:color w:val="000000"/>
          <w:sz w:val="28"/>
        </w:rPr>
      </w:pPr>
      <w:r>
        <w:rPr>
          <w:color w:val="000000"/>
          <w:sz w:val="28"/>
        </w:rPr>
        <w:t>проведена проверка соблюдения законодательства об ответственном обращении с ж</w:t>
      </w:r>
      <w:r>
        <w:rPr>
          <w:color w:val="000000"/>
          <w:sz w:val="28"/>
        </w:rPr>
        <w:t>ивотными, о контрактной системе;</w:t>
      </w:r>
    </w:p>
    <w:p w14:paraId="D5010000">
      <w:pPr>
        <w:ind w:firstLine="567"/>
        <w:jc w:val="both"/>
        <w:rPr>
          <w:color w:val="000000"/>
          <w:sz w:val="28"/>
        </w:rPr>
      </w:pPr>
      <w:r>
        <w:rPr>
          <w:color w:val="000000"/>
          <w:sz w:val="28"/>
        </w:rPr>
        <w:t>проведен анализ соблюдения земельного и бюджетного законодательства при предоставлении и распоряжении земельными участками сельскохозяйственного назначения</w:t>
      </w:r>
      <w:r>
        <w:rPr>
          <w:color w:val="000000"/>
          <w:sz w:val="28"/>
        </w:rPr>
        <w:t>;</w:t>
      </w:r>
    </w:p>
    <w:p w14:paraId="D6010000">
      <w:pPr>
        <w:ind w:firstLine="567"/>
        <w:jc w:val="both"/>
        <w:rPr>
          <w:color w:val="000000"/>
          <w:sz w:val="28"/>
        </w:rPr>
      </w:pPr>
      <w:r>
        <w:rPr>
          <w:color w:val="000000"/>
          <w:sz w:val="28"/>
        </w:rPr>
        <w:t xml:space="preserve">проверка исполнения законодательства о контрактной системе в сфере закупок, а также соблюдения бюджетного законодательства в дорожной деятельности, в том числе при заключении и исполнении муниципальных контрактов, расходовании средств дорожных фондов, исполнении государственных и муниципальных программ, реализуемых в сфере </w:t>
      </w:r>
      <w:r>
        <w:rPr>
          <w:color w:val="000000"/>
          <w:sz w:val="28"/>
        </w:rPr>
        <w:t>безопасности дорожного движения;</w:t>
      </w:r>
    </w:p>
    <w:p w14:paraId="D7010000">
      <w:pPr>
        <w:ind w:firstLine="567"/>
        <w:jc w:val="both"/>
        <w:rPr>
          <w:color w:val="000000"/>
          <w:sz w:val="28"/>
        </w:rPr>
      </w:pPr>
      <w:r>
        <w:rPr>
          <w:color w:val="000000"/>
          <w:sz w:val="28"/>
        </w:rPr>
        <w:t>проведена проверка исполнения законодательства при организации водоснабжения населению в муниципальном унитарном предприятии «Мирское», в муниципальном унитарном предприятии «Привольное»</w:t>
      </w:r>
      <w:r>
        <w:rPr>
          <w:color w:val="000000"/>
          <w:sz w:val="28"/>
        </w:rPr>
        <w:t>.</w:t>
      </w:r>
    </w:p>
    <w:p w14:paraId="D8010000">
      <w:pPr>
        <w:ind w:firstLine="567"/>
        <w:jc w:val="both"/>
        <w:rPr>
          <w:color w:val="000000"/>
          <w:sz w:val="28"/>
        </w:rPr>
      </w:pPr>
      <w:r>
        <w:rPr>
          <w:color w:val="000000"/>
          <w:sz w:val="28"/>
        </w:rPr>
        <w:t>Н</w:t>
      </w:r>
      <w:r>
        <w:rPr>
          <w:color w:val="000000"/>
          <w:sz w:val="28"/>
        </w:rPr>
        <w:t>аправлен</w:t>
      </w:r>
      <w:r>
        <w:rPr>
          <w:color w:val="000000"/>
          <w:sz w:val="28"/>
        </w:rPr>
        <w:t>ы для рассмотрения в КСП</w:t>
      </w:r>
      <w:r>
        <w:rPr>
          <w:color w:val="000000"/>
          <w:sz w:val="28"/>
        </w:rPr>
        <w:t xml:space="preserve"> обращение граждан (жалоба):</w:t>
      </w:r>
    </w:p>
    <w:p w14:paraId="D9010000">
      <w:pPr>
        <w:spacing w:line="276" w:lineRule="auto"/>
        <w:ind w:firstLine="567"/>
        <w:jc w:val="both"/>
        <w:rPr>
          <w:color w:val="000000"/>
          <w:sz w:val="28"/>
        </w:rPr>
      </w:pPr>
      <w:r>
        <w:rPr>
          <w:color w:val="000000"/>
          <w:sz w:val="28"/>
        </w:rPr>
        <w:t>Абрамовой Натальи Владимировны для рассмотрения по существу в пределах предоставленных полномочий</w:t>
      </w:r>
      <w:r>
        <w:rPr>
          <w:color w:val="000000"/>
          <w:sz w:val="28"/>
        </w:rPr>
        <w:t>,</w:t>
      </w:r>
      <w:r>
        <w:rPr>
          <w:color w:val="000000"/>
          <w:sz w:val="28"/>
        </w:rPr>
        <w:t xml:space="preserve"> </w:t>
      </w:r>
      <w:r>
        <w:rPr>
          <w:color w:val="000000"/>
          <w:sz w:val="28"/>
        </w:rPr>
        <w:t>в</w:t>
      </w:r>
      <w:r>
        <w:rPr>
          <w:color w:val="000000"/>
          <w:sz w:val="28"/>
        </w:rPr>
        <w:t>опросы оплаты и стимулирования труда работников</w:t>
      </w:r>
      <w:r>
        <w:rPr>
          <w:color w:val="000000"/>
          <w:sz w:val="28"/>
        </w:rPr>
        <w:t>;</w:t>
      </w:r>
    </w:p>
    <w:p w14:paraId="DA010000">
      <w:pPr>
        <w:ind w:firstLine="708"/>
        <w:jc w:val="both"/>
        <w:rPr>
          <w:color w:val="000000"/>
          <w:sz w:val="28"/>
        </w:rPr>
      </w:pPr>
      <w:r>
        <w:rPr>
          <w:color w:val="000000"/>
          <w:sz w:val="28"/>
        </w:rPr>
        <w:t>Кучеренко Екатерины Евгеньевны, для рассмотрения по существу в пределах предоставленных полномочий</w:t>
      </w:r>
      <w:r>
        <w:rPr>
          <w:color w:val="000000"/>
          <w:sz w:val="28"/>
        </w:rPr>
        <w:t>,</w:t>
      </w:r>
      <w:r>
        <w:rPr>
          <w:color w:val="000000"/>
          <w:sz w:val="28"/>
        </w:rPr>
        <w:t xml:space="preserve"> «о несоблюдении руководством МБУ ДО СШ «Буревестник» МО Кавказский район норм действующего законодательства при финансировании участия в соревнованиях воспитанников тренера МБУ ДО СШ «Буревестник» Куварзина И.В.».</w:t>
      </w:r>
    </w:p>
    <w:p w14:paraId="DB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919"/>
        <w:jc w:val="center"/>
        <w:rPr>
          <w:color w:val="000000"/>
          <w:sz w:val="28"/>
          <w:highlight w:val="white"/>
          <w:u w:val="single"/>
        </w:rPr>
      </w:pPr>
    </w:p>
    <w:p w14:paraId="DC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919"/>
        <w:jc w:val="center"/>
        <w:rPr>
          <w:sz w:val="28"/>
        </w:rPr>
      </w:pPr>
      <w:r>
        <w:rPr>
          <w:color w:val="000000"/>
          <w:sz w:val="28"/>
          <w:highlight w:val="white"/>
        </w:rPr>
        <w:t>4</w:t>
      </w:r>
      <w:r>
        <w:rPr>
          <w:color w:val="000000"/>
          <w:sz w:val="28"/>
          <w:highlight w:val="white"/>
        </w:rPr>
        <w:t>.</w:t>
      </w:r>
      <w:r>
        <w:rPr>
          <w:color w:val="000000"/>
          <w:sz w:val="28"/>
          <w:highlight w:val="white"/>
        </w:rPr>
        <w:t>Информационная деятельность</w:t>
      </w:r>
    </w:p>
    <w:p w14:paraId="DD010000">
      <w:pPr>
        <w:ind w:firstLine="708"/>
        <w:jc w:val="both"/>
        <w:rPr>
          <w:color w:val="000000"/>
          <w:sz w:val="28"/>
        </w:rPr>
      </w:pPr>
      <w:r>
        <w:rPr>
          <w:color w:val="000000"/>
          <w:sz w:val="28"/>
        </w:rPr>
        <w:t>Реализуя принцип гласности, КСП в отчётном году непрерывно проводила работу по информированию общественности о результатах своей деятельности через средства массовой информации и интернет ресурсы.</w:t>
      </w:r>
    </w:p>
    <w:p w14:paraId="DE010000">
      <w:pPr>
        <w:ind w:firstLine="708"/>
        <w:jc w:val="both"/>
        <w:rPr>
          <w:color w:val="000000"/>
          <w:sz w:val="28"/>
        </w:rPr>
      </w:pPr>
      <w:r>
        <w:rPr>
          <w:color w:val="000000"/>
          <w:sz w:val="28"/>
        </w:rPr>
        <w:t xml:space="preserve">На сайте администрации муниципального образования Кавказский район </w:t>
      </w:r>
      <w:r>
        <w:rPr>
          <w:color w:val="000000"/>
          <w:sz w:val="28"/>
        </w:rPr>
        <w:t xml:space="preserve">размещено </w:t>
      </w:r>
      <w:r>
        <w:rPr>
          <w:color w:val="000000"/>
          <w:sz w:val="28"/>
        </w:rPr>
        <w:t>82</w:t>
      </w:r>
      <w:r>
        <w:rPr>
          <w:color w:val="000000"/>
          <w:sz w:val="28"/>
        </w:rPr>
        <w:t xml:space="preserve"> </w:t>
      </w:r>
      <w:r>
        <w:rPr>
          <w:color w:val="000000"/>
          <w:sz w:val="28"/>
        </w:rPr>
        <w:t>информаци</w:t>
      </w:r>
      <w:r>
        <w:rPr>
          <w:color w:val="000000"/>
          <w:sz w:val="28"/>
        </w:rPr>
        <w:t>й</w:t>
      </w:r>
      <w:r>
        <w:rPr>
          <w:color w:val="000000"/>
          <w:sz w:val="28"/>
        </w:rPr>
        <w:t xml:space="preserve"> о проводимых контрольных и экспертно-аналитических мероприятиях.</w:t>
      </w:r>
    </w:p>
    <w:p w14:paraId="DF010000">
      <w:pPr>
        <w:ind w:firstLine="708"/>
        <w:jc w:val="both"/>
        <w:rPr>
          <w:color w:val="000000"/>
          <w:sz w:val="28"/>
        </w:rPr>
      </w:pPr>
      <w:r>
        <w:rPr>
          <w:color w:val="000000"/>
          <w:sz w:val="28"/>
        </w:rPr>
        <w:t xml:space="preserve">Отчёт о деятельности </w:t>
      </w:r>
      <w:r>
        <w:rPr>
          <w:color w:val="000000"/>
          <w:sz w:val="28"/>
        </w:rPr>
        <w:t>КСП</w:t>
      </w:r>
      <w:r>
        <w:rPr>
          <w:color w:val="000000"/>
          <w:sz w:val="28"/>
        </w:rPr>
        <w:t xml:space="preserve"> за предшествующий год рассмотрен и принят Советом муниципального образования Кавказский район (решение от </w:t>
      </w:r>
      <w:r>
        <w:rPr>
          <w:color w:val="000000"/>
          <w:sz w:val="28"/>
        </w:rPr>
        <w:t>26</w:t>
      </w:r>
      <w:r>
        <w:rPr>
          <w:color w:val="000000"/>
          <w:sz w:val="28"/>
        </w:rPr>
        <w:t>.0</w:t>
      </w:r>
      <w:r>
        <w:rPr>
          <w:color w:val="000000"/>
          <w:sz w:val="28"/>
        </w:rPr>
        <w:t>3</w:t>
      </w:r>
      <w:r>
        <w:rPr>
          <w:color w:val="000000"/>
          <w:sz w:val="28"/>
        </w:rPr>
        <w:t>.20</w:t>
      </w:r>
      <w:r>
        <w:rPr>
          <w:color w:val="000000"/>
          <w:sz w:val="28"/>
        </w:rPr>
        <w:t>2</w:t>
      </w:r>
      <w:r>
        <w:rPr>
          <w:color w:val="000000"/>
          <w:sz w:val="28"/>
        </w:rPr>
        <w:t>5</w:t>
      </w:r>
      <w:r>
        <w:rPr>
          <w:color w:val="000000"/>
          <w:sz w:val="28"/>
        </w:rPr>
        <w:t xml:space="preserve"> № </w:t>
      </w:r>
      <w:r>
        <w:rPr>
          <w:color w:val="000000"/>
          <w:sz w:val="28"/>
        </w:rPr>
        <w:t>232</w:t>
      </w:r>
      <w:r>
        <w:rPr>
          <w:color w:val="000000"/>
          <w:sz w:val="28"/>
        </w:rPr>
        <w:t>),</w:t>
      </w:r>
      <w:r>
        <w:rPr>
          <w:color w:val="000000"/>
          <w:sz w:val="28"/>
        </w:rPr>
        <w:t xml:space="preserve"> размещён </w:t>
      </w:r>
      <w:r>
        <w:rPr>
          <w:color w:val="000000"/>
          <w:sz w:val="28"/>
        </w:rPr>
        <w:t>в информационной сети на сайте администрации муниципального образования Кавказский район, на сайте газеты</w:t>
      </w:r>
      <w:r>
        <w:rPr>
          <w:color w:val="000000"/>
          <w:sz w:val="28"/>
        </w:rPr>
        <w:t xml:space="preserve"> «Огни Кубани»</w:t>
      </w:r>
      <w:r>
        <w:rPr>
          <w:color w:val="000000"/>
          <w:sz w:val="28"/>
        </w:rPr>
        <w:t>.</w:t>
      </w:r>
    </w:p>
    <w:p w14:paraId="E0010000">
      <w:pPr>
        <w:ind w:firstLine="709"/>
        <w:jc w:val="both"/>
        <w:rPr>
          <w:color w:val="000000"/>
          <w:sz w:val="28"/>
        </w:rPr>
      </w:pPr>
      <w:r>
        <w:rPr>
          <w:color w:val="000000"/>
          <w:sz w:val="28"/>
        </w:rPr>
        <w:t xml:space="preserve">В отчётном году </w:t>
      </w:r>
      <w:r>
        <w:rPr>
          <w:color w:val="000000"/>
          <w:sz w:val="28"/>
        </w:rPr>
        <w:t xml:space="preserve">КСП муниципального образования Кавказский район </w:t>
      </w:r>
      <w:r>
        <w:rPr>
          <w:color w:val="000000"/>
          <w:sz w:val="28"/>
        </w:rPr>
        <w:t>продолжено сотрудничество с Союзом МКСО и</w:t>
      </w:r>
      <w:r>
        <w:rPr>
          <w:color w:val="000000"/>
          <w:sz w:val="28"/>
        </w:rPr>
        <w:t xml:space="preserve"> </w:t>
      </w:r>
      <w:r>
        <w:rPr>
          <w:color w:val="000000"/>
          <w:sz w:val="28"/>
        </w:rPr>
        <w:t>его представительством в Южном федеральном округе, с Советом КСО</w:t>
      </w:r>
      <w:r>
        <w:rPr>
          <w:color w:val="000000"/>
          <w:sz w:val="28"/>
        </w:rPr>
        <w:t xml:space="preserve"> </w:t>
      </w:r>
      <w:r>
        <w:rPr>
          <w:color w:val="000000"/>
          <w:sz w:val="28"/>
        </w:rPr>
        <w:t>Краснодарского края.</w:t>
      </w:r>
    </w:p>
    <w:p w14:paraId="E1010000">
      <w:pPr>
        <w:ind w:firstLine="709"/>
        <w:jc w:val="both"/>
        <w:rPr>
          <w:color w:val="000000"/>
          <w:sz w:val="28"/>
        </w:rPr>
      </w:pPr>
    </w:p>
    <w:p w14:paraId="E2010000">
      <w:pPr>
        <w:ind w:firstLine="709"/>
        <w:jc w:val="both"/>
        <w:rPr>
          <w:color w:val="000000"/>
          <w:sz w:val="28"/>
        </w:rPr>
      </w:pPr>
    </w:p>
    <w:p w14:paraId="E3010000">
      <w:pPr>
        <w:ind/>
        <w:jc w:val="both"/>
        <w:rPr>
          <w:sz w:val="28"/>
        </w:rPr>
      </w:pPr>
      <w:r>
        <w:rPr>
          <w:sz w:val="28"/>
        </w:rPr>
        <w:t xml:space="preserve">Заместитель председателя </w:t>
      </w:r>
    </w:p>
    <w:p w14:paraId="E4010000">
      <w:pPr>
        <w:ind/>
        <w:jc w:val="both"/>
        <w:rPr>
          <w:sz w:val="28"/>
        </w:rPr>
      </w:pPr>
      <w:r>
        <w:rPr>
          <w:sz w:val="28"/>
        </w:rPr>
        <w:t>Контрольно-счетной палаты</w:t>
      </w:r>
    </w:p>
    <w:p w14:paraId="E5010000">
      <w:pPr>
        <w:ind/>
        <w:jc w:val="both"/>
        <w:rPr>
          <w:sz w:val="28"/>
        </w:rPr>
      </w:pPr>
      <w:r>
        <w:rPr>
          <w:sz w:val="28"/>
        </w:rPr>
        <w:t xml:space="preserve">муниципального образования </w:t>
      </w:r>
    </w:p>
    <w:p w14:paraId="E6010000">
      <w:pPr>
        <w:ind/>
        <w:jc w:val="both"/>
        <w:rPr>
          <w:sz w:val="28"/>
        </w:rPr>
      </w:pPr>
      <w:r>
        <w:rPr>
          <w:sz w:val="28"/>
        </w:rPr>
        <w:t>Кавказский район</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Е.Д. Шатохина</w:t>
      </w:r>
    </w:p>
    <w:sectPr>
      <w:footerReference r:id="rId1" w:type="default"/>
      <w:pgSz w:h="16838" w:w="11906"/>
      <w:pgMar w:bottom="1560" w:footer="709" w:gutter="0" w:header="0" w:left="1276" w:right="707" w:top="851"/>
      <w:pgNumType w:start="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ftr>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decimal"/>
      <w:lvlText w:val="%1."/>
      <w:lvlJc w:val="left"/>
      <w:pPr>
        <w:tabs>
          <w:tab w:leader="none" w:pos="360" w:val="left"/>
        </w:tabs>
        <w:ind w:hanging="360" w:left="360"/>
      </w:pPr>
      <w:rPr>
        <w:rFonts w:ascii="Times New Roman" w:hAnsi="Times New Roman"/>
      </w:rPr>
    </w:lvl>
    <w:lvl w:ilvl="1">
      <w:start w:val="1"/>
      <w:numFmt w:val="lowerLetter"/>
      <w:pStyle w:val="Style_91"/>
      <w:lvlText w:val="%2."/>
      <w:lvlJc w:val="left"/>
      <w:pPr>
        <w:tabs>
          <w:tab w:leader="none" w:pos="1515" w:val="left"/>
        </w:tabs>
        <w:ind w:hanging="360" w:left="1515"/>
      </w:pPr>
    </w:lvl>
    <w:lvl w:ilvl="2">
      <w:start w:val="1"/>
      <w:numFmt w:val="lowerRoman"/>
      <w:lvlText w:val="%3."/>
      <w:lvlJc w:val="right"/>
      <w:pPr>
        <w:tabs>
          <w:tab w:leader="none" w:pos="2235" w:val="left"/>
        </w:tabs>
        <w:ind w:hanging="180" w:left="2235"/>
      </w:pPr>
    </w:lvl>
    <w:lvl w:ilvl="3">
      <w:start w:val="1"/>
      <w:numFmt w:val="decimal"/>
      <w:lvlText w:val="%4."/>
      <w:lvlJc w:val="left"/>
      <w:pPr>
        <w:tabs>
          <w:tab w:leader="none" w:pos="2955" w:val="left"/>
        </w:tabs>
        <w:ind w:hanging="360" w:left="2955"/>
      </w:pPr>
    </w:lvl>
    <w:lvl w:ilvl="4">
      <w:start w:val="1"/>
      <w:numFmt w:val="lowerLetter"/>
      <w:lvlText w:val="%5."/>
      <w:lvlJc w:val="left"/>
      <w:pPr>
        <w:tabs>
          <w:tab w:leader="none" w:pos="3675" w:val="left"/>
        </w:tabs>
        <w:ind w:hanging="360" w:left="3675"/>
      </w:pPr>
    </w:lvl>
    <w:lvl w:ilvl="5">
      <w:start w:val="1"/>
      <w:numFmt w:val="lowerRoman"/>
      <w:lvlText w:val="%6."/>
      <w:lvlJc w:val="right"/>
      <w:pPr>
        <w:tabs>
          <w:tab w:leader="none" w:pos="4395" w:val="left"/>
        </w:tabs>
        <w:ind w:hanging="180" w:left="4395"/>
      </w:pPr>
    </w:lvl>
    <w:lvl w:ilvl="6">
      <w:start w:val="1"/>
      <w:numFmt w:val="decimal"/>
      <w:lvlText w:val="%7."/>
      <w:lvlJc w:val="left"/>
      <w:pPr>
        <w:tabs>
          <w:tab w:leader="none" w:pos="5115" w:val="left"/>
        </w:tabs>
        <w:ind w:hanging="360" w:left="5115"/>
      </w:pPr>
    </w:lvl>
    <w:lvl w:ilvl="7">
      <w:start w:val="1"/>
      <w:numFmt w:val="lowerLetter"/>
      <w:lvlText w:val="%8."/>
      <w:lvlJc w:val="left"/>
      <w:pPr>
        <w:tabs>
          <w:tab w:leader="none" w:pos="5835" w:val="left"/>
        </w:tabs>
        <w:ind w:hanging="360" w:left="5835"/>
      </w:pPr>
    </w:lvl>
    <w:lvl w:ilvl="8">
      <w:start w:val="1"/>
      <w:numFmt w:val="lowerRoman"/>
      <w:lvlText w:val="%9."/>
      <w:lvlJc w:val="right"/>
      <w:pPr>
        <w:tabs>
          <w:tab w:leader="none" w:pos="6555" w:val="left"/>
        </w:tabs>
        <w:ind w:hanging="180" w:left="6555"/>
      </w:pPr>
    </w:lvl>
  </w:abstractNum>
  <w:num w:numId="1">
    <w:abstractNumId w:val="0"/>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0" w:uiPriority="9" w:unhideWhenUsed="0"/>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4" w:type="paragraph">
    <w:name w:val="Normal"/>
    <w:link w:val="Style_4_ch"/>
    <w:uiPriority w:val="0"/>
    <w:qFormat/>
    <w:rPr>
      <w:sz w:val="24"/>
    </w:rPr>
  </w:style>
  <w:style w:default="1" w:styleId="Style_4_ch" w:type="character">
    <w:name w:val="Normal"/>
    <w:link w:val="Style_4"/>
    <w:rPr>
      <w:sz w:val="24"/>
    </w:rPr>
  </w:style>
  <w:style w:styleId="Style_5" w:type="paragraph">
    <w:name w:val="WW8Num1z7"/>
    <w:link w:val="Style_5_ch"/>
  </w:style>
  <w:style w:styleId="Style_5_ch" w:type="character">
    <w:name w:val="WW8Num1z7"/>
    <w:link w:val="Style_5"/>
  </w:style>
  <w:style w:styleId="Style_6" w:type="paragraph">
    <w:name w:val="WW-Absatz-Standardschriftart1111111111111111111111"/>
    <w:link w:val="Style_6_ch"/>
  </w:style>
  <w:style w:styleId="Style_6_ch" w:type="character">
    <w:name w:val="WW-Absatz-Standardschriftart1111111111111111111111"/>
    <w:link w:val="Style_6"/>
  </w:style>
  <w:style w:styleId="Style_7" w:type="paragraph">
    <w:name w:val="toc 2"/>
    <w:next w:val="Style_4"/>
    <w:link w:val="Style_7_ch"/>
    <w:uiPriority w:val="39"/>
    <w:pPr>
      <w:ind w:firstLine="0" w:left="200"/>
    </w:pPr>
  </w:style>
  <w:style w:styleId="Style_7_ch" w:type="character">
    <w:name w:val="toc 2"/>
    <w:link w:val="Style_7"/>
  </w:style>
  <w:style w:styleId="Style_8" w:type="paragraph">
    <w:name w:val="toc 4"/>
    <w:next w:val="Style_4"/>
    <w:link w:val="Style_8_ch"/>
    <w:uiPriority w:val="39"/>
    <w:pPr>
      <w:ind w:firstLine="0" w:left="600"/>
    </w:pPr>
  </w:style>
  <w:style w:styleId="Style_8_ch" w:type="character">
    <w:name w:val="toc 4"/>
    <w:link w:val="Style_8"/>
  </w:style>
  <w:style w:styleId="Style_9" w:type="paragraph">
    <w:name w:val="toc 6"/>
    <w:next w:val="Style_4"/>
    <w:link w:val="Style_9_ch"/>
    <w:uiPriority w:val="39"/>
    <w:pPr>
      <w:ind w:firstLine="0" w:left="1000"/>
    </w:pPr>
  </w:style>
  <w:style w:styleId="Style_9_ch" w:type="character">
    <w:name w:val="toc 6"/>
    <w:link w:val="Style_9"/>
  </w:style>
  <w:style w:styleId="Style_10" w:type="paragraph">
    <w:name w:val="toc 7"/>
    <w:next w:val="Style_4"/>
    <w:link w:val="Style_10_ch"/>
    <w:uiPriority w:val="39"/>
    <w:pPr>
      <w:ind w:firstLine="0" w:left="1200"/>
    </w:pPr>
  </w:style>
  <w:style w:styleId="Style_10_ch" w:type="character">
    <w:name w:val="toc 7"/>
    <w:link w:val="Style_10"/>
  </w:style>
  <w:style w:styleId="Style_11" w:type="paragraph">
    <w:name w:val="WW-Absatz-Standardschriftart111111111111"/>
    <w:link w:val="Style_11_ch"/>
  </w:style>
  <w:style w:styleId="Style_11_ch" w:type="character">
    <w:name w:val="WW-Absatz-Standardschriftart111111111111"/>
    <w:link w:val="Style_11"/>
  </w:style>
  <w:style w:styleId="Style_12" w:type="paragraph">
    <w:name w:val="WW-Absatz-Standardschriftart111111111111111111"/>
    <w:link w:val="Style_12_ch"/>
  </w:style>
  <w:style w:styleId="Style_12_ch" w:type="character">
    <w:name w:val="WW-Absatz-Standardschriftart111111111111111111"/>
    <w:link w:val="Style_12"/>
  </w:style>
  <w:style w:styleId="Style_13" w:type="paragraph">
    <w:name w:val="WW-Absatz-Standardschriftart111111111"/>
    <w:link w:val="Style_13_ch"/>
  </w:style>
  <w:style w:styleId="Style_13_ch" w:type="character">
    <w:name w:val="WW-Absatz-Standardschriftart111111111"/>
    <w:link w:val="Style_13"/>
  </w:style>
  <w:style w:styleId="Style_14" w:type="paragraph">
    <w:name w:val="heading 3"/>
    <w:next w:val="Style_4"/>
    <w:link w:val="Style_14_ch"/>
    <w:uiPriority w:val="9"/>
    <w:qFormat/>
    <w:pPr>
      <w:ind/>
      <w:outlineLvl w:val="2"/>
    </w:pPr>
    <w:rPr>
      <w:rFonts w:ascii="XO Thames" w:hAnsi="XO Thames"/>
      <w:b w:val="1"/>
      <w:i w:val="1"/>
      <w:color w:val="000000"/>
    </w:rPr>
  </w:style>
  <w:style w:styleId="Style_14_ch" w:type="character">
    <w:name w:val="heading 3"/>
    <w:link w:val="Style_14"/>
    <w:rPr>
      <w:rFonts w:ascii="XO Thames" w:hAnsi="XO Thames"/>
      <w:b w:val="1"/>
      <w:i w:val="1"/>
      <w:color w:val="000000"/>
    </w:rPr>
  </w:style>
  <w:style w:styleId="Style_15" w:type="paragraph">
    <w:name w:val="Указатель3"/>
    <w:basedOn w:val="Style_4"/>
    <w:link w:val="Style_15_ch"/>
    <w:rPr>
      <w:color w:val="000000"/>
      <w:sz w:val="28"/>
    </w:rPr>
  </w:style>
  <w:style w:styleId="Style_15_ch" w:type="character">
    <w:name w:val="Указатель3"/>
    <w:basedOn w:val="Style_4_ch"/>
    <w:link w:val="Style_15"/>
    <w:rPr>
      <w:color w:val="000000"/>
      <w:sz w:val="28"/>
    </w:rPr>
  </w:style>
  <w:style w:styleId="Style_16" w:type="paragraph">
    <w:name w:val="WW8Num1z0"/>
    <w:link w:val="Style_16_ch"/>
  </w:style>
  <w:style w:styleId="Style_16_ch" w:type="character">
    <w:name w:val="WW8Num1z0"/>
    <w:link w:val="Style_16"/>
  </w:style>
  <w:style w:styleId="Style_17" w:type="paragraph">
    <w:name w:val="Balloon Text"/>
    <w:basedOn w:val="Style_4"/>
    <w:link w:val="Style_17_ch"/>
    <w:rPr>
      <w:rFonts w:ascii="Tahoma" w:hAnsi="Tahoma"/>
      <w:sz w:val="16"/>
    </w:rPr>
  </w:style>
  <w:style w:styleId="Style_17_ch" w:type="character">
    <w:name w:val="Balloon Text"/>
    <w:basedOn w:val="Style_4_ch"/>
    <w:link w:val="Style_17"/>
    <w:rPr>
      <w:rFonts w:ascii="Tahoma" w:hAnsi="Tahoma"/>
      <w:sz w:val="16"/>
    </w:rPr>
  </w:style>
  <w:style w:styleId="Style_18" w:type="paragraph">
    <w:name w:val="WW-Absatz-Standardschriftart11111111111111111"/>
    <w:link w:val="Style_18_ch"/>
  </w:style>
  <w:style w:styleId="Style_18_ch" w:type="character">
    <w:name w:val="WW-Absatz-Standardschriftart11111111111111111"/>
    <w:link w:val="Style_18"/>
  </w:style>
  <w:style w:styleId="Style_19" w:type="paragraph">
    <w:name w:val="Заголовок"/>
    <w:basedOn w:val="Style_4"/>
    <w:next w:val="Style_20"/>
    <w:link w:val="Style_19_ch"/>
    <w:pPr>
      <w:keepNext w:val="1"/>
      <w:spacing w:after="120" w:before="240"/>
      <w:ind/>
    </w:pPr>
    <w:rPr>
      <w:rFonts w:ascii="Arial" w:hAnsi="Arial"/>
      <w:color w:val="000000"/>
      <w:sz w:val="28"/>
    </w:rPr>
  </w:style>
  <w:style w:styleId="Style_19_ch" w:type="character">
    <w:name w:val="Заголовок"/>
    <w:basedOn w:val="Style_4_ch"/>
    <w:link w:val="Style_19"/>
    <w:rPr>
      <w:rFonts w:ascii="Arial" w:hAnsi="Arial"/>
      <w:color w:val="000000"/>
      <w:sz w:val="28"/>
    </w:rPr>
  </w:style>
  <w:style w:styleId="Style_21" w:type="paragraph">
    <w:name w:val="List"/>
    <w:basedOn w:val="Style_20"/>
    <w:link w:val="Style_21_ch"/>
    <w:rPr>
      <w:rFonts w:ascii="Arial" w:hAnsi="Arial"/>
      <w:color w:val="000000"/>
      <w:sz w:val="28"/>
    </w:rPr>
  </w:style>
  <w:style w:styleId="Style_21_ch" w:type="character">
    <w:name w:val="List"/>
    <w:basedOn w:val="Style_20_ch"/>
    <w:link w:val="Style_21"/>
    <w:rPr>
      <w:rFonts w:ascii="Arial" w:hAnsi="Arial"/>
      <w:color w:val="000000"/>
      <w:sz w:val="28"/>
    </w:rPr>
  </w:style>
  <w:style w:styleId="Style_22" w:type="paragraph">
    <w:name w:val="WW-Absatz-Standardschriftart111"/>
    <w:link w:val="Style_22_ch"/>
  </w:style>
  <w:style w:styleId="Style_22_ch" w:type="character">
    <w:name w:val="WW-Absatz-Standardschriftart111"/>
    <w:link w:val="Style_22"/>
  </w:style>
  <w:style w:styleId="Style_23" w:type="paragraph">
    <w:name w:val="Название1"/>
    <w:basedOn w:val="Style_4"/>
    <w:link w:val="Style_23_ch"/>
    <w:pPr>
      <w:spacing w:after="120" w:before="120"/>
      <w:ind/>
    </w:pPr>
    <w:rPr>
      <w:i w:val="1"/>
      <w:color w:val="000000"/>
    </w:rPr>
  </w:style>
  <w:style w:styleId="Style_23_ch" w:type="character">
    <w:name w:val="Название1"/>
    <w:basedOn w:val="Style_4_ch"/>
    <w:link w:val="Style_23"/>
    <w:rPr>
      <w:i w:val="1"/>
      <w:color w:val="000000"/>
    </w:rPr>
  </w:style>
  <w:style w:styleId="Style_24" w:type="paragraph">
    <w:name w:val="Название2"/>
    <w:basedOn w:val="Style_4"/>
    <w:link w:val="Style_24_ch"/>
    <w:pPr>
      <w:spacing w:after="120" w:before="120"/>
      <w:ind/>
    </w:pPr>
    <w:rPr>
      <w:i w:val="1"/>
      <w:color w:val="000000"/>
    </w:rPr>
  </w:style>
  <w:style w:styleId="Style_24_ch" w:type="character">
    <w:name w:val="Название2"/>
    <w:basedOn w:val="Style_4_ch"/>
    <w:link w:val="Style_24"/>
    <w:rPr>
      <w:i w:val="1"/>
      <w:color w:val="000000"/>
    </w:rPr>
  </w:style>
  <w:style w:styleId="Style_25" w:type="paragraph">
    <w:name w:val="Содержимое врезки"/>
    <w:basedOn w:val="Style_20"/>
    <w:link w:val="Style_25_ch"/>
    <w:rPr>
      <w:color w:val="000000"/>
      <w:sz w:val="28"/>
    </w:rPr>
  </w:style>
  <w:style w:styleId="Style_25_ch" w:type="character">
    <w:name w:val="Содержимое врезки"/>
    <w:basedOn w:val="Style_20_ch"/>
    <w:link w:val="Style_25"/>
    <w:rPr>
      <w:color w:val="000000"/>
      <w:sz w:val="28"/>
    </w:rPr>
  </w:style>
  <w:style w:styleId="Style_26" w:type="paragraph">
    <w:name w:val="WW8Num1z5"/>
    <w:link w:val="Style_26_ch"/>
  </w:style>
  <w:style w:styleId="Style_26_ch" w:type="character">
    <w:name w:val="WW8Num1z5"/>
    <w:link w:val="Style_26"/>
  </w:style>
  <w:style w:styleId="Style_27" w:type="paragraph">
    <w:name w:val=" Знак"/>
    <w:basedOn w:val="Style_4"/>
    <w:link w:val="Style_27_ch"/>
    <w:rPr>
      <w:rFonts w:ascii="Verdana" w:hAnsi="Verdana"/>
      <w:sz w:val="20"/>
    </w:rPr>
  </w:style>
  <w:style w:styleId="Style_27_ch" w:type="character">
    <w:name w:val=" Знак"/>
    <w:basedOn w:val="Style_4_ch"/>
    <w:link w:val="Style_27"/>
    <w:rPr>
      <w:rFonts w:ascii="Verdana" w:hAnsi="Verdana"/>
      <w:sz w:val="20"/>
    </w:rPr>
  </w:style>
  <w:style w:styleId="Style_28" w:type="paragraph">
    <w:name w:val="WW8Num1z8"/>
    <w:link w:val="Style_28_ch"/>
  </w:style>
  <w:style w:styleId="Style_28_ch" w:type="character">
    <w:name w:val="WW8Num1z8"/>
    <w:link w:val="Style_28"/>
  </w:style>
  <w:style w:styleId="Style_29" w:type="paragraph">
    <w:name w:val="Emphasis"/>
    <w:link w:val="Style_29_ch"/>
    <w:rPr>
      <w:i w:val="1"/>
    </w:rPr>
  </w:style>
  <w:style w:styleId="Style_29_ch" w:type="character">
    <w:name w:val="Emphasis"/>
    <w:link w:val="Style_29"/>
    <w:rPr>
      <w:i w:val="1"/>
    </w:rPr>
  </w:style>
  <w:style w:styleId="Style_30" w:type="paragraph">
    <w:name w:val="Маркеры списка"/>
    <w:link w:val="Style_30_ch"/>
    <w:rPr>
      <w:rFonts w:ascii="OpenSymbol" w:hAnsi="OpenSymbol"/>
    </w:rPr>
  </w:style>
  <w:style w:styleId="Style_30_ch" w:type="character">
    <w:name w:val="Маркеры списка"/>
    <w:link w:val="Style_30"/>
    <w:rPr>
      <w:rFonts w:ascii="OpenSymbol" w:hAnsi="OpenSymbol"/>
    </w:rPr>
  </w:style>
  <w:style w:styleId="Style_31" w:type="paragraph">
    <w:name w:val="Body Text Indent"/>
    <w:basedOn w:val="Style_4"/>
    <w:link w:val="Style_31_ch"/>
    <w:pPr>
      <w:spacing w:after="120"/>
      <w:ind w:firstLine="0" w:left="283"/>
    </w:pPr>
  </w:style>
  <w:style w:styleId="Style_31_ch" w:type="character">
    <w:name w:val="Body Text Indent"/>
    <w:basedOn w:val="Style_4_ch"/>
    <w:link w:val="Style_31"/>
  </w:style>
  <w:style w:styleId="Style_32" w:type="paragraph">
    <w:name w:val="page number"/>
    <w:basedOn w:val="Style_33"/>
    <w:link w:val="Style_32_ch"/>
  </w:style>
  <w:style w:styleId="Style_32_ch" w:type="character">
    <w:name w:val="page number"/>
    <w:basedOn w:val="Style_33_ch"/>
    <w:link w:val="Style_32"/>
  </w:style>
  <w:style w:styleId="Style_34" w:type="paragraph">
    <w:name w:val="WW8Num1z6"/>
    <w:link w:val="Style_34_ch"/>
  </w:style>
  <w:style w:styleId="Style_34_ch" w:type="character">
    <w:name w:val="WW8Num1z6"/>
    <w:link w:val="Style_34"/>
  </w:style>
  <w:style w:styleId="Style_35" w:type="paragraph">
    <w:name w:val="WW-Absatz-Standardschriftart11111111"/>
    <w:link w:val="Style_35_ch"/>
  </w:style>
  <w:style w:styleId="Style_35_ch" w:type="character">
    <w:name w:val="WW-Absatz-Standardschriftart11111111"/>
    <w:link w:val="Style_35"/>
  </w:style>
  <w:style w:styleId="Style_36" w:type="paragraph">
    <w:name w:val="WW-Absatz-Standardschriftart11111111111111111111"/>
    <w:link w:val="Style_36_ch"/>
  </w:style>
  <w:style w:styleId="Style_36_ch" w:type="character">
    <w:name w:val="WW-Absatz-Standardschriftart11111111111111111111"/>
    <w:link w:val="Style_36"/>
  </w:style>
  <w:style w:styleId="Style_37" w:type="paragraph">
    <w:name w:val="WW-Absatz-Standardschriftart111111111111111111111"/>
    <w:link w:val="Style_37_ch"/>
  </w:style>
  <w:style w:styleId="Style_37_ch" w:type="character">
    <w:name w:val="WW-Absatz-Standardschriftart111111111111111111111"/>
    <w:link w:val="Style_37"/>
  </w:style>
  <w:style w:styleId="Style_38" w:type="paragraph">
    <w:name w:val="toc 3"/>
    <w:next w:val="Style_4"/>
    <w:link w:val="Style_38_ch"/>
    <w:uiPriority w:val="39"/>
    <w:pPr>
      <w:ind w:firstLine="0" w:left="400"/>
    </w:pPr>
  </w:style>
  <w:style w:styleId="Style_38_ch" w:type="character">
    <w:name w:val="toc 3"/>
    <w:link w:val="Style_38"/>
  </w:style>
  <w:style w:styleId="Style_33" w:type="paragraph">
    <w:name w:val="Default Paragraph Font"/>
    <w:link w:val="Style_33_ch"/>
  </w:style>
  <w:style w:styleId="Style_33_ch" w:type="character">
    <w:name w:val="Default Paragraph Font"/>
    <w:link w:val="Style_33"/>
  </w:style>
  <w:style w:styleId="Style_39" w:type="paragraph">
    <w:name w:val="WW-Absatz-Standardschriftart111111111111111111111111"/>
    <w:link w:val="Style_39_ch"/>
  </w:style>
  <w:style w:styleId="Style_39_ch" w:type="character">
    <w:name w:val="WW-Absatz-Standardschriftart111111111111111111111111"/>
    <w:link w:val="Style_39"/>
  </w:style>
  <w:style w:styleId="Style_40" w:type="paragraph">
    <w:name w:val="ConsPlusNormal"/>
    <w:link w:val="Style_40_ch"/>
    <w:pPr>
      <w:widowControl w:val="0"/>
      <w:ind/>
    </w:pPr>
    <w:rPr>
      <w:rFonts w:ascii="Arial" w:hAnsi="Arial"/>
      <w:sz w:val="16"/>
    </w:rPr>
  </w:style>
  <w:style w:styleId="Style_40_ch" w:type="character">
    <w:name w:val="ConsPlusNormal"/>
    <w:link w:val="Style_40"/>
    <w:rPr>
      <w:rFonts w:ascii="Arial" w:hAnsi="Arial"/>
      <w:sz w:val="16"/>
    </w:rPr>
  </w:style>
  <w:style w:styleId="Style_3" w:type="paragraph">
    <w:name w:val="Normal (Web)"/>
    <w:basedOn w:val="Style_4"/>
    <w:link w:val="Style_3_ch"/>
    <w:pPr>
      <w:spacing w:afterAutospacing="on" w:beforeAutospacing="on"/>
      <w:ind/>
    </w:pPr>
  </w:style>
  <w:style w:styleId="Style_3_ch" w:type="character">
    <w:name w:val="Normal (Web)"/>
    <w:basedOn w:val="Style_4_ch"/>
    <w:link w:val="Style_3"/>
  </w:style>
  <w:style w:styleId="Style_41" w:type="paragraph">
    <w:name w:val="WW-Absatz-Standardschriftart1111111"/>
    <w:link w:val="Style_41_ch"/>
  </w:style>
  <w:style w:styleId="Style_41_ch" w:type="character">
    <w:name w:val="WW-Absatz-Standardschriftart1111111"/>
    <w:link w:val="Style_41"/>
  </w:style>
  <w:style w:styleId="Style_42" w:type="paragraph">
    <w:name w:val="WW-Absatz-Standardschriftart1111"/>
    <w:link w:val="Style_42_ch"/>
  </w:style>
  <w:style w:styleId="Style_42_ch" w:type="character">
    <w:name w:val="WW-Absatz-Standardschriftart1111"/>
    <w:link w:val="Style_42"/>
  </w:style>
  <w:style w:styleId="Style_43" w:type="paragraph">
    <w:name w:val="WW-Absatz-Standardschriftart11111111111111111111111"/>
    <w:link w:val="Style_43_ch"/>
  </w:style>
  <w:style w:styleId="Style_43_ch" w:type="character">
    <w:name w:val="WW-Absatz-Standardschriftart11111111111111111111111"/>
    <w:link w:val="Style_43"/>
  </w:style>
  <w:style w:styleId="Style_20" w:type="paragraph">
    <w:name w:val="Body Text"/>
    <w:basedOn w:val="Style_4"/>
    <w:link w:val="Style_20_ch"/>
    <w:pPr>
      <w:spacing w:after="120"/>
      <w:ind/>
    </w:pPr>
  </w:style>
  <w:style w:styleId="Style_20_ch" w:type="character">
    <w:name w:val="Body Text"/>
    <w:basedOn w:val="Style_4_ch"/>
    <w:link w:val="Style_20"/>
  </w:style>
  <w:style w:styleId="Style_44" w:type="paragraph">
    <w:name w:val="Основной шрифт абзаца3"/>
    <w:link w:val="Style_44_ch"/>
  </w:style>
  <w:style w:styleId="Style_44_ch" w:type="character">
    <w:name w:val="Основной шрифт абзаца3"/>
    <w:link w:val="Style_44"/>
  </w:style>
  <w:style w:styleId="Style_45" w:type="paragraph">
    <w:name w:val="heading 5"/>
    <w:next w:val="Style_4"/>
    <w:link w:val="Style_45_ch"/>
    <w:uiPriority w:val="9"/>
    <w:qFormat/>
    <w:pPr>
      <w:spacing w:after="120" w:before="120"/>
      <w:ind/>
      <w:outlineLvl w:val="4"/>
    </w:pPr>
    <w:rPr>
      <w:rFonts w:ascii="XO Thames" w:hAnsi="XO Thames"/>
      <w:b w:val="1"/>
      <w:color w:val="000000"/>
      <w:sz w:val="22"/>
    </w:rPr>
  </w:style>
  <w:style w:styleId="Style_45_ch" w:type="character">
    <w:name w:val="heading 5"/>
    <w:link w:val="Style_45"/>
    <w:rPr>
      <w:rFonts w:ascii="XO Thames" w:hAnsi="XO Thames"/>
      <w:b w:val="1"/>
      <w:color w:val="000000"/>
      <w:sz w:val="22"/>
    </w:rPr>
  </w:style>
  <w:style w:styleId="Style_46" w:type="paragraph">
    <w:name w:val="WW-Absatz-Standardschriftart11111111111111111111111111111"/>
    <w:link w:val="Style_46_ch"/>
  </w:style>
  <w:style w:styleId="Style_46_ch" w:type="character">
    <w:name w:val="WW-Absatz-Standardschriftart11111111111111111111111111111"/>
    <w:link w:val="Style_46"/>
  </w:style>
  <w:style w:styleId="Style_47" w:type="paragraph">
    <w:name w:val="heading 1"/>
    <w:basedOn w:val="Style_4"/>
    <w:next w:val="Style_4"/>
    <w:link w:val="Style_47_ch"/>
    <w:uiPriority w:val="9"/>
    <w:qFormat/>
    <w:pPr>
      <w:keepNext w:val="1"/>
      <w:spacing w:after="60" w:before="240"/>
      <w:ind/>
      <w:outlineLvl w:val="0"/>
    </w:pPr>
    <w:rPr>
      <w:rFonts w:ascii="Cambria" w:hAnsi="Cambria"/>
      <w:b w:val="1"/>
      <w:sz w:val="32"/>
    </w:rPr>
  </w:style>
  <w:style w:styleId="Style_47_ch" w:type="character">
    <w:name w:val="heading 1"/>
    <w:basedOn w:val="Style_4_ch"/>
    <w:link w:val="Style_47"/>
    <w:rPr>
      <w:rFonts w:ascii="Cambria" w:hAnsi="Cambria"/>
      <w:b w:val="1"/>
      <w:sz w:val="32"/>
    </w:rPr>
  </w:style>
  <w:style w:styleId="Style_48" w:type="paragraph">
    <w:name w:val="WW-Заголовок"/>
    <w:basedOn w:val="Style_19"/>
    <w:next w:val="Style_49"/>
    <w:link w:val="Style_48_ch"/>
  </w:style>
  <w:style w:styleId="Style_48_ch" w:type="character">
    <w:name w:val="WW-Заголовок"/>
    <w:basedOn w:val="Style_19_ch"/>
    <w:link w:val="Style_48"/>
  </w:style>
  <w:style w:styleId="Style_50" w:type="paragraph">
    <w:name w:val="WW8Num1z4"/>
    <w:link w:val="Style_50_ch"/>
  </w:style>
  <w:style w:styleId="Style_50_ch" w:type="character">
    <w:name w:val="WW8Num1z4"/>
    <w:link w:val="Style_50"/>
  </w:style>
  <w:style w:styleId="Style_51" w:type="paragraph">
    <w:name w:val="Hyperlink"/>
    <w:link w:val="Style_51_ch"/>
    <w:rPr>
      <w:color w:val="0000FF"/>
      <w:u w:val="single"/>
    </w:rPr>
  </w:style>
  <w:style w:styleId="Style_51_ch" w:type="character">
    <w:name w:val="Hyperlink"/>
    <w:link w:val="Style_51"/>
    <w:rPr>
      <w:color w:val="0000FF"/>
      <w:u w:val="single"/>
    </w:rPr>
  </w:style>
  <w:style w:styleId="Style_52" w:type="paragraph">
    <w:name w:val="Footnote"/>
    <w:link w:val="Style_52_ch"/>
    <w:pPr>
      <w:ind/>
      <w:jc w:val="left"/>
    </w:pPr>
    <w:rPr>
      <w:rFonts w:ascii="XO Thames" w:hAnsi="XO Thames"/>
      <w:sz w:val="22"/>
    </w:rPr>
  </w:style>
  <w:style w:styleId="Style_52_ch" w:type="character">
    <w:name w:val="Footnote"/>
    <w:link w:val="Style_52"/>
    <w:rPr>
      <w:rFonts w:ascii="XO Thames" w:hAnsi="XO Thames"/>
      <w:sz w:val="22"/>
    </w:rPr>
  </w:style>
  <w:style w:styleId="Style_53" w:type="paragraph">
    <w:name w:val="heading 8"/>
    <w:basedOn w:val="Style_4"/>
    <w:next w:val="Style_4"/>
    <w:link w:val="Style_53_ch"/>
    <w:uiPriority w:val="9"/>
    <w:qFormat/>
    <w:pPr>
      <w:spacing w:after="60" w:before="240"/>
      <w:ind/>
      <w:outlineLvl w:val="7"/>
    </w:pPr>
    <w:rPr>
      <w:i w:val="1"/>
    </w:rPr>
  </w:style>
  <w:style w:styleId="Style_53_ch" w:type="character">
    <w:name w:val="heading 8"/>
    <w:basedOn w:val="Style_4_ch"/>
    <w:link w:val="Style_53"/>
    <w:rPr>
      <w:i w:val="1"/>
    </w:rPr>
  </w:style>
  <w:style w:styleId="Style_54" w:type="paragraph">
    <w:name w:val="Указатель1"/>
    <w:basedOn w:val="Style_4"/>
    <w:link w:val="Style_54_ch"/>
    <w:rPr>
      <w:rFonts w:ascii="Arial" w:hAnsi="Arial"/>
      <w:color w:val="000000"/>
      <w:sz w:val="28"/>
    </w:rPr>
  </w:style>
  <w:style w:styleId="Style_54_ch" w:type="character">
    <w:name w:val="Указатель1"/>
    <w:basedOn w:val="Style_4_ch"/>
    <w:link w:val="Style_54"/>
    <w:rPr>
      <w:rFonts w:ascii="Arial" w:hAnsi="Arial"/>
      <w:color w:val="000000"/>
      <w:sz w:val="28"/>
    </w:rPr>
  </w:style>
  <w:style w:styleId="Style_55" w:type="paragraph">
    <w:name w:val="toc 1"/>
    <w:next w:val="Style_4"/>
    <w:link w:val="Style_55_ch"/>
    <w:uiPriority w:val="39"/>
    <w:pPr>
      <w:ind w:firstLine="0" w:left="0"/>
    </w:pPr>
    <w:rPr>
      <w:rFonts w:ascii="XO Thames" w:hAnsi="XO Thames"/>
      <w:b w:val="1"/>
    </w:rPr>
  </w:style>
  <w:style w:styleId="Style_55_ch" w:type="character">
    <w:name w:val="toc 1"/>
    <w:link w:val="Style_55"/>
    <w:rPr>
      <w:rFonts w:ascii="XO Thames" w:hAnsi="XO Thames"/>
      <w:b w:val="1"/>
    </w:rPr>
  </w:style>
  <w:style w:styleId="Style_56" w:type="paragraph">
    <w:name w:val="WW-Absatz-Standardschriftart111111"/>
    <w:link w:val="Style_56_ch"/>
  </w:style>
  <w:style w:styleId="Style_56_ch" w:type="character">
    <w:name w:val="WW-Absatz-Standardschriftart111111"/>
    <w:link w:val="Style_56"/>
  </w:style>
  <w:style w:styleId="Style_57" w:type="paragraph">
    <w:name w:val="Body Text Indent 2"/>
    <w:basedOn w:val="Style_4"/>
    <w:link w:val="Style_57_ch"/>
    <w:pPr>
      <w:spacing w:after="120" w:line="480" w:lineRule="auto"/>
      <w:ind w:firstLine="0" w:left="283"/>
    </w:pPr>
  </w:style>
  <w:style w:styleId="Style_57_ch" w:type="character">
    <w:name w:val="Body Text Indent 2"/>
    <w:basedOn w:val="Style_4_ch"/>
    <w:link w:val="Style_57"/>
  </w:style>
  <w:style w:styleId="Style_58" w:type="paragraph">
    <w:name w:val="Header and Footer"/>
    <w:link w:val="Style_58_ch"/>
    <w:pPr>
      <w:spacing w:line="360" w:lineRule="auto"/>
      <w:ind/>
    </w:pPr>
    <w:rPr>
      <w:rFonts w:ascii="XO Thames" w:hAnsi="XO Thames"/>
      <w:sz w:val="20"/>
    </w:rPr>
  </w:style>
  <w:style w:styleId="Style_58_ch" w:type="character">
    <w:name w:val="Header and Footer"/>
    <w:link w:val="Style_58"/>
    <w:rPr>
      <w:rFonts w:ascii="XO Thames" w:hAnsi="XO Thames"/>
      <w:sz w:val="20"/>
    </w:rPr>
  </w:style>
  <w:style w:styleId="Style_59" w:type="paragraph">
    <w:name w:val="Название3"/>
    <w:basedOn w:val="Style_4"/>
    <w:link w:val="Style_59_ch"/>
    <w:pPr>
      <w:spacing w:after="120" w:before="120"/>
      <w:ind/>
    </w:pPr>
    <w:rPr>
      <w:i w:val="1"/>
      <w:color w:val="000000"/>
    </w:rPr>
  </w:style>
  <w:style w:styleId="Style_59_ch" w:type="character">
    <w:name w:val="Название3"/>
    <w:basedOn w:val="Style_4_ch"/>
    <w:link w:val="Style_59"/>
    <w:rPr>
      <w:i w:val="1"/>
      <w:color w:val="000000"/>
    </w:rPr>
  </w:style>
  <w:style w:styleId="Style_60" w:type="paragraph">
    <w:name w:val="WW-Absatz-Standardschriftart11111"/>
    <w:link w:val="Style_60_ch"/>
  </w:style>
  <w:style w:styleId="Style_60_ch" w:type="character">
    <w:name w:val="WW-Absatz-Standardschriftart11111"/>
    <w:link w:val="Style_60"/>
  </w:style>
  <w:style w:styleId="Style_61" w:type="paragraph">
    <w:name w:val="WW-Absatz-Standardschriftart1111111111111111111"/>
    <w:link w:val="Style_61_ch"/>
  </w:style>
  <w:style w:styleId="Style_61_ch" w:type="character">
    <w:name w:val="WW-Absatz-Standardschriftart1111111111111111111"/>
    <w:link w:val="Style_61"/>
  </w:style>
  <w:style w:styleId="Style_62" w:type="paragraph">
    <w:name w:val="WW-Absatz-Standardschriftart1111111111111"/>
    <w:link w:val="Style_62_ch"/>
  </w:style>
  <w:style w:styleId="Style_62_ch" w:type="character">
    <w:name w:val="WW-Absatz-Standardschriftart1111111111111"/>
    <w:link w:val="Style_62"/>
  </w:style>
  <w:style w:styleId="Style_63" w:type="paragraph">
    <w:name w:val="toc 9"/>
    <w:next w:val="Style_4"/>
    <w:link w:val="Style_63_ch"/>
    <w:uiPriority w:val="39"/>
    <w:pPr>
      <w:ind w:firstLine="0" w:left="1600"/>
    </w:pPr>
  </w:style>
  <w:style w:styleId="Style_63_ch" w:type="character">
    <w:name w:val="toc 9"/>
    <w:link w:val="Style_63"/>
  </w:style>
  <w:style w:styleId="Style_64" w:type="paragraph">
    <w:name w:val="Указатель4"/>
    <w:basedOn w:val="Style_4"/>
    <w:link w:val="Style_64_ch"/>
    <w:rPr>
      <w:color w:val="000000"/>
      <w:sz w:val="28"/>
    </w:rPr>
  </w:style>
  <w:style w:styleId="Style_64_ch" w:type="character">
    <w:name w:val="Указатель4"/>
    <w:basedOn w:val="Style_4_ch"/>
    <w:link w:val="Style_64"/>
    <w:rPr>
      <w:color w:val="000000"/>
      <w:sz w:val="28"/>
    </w:rPr>
  </w:style>
  <w:style w:styleId="Style_65" w:type="paragraph">
    <w:name w:val="Название объекта1"/>
    <w:basedOn w:val="Style_4"/>
    <w:link w:val="Style_65_ch"/>
    <w:pPr>
      <w:spacing w:after="120" w:before="120"/>
      <w:ind/>
    </w:pPr>
    <w:rPr>
      <w:rFonts w:ascii="Arial" w:hAnsi="Arial"/>
      <w:i w:val="1"/>
      <w:color w:val="000000"/>
      <w:sz w:val="20"/>
    </w:rPr>
  </w:style>
  <w:style w:styleId="Style_65_ch" w:type="character">
    <w:name w:val="Название объекта1"/>
    <w:basedOn w:val="Style_4_ch"/>
    <w:link w:val="Style_65"/>
    <w:rPr>
      <w:rFonts w:ascii="Arial" w:hAnsi="Arial"/>
      <w:i w:val="1"/>
      <w:color w:val="000000"/>
      <w:sz w:val="20"/>
    </w:rPr>
  </w:style>
  <w:style w:styleId="Style_66" w:type="paragraph">
    <w:name w:val="WW8Num1z1"/>
    <w:link w:val="Style_66_ch"/>
  </w:style>
  <w:style w:styleId="Style_66_ch" w:type="character">
    <w:name w:val="WW8Num1z1"/>
    <w:link w:val="Style_66"/>
  </w:style>
  <w:style w:styleId="Style_67" w:type="paragraph">
    <w:name w:val="toc 8"/>
    <w:next w:val="Style_4"/>
    <w:link w:val="Style_67_ch"/>
    <w:uiPriority w:val="39"/>
    <w:pPr>
      <w:ind w:firstLine="0" w:left="1400"/>
    </w:pPr>
  </w:style>
  <w:style w:styleId="Style_67_ch" w:type="character">
    <w:name w:val="toc 8"/>
    <w:link w:val="Style_67"/>
  </w:style>
  <w:style w:styleId="Style_68" w:type="paragraph">
    <w:name w:val="WW8Num1z2"/>
    <w:link w:val="Style_68_ch"/>
  </w:style>
  <w:style w:styleId="Style_68_ch" w:type="character">
    <w:name w:val="WW8Num1z2"/>
    <w:link w:val="Style_68"/>
  </w:style>
  <w:style w:styleId="Style_69" w:type="paragraph">
    <w:name w:val="header"/>
    <w:basedOn w:val="Style_4"/>
    <w:link w:val="Style_69_ch"/>
    <w:pPr>
      <w:tabs>
        <w:tab w:leader="none" w:pos="4677" w:val="center"/>
        <w:tab w:leader="none" w:pos="9355" w:val="right"/>
      </w:tabs>
      <w:ind/>
    </w:pPr>
  </w:style>
  <w:style w:styleId="Style_69_ch" w:type="character">
    <w:name w:val="header"/>
    <w:basedOn w:val="Style_4_ch"/>
    <w:link w:val="Style_69"/>
  </w:style>
  <w:style w:styleId="Style_70" w:type="paragraph">
    <w:name w:val="Указатель2"/>
    <w:basedOn w:val="Style_4"/>
    <w:link w:val="Style_70_ch"/>
    <w:rPr>
      <w:color w:val="000000"/>
      <w:sz w:val="28"/>
    </w:rPr>
  </w:style>
  <w:style w:styleId="Style_70_ch" w:type="character">
    <w:name w:val="Указатель2"/>
    <w:basedOn w:val="Style_4_ch"/>
    <w:link w:val="Style_70"/>
    <w:rPr>
      <w:color w:val="000000"/>
      <w:sz w:val="28"/>
    </w:rPr>
  </w:style>
  <w:style w:styleId="Style_71" w:type="paragraph">
    <w:name w:val="WW-Absatz-Standardschriftart111111111111111"/>
    <w:link w:val="Style_71_ch"/>
  </w:style>
  <w:style w:styleId="Style_71_ch" w:type="character">
    <w:name w:val="WW-Absatz-Standardschriftart111111111111111"/>
    <w:link w:val="Style_71"/>
  </w:style>
  <w:style w:styleId="Style_72" w:type="paragraph">
    <w:name w:val="WW-Absatz-Standardschriftart1111111111111111111111111"/>
    <w:link w:val="Style_72_ch"/>
  </w:style>
  <w:style w:styleId="Style_72_ch" w:type="character">
    <w:name w:val="WW-Absatz-Standardschriftart1111111111111111111111111"/>
    <w:link w:val="Style_72"/>
  </w:style>
  <w:style w:styleId="Style_1" w:type="paragraph">
    <w:name w:val="footer"/>
    <w:basedOn w:val="Style_4"/>
    <w:link w:val="Style_1_ch"/>
    <w:pPr>
      <w:tabs>
        <w:tab w:leader="none" w:pos="4677" w:val="center"/>
        <w:tab w:leader="none" w:pos="9355" w:val="right"/>
      </w:tabs>
      <w:ind/>
    </w:pPr>
  </w:style>
  <w:style w:styleId="Style_1_ch" w:type="character">
    <w:name w:val="footer"/>
    <w:basedOn w:val="Style_4_ch"/>
    <w:link w:val="Style_1"/>
  </w:style>
  <w:style w:styleId="Style_73" w:type="paragraph">
    <w:name w:val="Основной шрифт абзаца2"/>
    <w:link w:val="Style_73_ch"/>
  </w:style>
  <w:style w:styleId="Style_73_ch" w:type="character">
    <w:name w:val="Основной шрифт абзаца2"/>
    <w:link w:val="Style_73"/>
  </w:style>
  <w:style w:styleId="Style_74" w:type="paragraph">
    <w:name w:val="toc 5"/>
    <w:next w:val="Style_4"/>
    <w:link w:val="Style_74_ch"/>
    <w:uiPriority w:val="39"/>
    <w:pPr>
      <w:ind w:firstLine="0" w:left="800"/>
    </w:pPr>
  </w:style>
  <w:style w:styleId="Style_74_ch" w:type="character">
    <w:name w:val="toc 5"/>
    <w:link w:val="Style_74"/>
  </w:style>
  <w:style w:styleId="Style_75" w:type="paragraph">
    <w:name w:val="Absatz-Standardschriftart"/>
    <w:link w:val="Style_75_ch"/>
  </w:style>
  <w:style w:styleId="Style_75_ch" w:type="character">
    <w:name w:val="Absatz-Standardschriftart"/>
    <w:link w:val="Style_75"/>
  </w:style>
  <w:style w:styleId="Style_76" w:type="paragraph">
    <w:name w:val="WW-Absatz-Standardschriftart1"/>
    <w:link w:val="Style_76_ch"/>
  </w:style>
  <w:style w:styleId="Style_76_ch" w:type="character">
    <w:name w:val="WW-Absatz-Standardschriftart1"/>
    <w:link w:val="Style_76"/>
  </w:style>
  <w:style w:styleId="Style_77" w:type="paragraph">
    <w:name w:val="Содержимое таблицы"/>
    <w:basedOn w:val="Style_4"/>
    <w:link w:val="Style_77_ch"/>
    <w:rPr>
      <w:color w:val="000000"/>
      <w:sz w:val="28"/>
    </w:rPr>
  </w:style>
  <w:style w:styleId="Style_77_ch" w:type="character">
    <w:name w:val="Содержимое таблицы"/>
    <w:basedOn w:val="Style_4_ch"/>
    <w:link w:val="Style_77"/>
    <w:rPr>
      <w:color w:val="000000"/>
      <w:sz w:val="28"/>
    </w:rPr>
  </w:style>
  <w:style w:styleId="Style_78" w:type="paragraph">
    <w:name w:val="WW-Absatz-Standardschriftart1111111111111111111111111111"/>
    <w:link w:val="Style_78_ch"/>
  </w:style>
  <w:style w:styleId="Style_78_ch" w:type="character">
    <w:name w:val="WW-Absatz-Standardschriftart1111111111111111111111111111"/>
    <w:link w:val="Style_78"/>
  </w:style>
  <w:style w:styleId="Style_79" w:type="paragraph">
    <w:name w:val="WW-Absatz-Standardschriftart11111111111111"/>
    <w:link w:val="Style_79_ch"/>
  </w:style>
  <w:style w:styleId="Style_79_ch" w:type="character">
    <w:name w:val="WW-Absatz-Standardschriftart11111111111111"/>
    <w:link w:val="Style_79"/>
  </w:style>
  <w:style w:styleId="Style_80" w:type="paragraph">
    <w:name w:val="WW-Absatz-Standardschriftart111111111111111111111111111"/>
    <w:link w:val="Style_80_ch"/>
  </w:style>
  <w:style w:styleId="Style_80_ch" w:type="character">
    <w:name w:val="WW-Absatz-Standardschriftart111111111111111111111111111"/>
    <w:link w:val="Style_80"/>
  </w:style>
  <w:style w:styleId="Style_81" w:type="paragraph">
    <w:name w:val="Основной шрифт абзаца4"/>
    <w:link w:val="Style_81_ch"/>
  </w:style>
  <w:style w:styleId="Style_81_ch" w:type="character">
    <w:name w:val="Основной шрифт абзаца4"/>
    <w:link w:val="Style_81"/>
  </w:style>
  <w:style w:styleId="Style_82" w:type="paragraph">
    <w:name w:val="Заголовок таблицы"/>
    <w:basedOn w:val="Style_77"/>
    <w:link w:val="Style_82_ch"/>
    <w:pPr>
      <w:ind/>
      <w:jc w:val="center"/>
    </w:pPr>
    <w:rPr>
      <w:b w:val="1"/>
    </w:rPr>
  </w:style>
  <w:style w:styleId="Style_82_ch" w:type="character">
    <w:name w:val="Заголовок таблицы"/>
    <w:basedOn w:val="Style_77_ch"/>
    <w:link w:val="Style_82"/>
    <w:rPr>
      <w:b w:val="1"/>
    </w:rPr>
  </w:style>
  <w:style w:styleId="Style_83" w:type="paragraph">
    <w:name w:val="WW8Num1z3"/>
    <w:link w:val="Style_83_ch"/>
  </w:style>
  <w:style w:styleId="Style_83_ch" w:type="character">
    <w:name w:val="WW8Num1z3"/>
    <w:link w:val="Style_83"/>
  </w:style>
  <w:style w:styleId="Style_49" w:type="paragraph">
    <w:name w:val="Subtitle"/>
    <w:basedOn w:val="Style_4"/>
    <w:link w:val="Style_49_ch"/>
    <w:uiPriority w:val="11"/>
    <w:qFormat/>
    <w:pPr>
      <w:ind/>
      <w:jc w:val="center"/>
    </w:pPr>
    <w:rPr>
      <w:b w:val="1"/>
      <w:sz w:val="28"/>
    </w:rPr>
  </w:style>
  <w:style w:styleId="Style_49_ch" w:type="character">
    <w:name w:val="Subtitle"/>
    <w:basedOn w:val="Style_4_ch"/>
    <w:link w:val="Style_49"/>
    <w:rPr>
      <w:b w:val="1"/>
      <w:sz w:val="28"/>
    </w:rPr>
  </w:style>
  <w:style w:styleId="Style_84" w:type="paragraph">
    <w:name w:val="WW-Absatz-Standardschriftart1111111111111111"/>
    <w:link w:val="Style_84_ch"/>
  </w:style>
  <w:style w:styleId="Style_84_ch" w:type="character">
    <w:name w:val="WW-Absatz-Standardschriftart1111111111111111"/>
    <w:link w:val="Style_84"/>
  </w:style>
  <w:style w:styleId="Style_85" w:type="paragraph">
    <w:name w:val="toc 10"/>
    <w:next w:val="Style_4"/>
    <w:link w:val="Style_85_ch"/>
    <w:uiPriority w:val="39"/>
    <w:pPr>
      <w:ind w:firstLine="0" w:left="1800"/>
    </w:pPr>
  </w:style>
  <w:style w:styleId="Style_85_ch" w:type="character">
    <w:name w:val="toc 10"/>
    <w:link w:val="Style_85"/>
  </w:style>
  <w:style w:styleId="Style_86" w:type="paragraph">
    <w:name w:val="WW-Absatz-Standardschriftart1111111111"/>
    <w:link w:val="Style_86_ch"/>
  </w:style>
  <w:style w:styleId="Style_86_ch" w:type="character">
    <w:name w:val="WW-Absatz-Standardschriftart1111111111"/>
    <w:link w:val="Style_86"/>
  </w:style>
  <w:style w:styleId="Style_87" w:type="paragraph">
    <w:name w:val="Title"/>
    <w:basedOn w:val="Style_4"/>
    <w:link w:val="Style_87_ch"/>
    <w:uiPriority w:val="10"/>
    <w:qFormat/>
    <w:pPr>
      <w:ind/>
      <w:jc w:val="center"/>
    </w:pPr>
    <w:rPr>
      <w:b w:val="1"/>
      <w:sz w:val="32"/>
    </w:rPr>
  </w:style>
  <w:style w:styleId="Style_87_ch" w:type="character">
    <w:name w:val="Title"/>
    <w:basedOn w:val="Style_4_ch"/>
    <w:link w:val="Style_87"/>
    <w:rPr>
      <w:b w:val="1"/>
      <w:sz w:val="32"/>
    </w:rPr>
  </w:style>
  <w:style w:styleId="Style_88" w:type="paragraph">
    <w:name w:val="heading 4"/>
    <w:next w:val="Style_4"/>
    <w:link w:val="Style_88_ch"/>
    <w:uiPriority w:val="9"/>
    <w:qFormat/>
    <w:pPr>
      <w:spacing w:after="120" w:before="120"/>
      <w:ind/>
      <w:outlineLvl w:val="3"/>
    </w:pPr>
    <w:rPr>
      <w:rFonts w:ascii="XO Thames" w:hAnsi="XO Thames"/>
      <w:b w:val="1"/>
      <w:color w:val="595959"/>
      <w:sz w:val="26"/>
    </w:rPr>
  </w:style>
  <w:style w:styleId="Style_88_ch" w:type="character">
    <w:name w:val="heading 4"/>
    <w:link w:val="Style_88"/>
    <w:rPr>
      <w:rFonts w:ascii="XO Thames" w:hAnsi="XO Thames"/>
      <w:b w:val="1"/>
      <w:color w:val="595959"/>
      <w:sz w:val="26"/>
    </w:rPr>
  </w:style>
  <w:style w:styleId="Style_89" w:type="paragraph">
    <w:name w:val="Основной шрифт абзаца1"/>
    <w:link w:val="Style_89_ch"/>
  </w:style>
  <w:style w:styleId="Style_89_ch" w:type="character">
    <w:name w:val="Основной шрифт абзаца1"/>
    <w:link w:val="Style_89"/>
  </w:style>
  <w:style w:styleId="Style_90" w:type="paragraph">
    <w:name w:val="WW-Absatz-Standardschriftart11111111111"/>
    <w:link w:val="Style_90_ch"/>
  </w:style>
  <w:style w:styleId="Style_90_ch" w:type="character">
    <w:name w:val="WW-Absatz-Standardschriftart11111111111"/>
    <w:link w:val="Style_90"/>
  </w:style>
  <w:style w:styleId="Style_91" w:type="paragraph">
    <w:name w:val="heading 2"/>
    <w:basedOn w:val="Style_19"/>
    <w:next w:val="Style_20"/>
    <w:link w:val="Style_91_ch"/>
    <w:uiPriority w:val="9"/>
    <w:qFormat/>
    <w:pPr>
      <w:numPr>
        <w:ilvl w:val="1"/>
        <w:numId w:val="1"/>
      </w:numPr>
      <w:ind/>
      <w:outlineLvl w:val="1"/>
    </w:pPr>
    <w:rPr>
      <w:b w:val="1"/>
      <w:i w:val="1"/>
    </w:rPr>
  </w:style>
  <w:style w:styleId="Style_91_ch" w:type="character">
    <w:name w:val="heading 2"/>
    <w:basedOn w:val="Style_19_ch"/>
    <w:link w:val="Style_91"/>
    <w:rPr>
      <w:b w:val="1"/>
      <w:i w:val="1"/>
    </w:rPr>
  </w:style>
  <w:style w:styleId="Style_92" w:type="paragraph">
    <w:name w:val="WW-Absatz-Standardschriftart11111111111111111111111111"/>
    <w:link w:val="Style_92_ch"/>
  </w:style>
  <w:style w:styleId="Style_92_ch" w:type="character">
    <w:name w:val="WW-Absatz-Standardschriftart11111111111111111111111111"/>
    <w:link w:val="Style_92"/>
  </w:style>
  <w:style w:styleId="Style_93" w:type="paragraph">
    <w:name w:val="WW-Absatz-Standardschriftart"/>
    <w:link w:val="Style_93_ch"/>
  </w:style>
  <w:style w:styleId="Style_93_ch" w:type="character">
    <w:name w:val="WW-Absatz-Standardschriftart"/>
    <w:link w:val="Style_93"/>
  </w:style>
  <w:style w:styleId="Style_94" w:type="paragraph">
    <w:name w:val="ConsNonformat"/>
    <w:link w:val="Style_94_ch"/>
    <w:pPr>
      <w:widowControl w:val="0"/>
      <w:ind w:right="19772"/>
    </w:pPr>
    <w:rPr>
      <w:rFonts w:ascii="Courier New" w:hAnsi="Courier New"/>
    </w:rPr>
  </w:style>
  <w:style w:styleId="Style_94_ch" w:type="character">
    <w:name w:val="ConsNonformat"/>
    <w:link w:val="Style_94"/>
    <w:rPr>
      <w:rFonts w:ascii="Courier New" w:hAnsi="Courier New"/>
    </w:rPr>
  </w:style>
  <w:style w:styleId="Style_95" w:type="paragraph">
    <w:name w:val="WW-Absatz-Standardschriftart11"/>
    <w:link w:val="Style_95_ch"/>
  </w:style>
  <w:style w:styleId="Style_95_ch" w:type="character">
    <w:name w:val="WW-Absatz-Standardschriftart11"/>
    <w:link w:val="Style_95"/>
  </w:style>
  <w:style w:styleId="Style_96" w:type="table">
    <w:name w:val="Сетка таблицы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 w:type="table">
    <w:name w:val="Сетка таблицы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 w:styleId="Style_98" w:type="table">
    <w:name w:val="Table Grid"/>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8" Target="numbering.xml" Type="http://schemas.openxmlformats.org/officeDocument/2006/relationships/numbering"/>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footer1.xml" Type="http://schemas.openxmlformats.org/officeDocument/2006/relationships/footer"/>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MyOffice-CoreFramework-Windows/22-903.417.5503.534.7@RELEASE-DESKTOP-SORREL_HOME-RC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2026-05-29T07:08:09Z</dcterms:modified>
</cp:coreProperties>
</file>