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F62D70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F62D70">
        <w:rPr>
          <w:rFonts w:ascii="Times New Roman" w:hAnsi="Times New Roman" w:cs="Times New Roman"/>
          <w:bCs/>
          <w:sz w:val="28"/>
          <w:szCs w:val="28"/>
        </w:rPr>
        <w:t xml:space="preserve">22.11.2017 г. № 1720,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F62D70">
        <w:rPr>
          <w:rFonts w:ascii="Times New Roman" w:hAnsi="Times New Roman" w:cs="Times New Roman"/>
          <w:bCs/>
          <w:sz w:val="28"/>
          <w:szCs w:val="28"/>
        </w:rPr>
        <w:t xml:space="preserve">06.08.2019 г. № 1222,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F62D70">
        <w:rPr>
          <w:rFonts w:ascii="Times New Roman" w:hAnsi="Times New Roman" w:cs="Times New Roman"/>
          <w:bCs/>
          <w:sz w:val="28"/>
          <w:szCs w:val="28"/>
        </w:rPr>
        <w:t>646, 26.08.2020 г. № 1065, 19.11.2020 г. № 1574, 21.12.2020 г. № 1788, 19.10.2021 г. № 1596, 23.12.2021г. № 1911</w:t>
      </w:r>
      <w:r w:rsidRPr="00F62D70">
        <w:rPr>
          <w:rFonts w:ascii="Times New Roman" w:hAnsi="Times New Roman" w:cs="Times New Roman"/>
          <w:bCs/>
          <w:sz w:val="28"/>
          <w:szCs w:val="28"/>
        </w:rPr>
        <w:t>)</w:t>
      </w:r>
      <w:r w:rsidR="00C37A55" w:rsidRPr="00F62D70">
        <w:rPr>
          <w:rFonts w:ascii="Times New Roman" w:hAnsi="Times New Roman" w:cs="Times New Roman"/>
          <w:bCs/>
          <w:sz w:val="28"/>
          <w:szCs w:val="28"/>
        </w:rPr>
        <w:t>, 19.09.2022 № 1397</w:t>
      </w:r>
      <w:r w:rsidR="00A74EC4" w:rsidRPr="00F62D70">
        <w:rPr>
          <w:rFonts w:ascii="Times New Roman" w:hAnsi="Times New Roman" w:cs="Times New Roman"/>
          <w:bCs/>
          <w:sz w:val="28"/>
          <w:szCs w:val="28"/>
        </w:rPr>
        <w:t>, 15.12.2022</w:t>
      </w:r>
      <w:r w:rsidR="006770D7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3807"/>
        <w:gridCol w:w="1010"/>
        <w:gridCol w:w="4423"/>
        <w:gridCol w:w="334"/>
        <w:gridCol w:w="171"/>
      </w:tblGrid>
      <w:tr w:rsidR="00BE1356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доступа к информации о деятельности органов местного самоуправления муниципального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Количество информации о деятельности органов местного самоуправления МО Кавказский район в печатном издании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Срок реализации: 2015 - 202</w:t>
            </w:r>
            <w:r w:rsidR="00F62D70">
              <w:rPr>
                <w:rFonts w:ascii="Times New Roman" w:hAnsi="Times New Roman"/>
                <w:sz w:val="28"/>
                <w:szCs w:val="28"/>
                <w:lang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 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Default="00BE1356" w:rsidP="00F62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</w:t>
            </w:r>
            <w:r w:rsidR="00F62D70">
              <w:rPr>
                <w:rFonts w:ascii="Times New Roman" w:hAnsi="Times New Roman"/>
                <w:sz w:val="28"/>
                <w:szCs w:val="28"/>
                <w:lang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годы  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 w:rsidP="00F62D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 финансирования муниципальной программы  за счет средств местного бюджета составляет </w:t>
            </w:r>
            <w:r w:rsidR="00F62D70">
              <w:rPr>
                <w:rFonts w:ascii="Times New Roman" w:hAnsi="Times New Roman"/>
                <w:sz w:val="28"/>
                <w:szCs w:val="28"/>
                <w:lang w:eastAsia="ja-JP"/>
              </w:rPr>
              <w:t>41467,3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тыс. руб.</w:t>
            </w:r>
          </w:p>
        </w:tc>
      </w:tr>
      <w:tr w:rsidR="00BE1356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sub_1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0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7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245902" w:rsidRDefault="00A4727A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245902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(ООО "Редакция газеты "Огни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Кубани") и электронным СМИ (МАУ "Муниципальная телерадиокомпания "Кропоткин").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sub_2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9" w:anchor="sub_11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3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r:id="rId10" w:anchor="sub_12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6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3"/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700"/>
    </w:p>
    <w:bookmarkEnd w:id="4"/>
    <w:p w:rsidR="00245902" w:rsidRDefault="00245902" w:rsidP="00245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5" w:name="sub_800"/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7. Методика оценки эффективности реализации муниципальной программы</w:t>
      </w:r>
    </w:p>
    <w:bookmarkEnd w:id="5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9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Механизм реализации муниципальной программы и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6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процессе реализации муниципальной программы ее координатор может принимать решения о внесении изменений в план реализации 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4727A" w:rsidRDefault="00A4727A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A4727A">
          <w:pgSz w:w="11905" w:h="16837"/>
          <w:pgMar w:top="1134" w:right="567" w:bottom="1134" w:left="1701" w:header="720" w:footer="720" w:gutter="0"/>
          <w:cols w:space="72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62D70" w:rsidRPr="00C30EAF" w:rsidRDefault="00F62D70" w:rsidP="00F62D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F62D70" w:rsidRPr="00C30EAF" w:rsidRDefault="00F62D70" w:rsidP="00F62D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F62D70" w:rsidRDefault="00F62D70" w:rsidP="00F62D7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992"/>
        <w:gridCol w:w="709"/>
        <w:gridCol w:w="992"/>
        <w:gridCol w:w="993"/>
        <w:gridCol w:w="742"/>
        <w:gridCol w:w="142"/>
        <w:gridCol w:w="709"/>
        <w:gridCol w:w="108"/>
        <w:gridCol w:w="959"/>
        <w:gridCol w:w="992"/>
        <w:gridCol w:w="951"/>
        <w:gridCol w:w="843"/>
        <w:gridCol w:w="224"/>
        <w:gridCol w:w="835"/>
        <w:gridCol w:w="157"/>
        <w:gridCol w:w="977"/>
        <w:gridCol w:w="1008"/>
      </w:tblGrid>
      <w:tr w:rsidR="00F62D70" w:rsidRPr="00E108A9" w:rsidTr="00947DC3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0632" w:type="dxa"/>
            <w:gridSpan w:val="15"/>
            <w:tcBorders>
              <w:top w:val="single" w:sz="4" w:space="0" w:color="auto"/>
            </w:tcBorders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F62D70" w:rsidRPr="00E108A9" w:rsidTr="00947DC3">
        <w:trPr>
          <w:trHeight w:val="625"/>
          <w:tblHeader/>
        </w:trPr>
        <w:tc>
          <w:tcPr>
            <w:tcW w:w="709" w:type="dxa"/>
            <w:vMerge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  <w:vAlign w:val="center"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62D70" w:rsidRPr="009A6110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1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6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F62D70" w:rsidRPr="00E108A9" w:rsidTr="00947DC3">
        <w:trPr>
          <w:trHeight w:val="253"/>
          <w:tblHeader/>
        </w:trPr>
        <w:tc>
          <w:tcPr>
            <w:tcW w:w="709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F62D70" w:rsidRPr="009A6110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dxa"/>
            <w:gridSpan w:val="2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62D70" w:rsidRPr="00E108A9" w:rsidTr="00947DC3">
        <w:trPr>
          <w:trHeight w:val="259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0" w:type="dxa"/>
            <w:gridSpan w:val="18"/>
          </w:tcPr>
          <w:p w:rsidR="00F62D70" w:rsidRPr="00E108A9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F62D70" w:rsidRPr="00E108A9" w:rsidTr="00947DC3">
        <w:trPr>
          <w:trHeight w:val="928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0" w:type="dxa"/>
            <w:gridSpan w:val="18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F62D70" w:rsidRPr="00E108A9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E108A9" w:rsidTr="00947DC3">
        <w:trPr>
          <w:trHeight w:val="259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0" w:type="dxa"/>
            <w:gridSpan w:val="18"/>
            <w:hideMark/>
          </w:tcPr>
          <w:p w:rsidR="00F62D70" w:rsidRPr="00E108A9" w:rsidRDefault="00F62D70" w:rsidP="00947D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F62D70" w:rsidRPr="00E108A9" w:rsidTr="00947DC3">
        <w:trPr>
          <w:trHeight w:val="461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E108A9" w:rsidTr="00947DC3">
        <w:trPr>
          <w:trHeight w:val="736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9D6B81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70999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992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977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1008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</w:tr>
      <w:tr w:rsidR="00F62D70" w:rsidRPr="00E108A9" w:rsidTr="00947DC3">
        <w:trPr>
          <w:trHeight w:val="736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F51C97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450000</w:t>
            </w:r>
          </w:p>
        </w:tc>
        <w:tc>
          <w:tcPr>
            <w:tcW w:w="977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008" w:type="dxa"/>
          </w:tcPr>
          <w:p w:rsidR="00F62D70" w:rsidRPr="003A0AED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3A0AED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AED"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</w:tr>
      <w:tr w:rsidR="00F62D70" w:rsidRPr="00E108A9" w:rsidTr="00947DC3">
        <w:trPr>
          <w:trHeight w:val="736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F62D70" w:rsidRPr="00E108A9" w:rsidTr="00947DC3">
        <w:trPr>
          <w:trHeight w:val="250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3" w:type="dxa"/>
            <w:gridSpan w:val="14"/>
            <w:shd w:val="clear" w:color="auto" w:fill="auto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E108A9" w:rsidTr="00947DC3">
        <w:trPr>
          <w:trHeight w:val="250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F62D70" w:rsidRPr="0091083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77" w:type="dxa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008" w:type="dxa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</w:tr>
    </w:tbl>
    <w:p w:rsidR="00F62D70" w:rsidRPr="004C1C12" w:rsidRDefault="00F62D70" w:rsidP="00F62D7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62D70" w:rsidRDefault="00F62D70" w:rsidP="00F62D7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62D70" w:rsidRPr="00E108A9" w:rsidRDefault="00F62D70" w:rsidP="00F62D7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F62D70" w:rsidRDefault="00F62D70" w:rsidP="00F62D70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F62D70" w:rsidRPr="00C30EAF" w:rsidRDefault="00F62D70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опубликованных муниципальных правовых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публикации муниципальных правовых актов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</w:tbl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4C1C1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С.В.Филатова</w:t>
      </w:r>
      <w:r w:rsidR="00DF6502"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2D70" w:rsidRPr="00E108A9" w:rsidRDefault="00F62D70" w:rsidP="00F62D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F62D70" w:rsidRDefault="00F62D70" w:rsidP="00F62D7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32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2127"/>
      </w:tblGrid>
      <w:tr w:rsidR="00F62D70" w:rsidRPr="002B1F71" w:rsidTr="00947DC3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70" w:rsidRPr="0051294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F66F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62D70" w:rsidRPr="00A52868" w:rsidTr="00947DC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убликация муниципальных правовых актов органов местного самоуправления МО Кавказский район в 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A52868" w:rsidTr="00947DC3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41467,3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41467,3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62D70" w:rsidRDefault="00F62D70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Pr="00C30EAF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F62D70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F62D70">
        <w:rPr>
          <w:rFonts w:ascii="Times New Roman" w:hAnsi="Times New Roman"/>
          <w:sz w:val="24"/>
          <w:szCs w:val="24"/>
        </w:rPr>
        <w:t xml:space="preserve">№ </w:t>
      </w:r>
      <w:r w:rsidR="00BE1356" w:rsidRPr="00F62D70">
        <w:rPr>
          <w:rFonts w:ascii="Times New Roman" w:hAnsi="Times New Roman"/>
          <w:sz w:val="24"/>
          <w:szCs w:val="24"/>
        </w:rPr>
        <w:t>4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6B1325" w:rsidRPr="006B1325" w:rsidRDefault="006B1325" w:rsidP="006B1325">
      <w:pPr>
        <w:widowControl w:val="0"/>
        <w:suppressAutoHyphens/>
        <w:spacing w:after="0" w:line="240" w:lineRule="auto"/>
        <w:ind w:left="8496" w:hanging="8496"/>
        <w:jc w:val="center"/>
        <w:rPr>
          <w:rFonts w:ascii="Times New Roman" w:hAnsi="Times New Roman"/>
          <w:b/>
          <w:sz w:val="28"/>
          <w:szCs w:val="28"/>
        </w:rPr>
      </w:pPr>
      <w:r w:rsidRPr="006B132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«Информационное общество»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F62D70" w:rsidRPr="006004A1" w:rsidTr="00947DC3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62D70" w:rsidRPr="006004A1" w:rsidRDefault="00F62D70" w:rsidP="00947DC3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D70" w:rsidRPr="006004A1" w:rsidRDefault="00F62D70" w:rsidP="00F62D70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D70" w:rsidRPr="006004A1" w:rsidTr="00947DC3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F62D70" w:rsidRPr="006004A1" w:rsidTr="00947DC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62D70" w:rsidRPr="006004A1" w:rsidTr="00947DC3"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F62D70" w:rsidRPr="006004A1" w:rsidTr="00947DC3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41467,3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Основное мероприятие №1</w:t>
            </w:r>
            <w:r w:rsidRPr="00C30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20100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20100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2D70" w:rsidRPr="00C30EAF" w:rsidRDefault="00F62D70" w:rsidP="00F62D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34ECC" w:rsidRDefault="00085CB4" w:rsidP="00085CB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bookmarkStart w:id="7" w:name="_GoBack"/>
      <w:bookmarkEnd w:id="7"/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085CB4" w:rsidRDefault="00085CB4" w:rsidP="00085CB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BE1356" w:rsidRDefault="004F629F" w:rsidP="004F629F">
      <w:pPr>
        <w:rPr>
          <w:strike/>
          <w:color w:val="FF0000"/>
        </w:rPr>
      </w:pPr>
    </w:p>
    <w:sectPr w:rsidR="004F629F" w:rsidRPr="00BE135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66BC"/>
    <w:rsid w:val="0003766A"/>
    <w:rsid w:val="00082755"/>
    <w:rsid w:val="00085CB4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A13EA"/>
    <w:rsid w:val="004B5E05"/>
    <w:rsid w:val="004F18D8"/>
    <w:rsid w:val="004F629F"/>
    <w:rsid w:val="00503AC1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770D7"/>
    <w:rsid w:val="00680020"/>
    <w:rsid w:val="00684939"/>
    <w:rsid w:val="006B1325"/>
    <w:rsid w:val="006B62EF"/>
    <w:rsid w:val="006D48E4"/>
    <w:rsid w:val="00702D08"/>
    <w:rsid w:val="00712670"/>
    <w:rsid w:val="00736D5C"/>
    <w:rsid w:val="007702A1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4727A"/>
    <w:rsid w:val="00A5789F"/>
    <w:rsid w:val="00A74EC4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2D70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24785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8939-B3FA-46F0-AAAF-3EE35445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martus</cp:lastModifiedBy>
  <cp:revision>76</cp:revision>
  <dcterms:created xsi:type="dcterms:W3CDTF">2017-07-19T12:27:00Z</dcterms:created>
  <dcterms:modified xsi:type="dcterms:W3CDTF">2022-12-27T14:41:00Z</dcterms:modified>
</cp:coreProperties>
</file>