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17" w:rsidRPr="001A095A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6C112E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1858, с изменениями и дополнениями от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27 февраля, 29 апреля, 23 июня, 27 августа, 30 октября, 14 декабря, 29 декабря 2015 г,20 февраля,20 апреля 2016г,23 июня 2016г,02 сентября 2016 г.,24 ноября 2016г,20 февраля</w:t>
      </w:r>
      <w:proofErr w:type="gramEnd"/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Pr="006C112E">
        <w:rPr>
          <w:rFonts w:ascii="Times New Roman" w:hAnsi="Times New Roman" w:cs="Times New Roman"/>
          <w:color w:val="26282F"/>
          <w:sz w:val="28"/>
          <w:szCs w:val="28"/>
        </w:rPr>
        <w:t>2017г,20 апреля 2017г,22 июня 2017г,21 августа 2017г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>, 24 октября 2017</w:t>
      </w:r>
      <w:r w:rsidR="002819A0" w:rsidRPr="006C112E">
        <w:rPr>
          <w:rFonts w:ascii="Times New Roman" w:hAnsi="Times New Roman" w:cs="Times New Roman"/>
          <w:color w:val="26282F"/>
          <w:sz w:val="28"/>
          <w:szCs w:val="28"/>
        </w:rPr>
        <w:t>,22 ноября 2017 года</w:t>
      </w:r>
      <w:r w:rsidR="00B76494" w:rsidRPr="006C112E">
        <w:rPr>
          <w:rFonts w:ascii="Times New Roman" w:hAnsi="Times New Roman" w:cs="Times New Roman"/>
          <w:color w:val="26282F"/>
          <w:sz w:val="28"/>
          <w:szCs w:val="28"/>
        </w:rPr>
        <w:t>,13 декабря 2017г.</w:t>
      </w:r>
      <w:r w:rsidR="005E6532" w:rsidRPr="006C112E">
        <w:rPr>
          <w:rFonts w:ascii="Times New Roman" w:hAnsi="Times New Roman" w:cs="Times New Roman"/>
          <w:color w:val="26282F"/>
          <w:sz w:val="28"/>
          <w:szCs w:val="28"/>
        </w:rPr>
        <w:t>,19 февраля 2018г</w:t>
      </w:r>
      <w:r w:rsidR="00A8282D" w:rsidRPr="006C112E">
        <w:rPr>
          <w:rFonts w:ascii="Times New Roman" w:hAnsi="Times New Roman" w:cs="Times New Roman"/>
          <w:color w:val="26282F"/>
          <w:sz w:val="28"/>
          <w:szCs w:val="28"/>
        </w:rPr>
        <w:t>,12 апреля 2018г,24 мая 2018г</w:t>
      </w:r>
      <w:r w:rsidR="003F5BAC" w:rsidRPr="006C112E">
        <w:rPr>
          <w:rFonts w:ascii="Times New Roman" w:hAnsi="Times New Roman" w:cs="Times New Roman"/>
          <w:color w:val="26282F"/>
          <w:sz w:val="28"/>
          <w:szCs w:val="28"/>
        </w:rPr>
        <w:t>,21 июня 2018 года</w:t>
      </w:r>
      <w:r w:rsidR="006C112E" w:rsidRPr="006C112E">
        <w:rPr>
          <w:rFonts w:ascii="Times New Roman" w:hAnsi="Times New Roman" w:cs="Times New Roman"/>
          <w:color w:val="26282F"/>
          <w:sz w:val="28"/>
          <w:szCs w:val="28"/>
        </w:rPr>
        <w:t>,</w:t>
      </w:r>
      <w:r w:rsidR="00C2481A">
        <w:rPr>
          <w:rFonts w:ascii="Times New Roman" w:hAnsi="Times New Roman" w:cs="Times New Roman"/>
          <w:color w:val="26282F"/>
          <w:sz w:val="28"/>
          <w:szCs w:val="28"/>
        </w:rPr>
        <w:t>13 августа 2018года</w:t>
      </w:r>
      <w:r w:rsidR="00C33721">
        <w:rPr>
          <w:rFonts w:ascii="Times New Roman" w:hAnsi="Times New Roman" w:cs="Times New Roman"/>
          <w:color w:val="26282F"/>
          <w:sz w:val="28"/>
          <w:szCs w:val="28"/>
        </w:rPr>
        <w:t>,26 сентября 2018 года</w:t>
      </w:r>
      <w:r w:rsidR="00AE2F8C">
        <w:rPr>
          <w:rFonts w:ascii="Times New Roman" w:hAnsi="Times New Roman" w:cs="Times New Roman"/>
          <w:color w:val="26282F"/>
          <w:sz w:val="28"/>
          <w:szCs w:val="28"/>
        </w:rPr>
        <w:t>,16 октября  2018 года</w:t>
      </w:r>
      <w:r w:rsidR="00391A1D">
        <w:rPr>
          <w:rFonts w:ascii="Times New Roman" w:hAnsi="Times New Roman" w:cs="Times New Roman"/>
          <w:color w:val="26282F"/>
          <w:sz w:val="28"/>
          <w:szCs w:val="28"/>
        </w:rPr>
        <w:t>,21 ноября 2018</w:t>
      </w:r>
      <w:r w:rsidR="004501AB">
        <w:rPr>
          <w:rFonts w:ascii="Times New Roman" w:hAnsi="Times New Roman" w:cs="Times New Roman"/>
          <w:color w:val="26282F"/>
          <w:sz w:val="28"/>
          <w:szCs w:val="28"/>
        </w:rPr>
        <w:t>года,05 декабря 2018 года</w:t>
      </w:r>
      <w:r w:rsidR="00D32A49">
        <w:rPr>
          <w:rFonts w:ascii="Times New Roman" w:hAnsi="Times New Roman" w:cs="Times New Roman"/>
          <w:color w:val="26282F"/>
          <w:sz w:val="28"/>
          <w:szCs w:val="28"/>
        </w:rPr>
        <w:t>,25 декабря 2018 года, 19 апреля 2019 года</w:t>
      </w:r>
      <w:r w:rsidR="009D0BA8">
        <w:rPr>
          <w:rFonts w:ascii="Times New Roman" w:hAnsi="Times New Roman" w:cs="Times New Roman"/>
          <w:color w:val="26282F"/>
          <w:sz w:val="28"/>
          <w:szCs w:val="28"/>
        </w:rPr>
        <w:t>, 12 декабря</w:t>
      </w:r>
      <w:proofErr w:type="gramEnd"/>
      <w:r w:rsidR="009D0BA8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="009D0BA8">
        <w:rPr>
          <w:rFonts w:ascii="Times New Roman" w:hAnsi="Times New Roman" w:cs="Times New Roman"/>
          <w:color w:val="26282F"/>
          <w:sz w:val="28"/>
          <w:szCs w:val="28"/>
        </w:rPr>
        <w:t>2019года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)</w:t>
      </w:r>
      <w:proofErr w:type="gramEnd"/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6177"/>
      </w:tblGrid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CD7048" w:rsidRDefault="00CD704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D7048">
              <w:rPr>
                <w:rFonts w:ascii="Times New Roman" w:hAnsi="Times New Roman"/>
                <w:color w:val="00B050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DD2717" w:rsidRPr="006C112E" w:rsidRDefault="00DD2717" w:rsidP="00A7379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DD2717" w:rsidRPr="006C112E" w:rsidRDefault="0039653A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  <w:r w:rsidR="00DD2717" w:rsidRPr="006C11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жителей, охваченных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вакцинацией;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заболеваний на ранних стадиях развития;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9D0BA8" w:rsidRDefault="009D0BA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</w:p>
          <w:p w:rsidR="009D0BA8" w:rsidRDefault="009D0BA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 программы</w:t>
            </w:r>
          </w:p>
          <w:p w:rsidR="009D0BA8" w:rsidRDefault="009D0BA8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604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6"/>
          </w:p>
          <w:p w:rsidR="00CD7048" w:rsidRDefault="00CD7048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48" w:rsidRPr="00CD7048" w:rsidRDefault="00CD7048" w:rsidP="00CD7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CD7048" w:rsidRPr="00CD7048" w:rsidRDefault="00CD7048" w:rsidP="00CD7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финансирования </w:t>
            </w:r>
            <w:proofErr w:type="gramStart"/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муниципальной</w:t>
            </w:r>
            <w:proofErr w:type="gramEnd"/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CD7048" w:rsidRPr="00CD7048" w:rsidRDefault="00CD7048" w:rsidP="00CD7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программы, в том </w:t>
            </w:r>
          </w:p>
          <w:p w:rsidR="00DD2717" w:rsidRPr="006C112E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числе</w:t>
            </w:r>
            <w:proofErr w:type="gramEnd"/>
            <w:r w:rsidRPr="00CD70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на финансовое обеспечение проектов и (или) программ</w:t>
            </w:r>
            <w:r w:rsidRPr="00CD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BA8" w:rsidRPr="00CD704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Проекты и (или) программы</w:t>
            </w:r>
          </w:p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BA8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Default="00CD704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4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Срок реализации муниципальной программы: 2015-2024 годы</w:t>
            </w:r>
            <w:r w:rsidRPr="00CD70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D0BA8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- 2015 - 2019</w:t>
            </w:r>
            <w:r w:rsidR="00DD2717"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D0BA8" w:rsidRPr="006C112E" w:rsidRDefault="009D0BA8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- 2019 - 2024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34F43" w:rsidRPr="005E6E9F" w:rsidRDefault="004501AB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</w:t>
            </w:r>
            <w:proofErr w:type="gramStart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составляет</w:t>
            </w:r>
            <w:proofErr w:type="gramEnd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BA8">
              <w:rPr>
                <w:rFonts w:ascii="Times New Roman" w:hAnsi="Times New Roman" w:cs="Times New Roman"/>
                <w:bCs/>
                <w:sz w:val="28"/>
                <w:szCs w:val="28"/>
              </w:rPr>
              <w:t>3 295 5</w:t>
            </w:r>
            <w:r w:rsidR="00D32A49">
              <w:rPr>
                <w:rFonts w:ascii="Times New Roman" w:hAnsi="Times New Roman" w:cs="Times New Roman"/>
                <w:bCs/>
                <w:sz w:val="28"/>
                <w:szCs w:val="28"/>
              </w:rPr>
              <w:t>15,3</w:t>
            </w:r>
            <w:r w:rsidR="00234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4F43" w:rsidRPr="005E6E9F">
              <w:rPr>
                <w:b/>
                <w:bCs/>
                <w:sz w:val="24"/>
                <w:szCs w:val="24"/>
              </w:rPr>
              <w:t xml:space="preserve"> 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</w:p>
          <w:p w:rsidR="009D0BA8" w:rsidRPr="005E6E9F" w:rsidRDefault="009D0BA8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0BA8" w:rsidRDefault="009D0BA8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6106,2 тыс. руб.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483 614,5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7 360,0 тыс. руб., в том числе: </w:t>
            </w:r>
          </w:p>
          <w:p w:rsidR="00234F43" w:rsidRPr="005E6E9F" w:rsidRDefault="009D0BA8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источников </w:t>
            </w:r>
          </w:p>
          <w:p w:rsidR="009D0BA8" w:rsidRPr="005E6E9F" w:rsidRDefault="00234F43" w:rsidP="009D0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2 798 534,6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Pr="006C112E" w:rsidRDefault="00DD2717" w:rsidP="0039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17" w:rsidRPr="006C112E" w:rsidRDefault="00DD2717" w:rsidP="00193940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целях обеспечения устойчивого социально-экономического развития Кавказского района, одним из приоритетов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6C112E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6C112E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Структурными подразделениями МБУЗ "Центральная районная больница"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6C112E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6C112E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6C112E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</w:t>
      </w:r>
      <w:r w:rsidR="0084409A">
        <w:rPr>
          <w:rFonts w:ascii="Times New Roman" w:hAnsi="Times New Roman" w:cs="Times New Roman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>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2021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6C112E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6C112E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Показатели по укомплектованности средним медицинским персоналом в сравнении со средним показателем по муниципальным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образованиям (69,7 процента) в Кавказском районе укомплектованность составляет 91,0 процент.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7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C01D6"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D2717" w:rsidRPr="006C112E" w:rsidRDefault="00DD2717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16"/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6C112E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hAnsi="Times New Roman" w:cs="Times New Roman"/>
          <w:color w:val="26282F"/>
          <w:sz w:val="28"/>
          <w:szCs w:val="28"/>
          <w:lang w:eastAsia="en-US"/>
        </w:rPr>
        <w:lastRenderedPageBreak/>
        <w:t>«</w:t>
      </w: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формирование ежегодных планов реализации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DD2717" w:rsidRPr="006C112E" w:rsidRDefault="00DD2717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780"/>
      <w:r w:rsidRPr="006C112E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муниципальной программы</w:t>
      </w:r>
    </w:p>
    <w:bookmarkEnd w:id="20"/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ind w:firstLine="851"/>
        <w:jc w:val="both"/>
        <w:rPr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«Развитие здравоохранения» рассчитывается в соответствии с приложением № 7 </w:t>
      </w:r>
      <w:r w:rsidRPr="006C112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proofErr w:type="gramEnd"/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9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21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01"/>
      <w:r w:rsidRPr="006C112E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22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02"/>
      <w:r w:rsidRPr="006C112E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3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 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DD2717" w:rsidRPr="006C112E" w:rsidRDefault="00DD2717" w:rsidP="00596FC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ожидаемый) результат) реализации мероприятий);</w:t>
      </w:r>
    </w:p>
    <w:p w:rsidR="00DD2717" w:rsidRPr="006C112E" w:rsidRDefault="00DD2717" w:rsidP="00596FC6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9.5.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DD2717" w:rsidRPr="006C112E" w:rsidRDefault="00DD2717" w:rsidP="00596FC6">
      <w:pPr>
        <w:pStyle w:val="11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07"/>
      <w:r w:rsidRPr="006C112E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08"/>
      <w:bookmarkEnd w:id="24"/>
      <w:r w:rsidRPr="006C112E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09"/>
      <w:bookmarkEnd w:id="25"/>
      <w:r w:rsidRPr="006C112E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26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0"/>
      <w:r w:rsidRPr="006C112E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11"/>
      <w:bookmarkEnd w:id="27"/>
      <w:r w:rsidRPr="006C112E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28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 xml:space="preserve">- заключает муниципальные контракты в установленном законодательством порядке на основании положений </w:t>
      </w:r>
      <w:hyperlink r:id="rId8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12"/>
      <w:r w:rsidRPr="006C112E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9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29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10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13"/>
      <w:r w:rsidRPr="006C112E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30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41"/>
        <w:gridCol w:w="3139"/>
      </w:tblGrid>
      <w:tr w:rsidR="00DD2717" w:rsidRPr="006C11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DD2717" w:rsidRPr="006C112E" w:rsidRDefault="00DD2717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9"/>
        <w:gridCol w:w="6045"/>
        <w:gridCol w:w="69"/>
        <w:gridCol w:w="1206"/>
        <w:gridCol w:w="70"/>
        <w:gridCol w:w="639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850"/>
      </w:tblGrid>
      <w:tr w:rsidR="00FE4E96" w:rsidRPr="00CC16AB">
        <w:trPr>
          <w:trHeight w:val="386"/>
          <w:tblHeader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Ста-</w:t>
            </w:r>
            <w:proofErr w:type="spell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CC16AB">
        <w:trPr>
          <w:trHeight w:val="517"/>
          <w:tblHeader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FE4E96" w:rsidRPr="00CC16AB">
        <w:trPr>
          <w:trHeight w:val="54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 1тыс.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во прививок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33058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</w:t>
            </w:r>
            <w:proofErr w:type="spellEnd"/>
            <w:proofErr w:type="gram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сахаропонижающие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31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подведомственных отделу здравоохранения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FE4E96" w:rsidRPr="00CC16AB">
        <w:trPr>
          <w:trHeight w:val="1158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6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11"/>
              <w:spacing w:after="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7 "Создание благоприятных условий,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укомплектованности врачебными кадрами и недопущение оттока врачебных кадров из муниципальных бюджетных учреждений здравоохранения муниципального образования Кавказский район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жилых помещений в муниципальную собственность муниципального образования Кавказский район, для последующего предоставления их в качестве служебного 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FE4E96" w:rsidRPr="00CC16AB">
        <w:trPr>
          <w:trHeight w:val="9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целевой показатель определяется на основе данных муниципального статистического наблюдения, присваивается статус «1» с </w:t>
      </w: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указанием в сноске срока представления статистической информации;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9F5510">
      <w:pPr>
        <w:spacing w:line="228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                                                к муниципальной программе муниципального образования Кавказский район « Развитие здравоохранения»,       Утвержденной постановлением администрации муниципального образования Кавказский район от 27.11.2014 № 1858 </w:t>
      </w:r>
    </w:p>
    <w:p w:rsidR="006C112E" w:rsidRPr="006C112E" w:rsidRDefault="006C112E" w:rsidP="006C112E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________________________№_________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52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2840"/>
        <w:gridCol w:w="1280"/>
        <w:gridCol w:w="1568"/>
        <w:gridCol w:w="1180"/>
        <w:gridCol w:w="132"/>
        <w:gridCol w:w="960"/>
        <w:gridCol w:w="1110"/>
        <w:gridCol w:w="1448"/>
        <w:gridCol w:w="2352"/>
        <w:gridCol w:w="1660"/>
      </w:tblGrid>
      <w:tr w:rsidR="00234F43" w:rsidRPr="00AB0AF3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234F43" w:rsidRPr="00AB0AF3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F43" w:rsidRPr="00CC1C2D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3 035 837,8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237 303,2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691 527,8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48 666,9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642 860,9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709 030,1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56 630,4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652 399,7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735 527,5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61 171,7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674 355,8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899 752,4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70 834,2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828 918,2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20 024,8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21 186,4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21 186,4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3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22 804,3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22 804,3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30 679,4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30 679,4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5 067,8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5 067,8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4 161,0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591 217,0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591 217,0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597 411,5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597 411,5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633 358,4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633 358,4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778 757,5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778 757,5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51 643,9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54 988,2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54 988,2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40 997,4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40 997,4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50 160,7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50 160,7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91 567,5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85 461,3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19 593,5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13 487,3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822,2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109 188,0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108 528,9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обслуживание учреждений здравоохранения  по бухгалтерскому учету, эффективное управление сферой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здравоохранения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район; МКУ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"ЦБЗ"</w:t>
            </w: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30 004,8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29 224,9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29 865,2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29 541,6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19 981,4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19 757,6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27 360,7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27 360,7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деятельности отдела здравоохранения администрации муниципального образования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1 239,4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5 632,0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1 478,7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1 404,7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716,2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1 141,1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2 370,0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"Создание благоприятных условий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7.1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"Приобретение жилых помещений в муниципальную собственность муниципального образования Кавказский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последующего предоставления их в качестве служебного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3 259 437,1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448 437,2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6 359,1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744 921,4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95 880,3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642 860,9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762 635,7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110 198,3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652 399,7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792 282,3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115 702,9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2 223,6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674 355,8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959 597,7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126 655,7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828 918,2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F43" w:rsidRPr="00CC1C2D" w:rsidRDefault="00234F43" w:rsidP="00234F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12E" w:rsidRPr="006C112E" w:rsidRDefault="006C112E" w:rsidP="006C112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 xml:space="preserve">       С.В. Филатова</w:t>
      </w:r>
    </w:p>
    <w:p w:rsidR="00396CF1" w:rsidRPr="006C112E" w:rsidRDefault="00396CF1" w:rsidP="00396C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3F" w:rsidRPr="006C112E" w:rsidRDefault="00F8203F" w:rsidP="00F8203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муниципального образования Кавказский район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A61EB" w:rsidRPr="00AB0AF3" w:rsidRDefault="003A61EB" w:rsidP="003A61EB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980"/>
        <w:gridCol w:w="5440"/>
        <w:gridCol w:w="1060"/>
        <w:gridCol w:w="1720"/>
        <w:gridCol w:w="1520"/>
        <w:gridCol w:w="1300"/>
        <w:gridCol w:w="1360"/>
        <w:gridCol w:w="1360"/>
      </w:tblGrid>
      <w:tr w:rsidR="00886103" w:rsidRPr="00886103" w:rsidTr="00886103">
        <w:trPr>
          <w:trHeight w:val="818"/>
        </w:trPr>
        <w:tc>
          <w:tcPr>
            <w:tcW w:w="14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 ресурсного обеспечения  муниципальной программы   муниципального образования Кавказский район «Развитие здравоохранения»</w:t>
            </w:r>
          </w:p>
        </w:tc>
      </w:tr>
      <w:tr w:rsidR="00886103" w:rsidRPr="00886103" w:rsidTr="00886103">
        <w:trPr>
          <w:trHeight w:val="94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финанси-рования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по источникам финансирования</w:t>
            </w:r>
          </w:p>
        </w:tc>
      </w:tr>
      <w:tr w:rsidR="00886103" w:rsidRPr="00886103" w:rsidTr="00886103">
        <w:trPr>
          <w:trHeight w:val="9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86103" w:rsidRPr="00886103" w:rsidTr="00886103">
        <w:trPr>
          <w:trHeight w:val="48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№ 1. «Организация оказания медицинской помощи»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3 035 837,8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237 303,2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2 798 534,6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691 527,8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48 666,9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642 860,9</w:t>
            </w:r>
          </w:p>
        </w:tc>
      </w:tr>
      <w:tr w:rsidR="00886103" w:rsidRPr="00886103" w:rsidTr="00886103">
        <w:trPr>
          <w:trHeight w:val="6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709 030,1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56 630,4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652 399,7</w:t>
            </w:r>
          </w:p>
        </w:tc>
      </w:tr>
      <w:tr w:rsidR="00886103" w:rsidRPr="00886103" w:rsidTr="00886103">
        <w:trPr>
          <w:trHeight w:val="49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735 527,5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61 171,7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674 355,8</w:t>
            </w:r>
          </w:p>
        </w:tc>
      </w:tr>
      <w:tr w:rsidR="00886103" w:rsidRPr="00886103" w:rsidTr="00886103">
        <w:trPr>
          <w:trHeight w:val="5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899 752,4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70 834,2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828 918,2</w:t>
            </w:r>
          </w:p>
        </w:tc>
      </w:tr>
      <w:tr w:rsidR="00886103" w:rsidRPr="00886103" w:rsidTr="00886103">
        <w:trPr>
          <w:trHeight w:val="5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 № 2.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таблетированныесахаро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-понижающие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иммунодепресанты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91 567,5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85 461,3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51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13 487,3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589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20 758,8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20 758,8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552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20 008,8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31 206,4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31 206,4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4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№ 3.  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2 877,6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730,8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 4.   «Предоставление мер социальной поддержки жертвам политических репрессий, труженикам тыла, </w:t>
            </w:r>
            <w:proofErr w:type="spellStart"/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-ранам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труда, ветеранам военной службы, достигшим возраста, даю-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 на пенсию 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старости, в бесплатном изготовлении и ремонте зубных протезов (кроме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-ленных из драгоценных металлов) в сложных клинических случаях </w:t>
            </w:r>
            <w:proofErr w:type="spell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</w:t>
            </w:r>
            <w:proofErr w:type="spell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-протезирования  в учреждениях здравоохранения Кавказского района»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14 266,2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14 266,2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2 899,1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4 218,0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443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№ 5. «Прочие мероприятия в области здравоохранения» всего, 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109 188,0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108 528,9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30 078,8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30 004,8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29 262,6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29 224,9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29 865,2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29 541,6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19 981,4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19 757,6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6."Меры социальной поддержки о предоставлении компенсационных выплат на возмещение расходов по оплате жилья, отопления, освещения отдельным категориям граждан, работающим и проживающим в сельских населенных 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 Кавказский район"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7.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"Создание благоприятных условий</w:t>
            </w:r>
            <w:proofErr w:type="gramStart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3 259 437,1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448 437,2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6 359,1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2 798 534,6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744 921,4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95 880,3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642 860,9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762 635,7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110 198,3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652 399,7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792 282,3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115 702,9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2 223,6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674 355,8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959 597,7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126 655,7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4 023,8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828 918,2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ПОДПРОГОРАММА "АМБУЛАТОРНО-ПОЛИКЛИНИЧЕСКАЯ ПОМОЩЬ"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36 078,2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35 177,3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900,9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9 097,8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3 295 515,3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483 614,5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2 798 534,6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745 081,1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642 860,9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762 947,1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110 198,3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652 399,7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801 380,1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124 502,9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674 355,8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969 407,0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828 918,2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6103" w:rsidRPr="00886103" w:rsidTr="00886103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6103" w:rsidRPr="00886103" w:rsidTr="00886103">
        <w:trPr>
          <w:trHeight w:val="912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103" w:rsidRPr="00886103" w:rsidRDefault="00886103" w:rsidP="00886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r w:rsidRPr="0088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Кавказский район                                                                                                                                                                                      Е.В.Неупокоева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61EB" w:rsidRPr="00AB0AF3" w:rsidRDefault="003A61EB" w:rsidP="003A61E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86103" w:rsidRDefault="0088610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886103" w:rsidRPr="006C112E" w:rsidRDefault="00886103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B76494" w:rsidRPr="006C112E" w:rsidRDefault="00B7649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2235"/>
        <w:gridCol w:w="2693"/>
        <w:gridCol w:w="3402"/>
      </w:tblGrid>
      <w:tr w:rsidR="00DD2717" w:rsidRPr="006C112E"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DD2717" w:rsidRPr="006C112E"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rPr>
          <w:trHeight w:val="415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rPr>
          <w:trHeight w:val="278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rPr>
          <w:trHeight w:val="33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5.Скорая медицинская помощь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1800"/>
        <w:gridCol w:w="1800"/>
        <w:gridCol w:w="2520"/>
        <w:gridCol w:w="2806"/>
      </w:tblGrid>
      <w:tr w:rsidR="00DD2717" w:rsidRPr="006C112E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DD2717" w:rsidRPr="006C112E"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DD2717" w:rsidRPr="006C112E">
        <w:trPr>
          <w:trHeight w:val="67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DD2717" w:rsidRPr="006C112E" w:rsidRDefault="00DD2717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pStyle w:val="11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208A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DD2717" w:rsidRPr="006C112E">
        <w:tc>
          <w:tcPr>
            <w:tcW w:w="14709" w:type="dxa"/>
            <w:gridSpan w:val="17"/>
          </w:tcPr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</w:t>
            </w:r>
            <w:proofErr w:type="gramEnd"/>
            <w:r w:rsidRPr="006C112E">
              <w:rPr>
                <w:rFonts w:ascii="Times New Roman" w:hAnsi="Times New Roman" w:cs="Times New Roman"/>
              </w:rPr>
              <w:t>/п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112E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6C112E">
                <w:rPr>
                  <w:rStyle w:val="a6"/>
                  <w:rFonts w:ascii="Times New Roman" w:hAnsi="Times New Roman"/>
                  <w:vertAlign w:val="superscript"/>
                </w:rPr>
                <w:t>2</w:t>
              </w:r>
            </w:hyperlink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12E">
              <w:rPr>
                <w:rFonts w:ascii="Times New Roman" w:hAnsi="Times New Roman" w:cs="Times New Roman"/>
              </w:rPr>
              <w:t>Ответственныйза</w:t>
            </w:r>
            <w:proofErr w:type="spellEnd"/>
            <w:r w:rsidRPr="006C112E"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6C112E">
              <w:rPr>
                <w:rFonts w:ascii="Times New Roman" w:hAnsi="Times New Roman" w:cs="Times New Roman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</w:rPr>
              <w:t>ублей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IV кв.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6C112E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6C112E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717" w:rsidRPr="006C112E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1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31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F54B9" w:rsidRPr="009F54B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подпрограммы 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72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FC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Отдел здравоохранения администрации муниципального образования Кавказский район 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FE0ECF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муниципальной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86103" w:rsidRDefault="00886103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73"/>
          </w:p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886103" w:rsidRDefault="00886103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17" w:rsidRPr="006C112E" w:rsidRDefault="00B27878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4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Срок реализации </w:t>
            </w:r>
            <w:r w:rsidR="009F54B9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под</w:t>
            </w:r>
            <w:r w:rsidRPr="00CD704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программы: 2015-2024 годы</w:t>
            </w:r>
            <w:r w:rsidRPr="00CD704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86103">
              <w:rPr>
                <w:rFonts w:ascii="Times New Roman" w:hAnsi="Times New Roman" w:cs="Times New Roman"/>
                <w:sz w:val="28"/>
                <w:szCs w:val="28"/>
              </w:rPr>
              <w:t xml:space="preserve"> этап - 2015 - 2019</w:t>
            </w:r>
            <w:r w:rsidR="00DD2717" w:rsidRPr="006C112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886103" w:rsidRPr="006C112E" w:rsidRDefault="00886103" w:rsidP="00886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- 2019 - 2024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DD2717" w:rsidRPr="006C112E" w:rsidRDefault="00DD2717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27878" w:rsidRPr="00FE0ECF" w:rsidRDefault="00B27878" w:rsidP="00B2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E0EC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Объемы и источники </w:t>
            </w:r>
          </w:p>
          <w:p w:rsidR="00B27878" w:rsidRPr="00FE0ECF" w:rsidRDefault="00B27878" w:rsidP="00B2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FE0EC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финансирования подпрограммы, в том </w:t>
            </w:r>
          </w:p>
          <w:p w:rsidR="00DD2717" w:rsidRPr="006C112E" w:rsidRDefault="00B27878" w:rsidP="00B2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EC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числе</w:t>
            </w:r>
            <w:proofErr w:type="gramEnd"/>
            <w:r w:rsidRPr="00FE0EC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Общий предельный объем финансирования составляет </w:t>
            </w:r>
            <w:r w:rsidR="00AE752C"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78,2 тыс. руб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E4E96" w:rsidRPr="00DF498E" w:rsidRDefault="000B5B81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</w:t>
            </w:r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>е за счет сре</w:t>
            </w:r>
            <w:proofErr w:type="gramStart"/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30 9</w:t>
            </w:r>
            <w:r w:rsidR="00FE4E96" w:rsidRPr="00DF498E">
              <w:rPr>
                <w:rFonts w:ascii="Times New Roman" w:hAnsi="Times New Roman" w:cs="Times New Roman"/>
                <w:sz w:val="28"/>
                <w:szCs w:val="28"/>
              </w:rPr>
              <w:t>77,3 тыс. руб., из них по годам: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1000,9 тыс. руб., из них по годам:</w:t>
            </w:r>
          </w:p>
          <w:p w:rsidR="00DD2717" w:rsidRPr="006C112E" w:rsidRDefault="00DD2717" w:rsidP="00F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4" w:name="sub_1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34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национального богатства как Кавказского района, так Кубани и России в целом.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недостаточное развитие стационар замещающих технологий;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активности, злоупотребления алкоголем, употребления наркотиков и токсических веще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реформировании системы первичной медико-санитарной помощи населению планируется: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DD2717" w:rsidRPr="006C112E" w:rsidRDefault="00DD2717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2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5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целевые показатели подпрограммы отражены в </w:t>
      </w:r>
      <w:hyperlink w:anchor="sub_171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sub_310"/>
      <w:r w:rsidRPr="006C112E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36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7" w:name="sub_5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7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  <w:bookmarkStart w:id="38" w:name="_GoBack"/>
      <w:bookmarkEnd w:id="38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FE4E96" w:rsidRPr="006C112E" w:rsidRDefault="00FE4E96" w:rsidP="00FE4E96">
      <w:pPr>
        <w:pStyle w:val="1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FE4E96" w:rsidRPr="006C11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1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Ста-</w:t>
            </w:r>
            <w:proofErr w:type="spellStart"/>
            <w:r w:rsidRPr="006C112E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6C112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E4E96" w:rsidRPr="006C112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11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C112E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6C112E">
        <w:trPr>
          <w:trHeight w:val="3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4E96" w:rsidRPr="006C112E" w:rsidRDefault="00FE4E96" w:rsidP="00FE4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7D00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819A0" w:rsidRPr="006C112E" w:rsidRDefault="002819A0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819A0" w:rsidRPr="006C112E" w:rsidRDefault="002819A0" w:rsidP="002819A0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C112E" w:rsidRPr="006C112E" w:rsidRDefault="006C112E" w:rsidP="006C112E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973"/>
        <w:gridCol w:w="866"/>
        <w:gridCol w:w="1419"/>
        <w:gridCol w:w="996"/>
        <w:gridCol w:w="1017"/>
        <w:gridCol w:w="1030"/>
        <w:gridCol w:w="1104"/>
        <w:gridCol w:w="1762"/>
        <w:gridCol w:w="1887"/>
        <w:gridCol w:w="1701"/>
      </w:tblGrid>
      <w:tr w:rsidR="000B5B81" w:rsidRPr="000B5B81" w:rsidTr="000B5B81">
        <w:trPr>
          <w:trHeight w:val="79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«Амбулаторно-поликлиническая медицинская помощь» муниципальной программы  </w:t>
            </w:r>
            <w:r w:rsidRPr="000B5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Кавказский район «Развитие здравоохранения»</w:t>
            </w: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73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B5B81" w:rsidRPr="000B5B81" w:rsidTr="000B5B81">
        <w:trPr>
          <w:trHeight w:val="69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12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B5B81" w:rsidRPr="000B5B81" w:rsidTr="000B5B81">
        <w:trPr>
          <w:trHeight w:val="31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B5B81" w:rsidRPr="000B5B81" w:rsidTr="000B5B81">
        <w:trPr>
          <w:trHeight w:val="30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Задача: Увеличение зданий офисов  врачей общей практики</w:t>
            </w: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 Строительство зданий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врача общей практики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 образования Кавказский район</w:t>
            </w: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1.1 Проектирование зданий врача общей практики (ВОП)   в х.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1.2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троительство</w:t>
            </w:r>
            <w:proofErr w:type="spell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технологическое присоединение к инженерным сетям, оформление приемо-сдаточной документации по объекту: Здание врача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общей практики (ВОП)   в х.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1.3 Строительство, технологическое присоединение к инженерным сетям, оформление приемо-сдаточной документации по объекту: «Здание врача общей практики (ВОП)   в г. Кропоткине (Проезд 2, 2а)»      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1.4 Инженерные изыскания, проектирование объекта: «Здание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амбулатрии</w:t>
            </w:r>
            <w:proofErr w:type="spell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врача общей практики  в х.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1.5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Строительство объекта: «Здание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амбулатрии</w:t>
            </w:r>
            <w:proofErr w:type="spell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врача общей практики  в х. </w:t>
            </w:r>
            <w:proofErr w:type="spell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доступности медицинской помощи по месту жительства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130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Кавказский район                                                                                                                                                         Е.В.Неупокоева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920"/>
        <w:gridCol w:w="4955"/>
        <w:gridCol w:w="1384"/>
        <w:gridCol w:w="1043"/>
        <w:gridCol w:w="1082"/>
        <w:gridCol w:w="1139"/>
        <w:gridCol w:w="1104"/>
        <w:gridCol w:w="1762"/>
      </w:tblGrid>
      <w:tr w:rsidR="000B5B81" w:rsidRPr="000B5B81" w:rsidTr="000B5B81">
        <w:trPr>
          <w:trHeight w:val="94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 ресурсного обеспечения подпрограммы    «Амбулаторно-поликлиническая медицинская помощь» муниципальной программы   муниципального образования Кавказский район «Развитие здравоохранения»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0B5B81" w:rsidRPr="000B5B81" w:rsidTr="000B5B81">
        <w:trPr>
          <w:trHeight w:val="3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основных мероприятий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 тыс. рублей</w:t>
            </w:r>
          </w:p>
        </w:tc>
      </w:tr>
      <w:tr w:rsidR="000B5B81" w:rsidRPr="000B5B81" w:rsidTr="000B5B81">
        <w:trPr>
          <w:trHeight w:val="3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0B5B81" w:rsidRPr="000B5B81" w:rsidTr="000B5B81">
        <w:trPr>
          <w:trHeight w:val="12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«Амбулаторно-поликлиническая медицинская помощь»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3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25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5B81" w:rsidRPr="000B5B81" w:rsidTr="000B5B81">
        <w:trPr>
          <w:trHeight w:val="5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B81" w:rsidRPr="000B5B81" w:rsidRDefault="000B5B81" w:rsidP="000B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B81" w:rsidRPr="000B5B81" w:rsidTr="000B5B81">
        <w:trPr>
          <w:trHeight w:val="1170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B81" w:rsidRPr="000B5B81" w:rsidRDefault="000B5B81" w:rsidP="000B5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капитального строительства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r w:rsidRPr="000B5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Кавказский район                                                                                                                                   Е.В.Неупокоева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объекте капитального строительства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«Здание амбулатория врача общей практики в х.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Привольном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>, пер. Дорожный, 4А»</w:t>
      </w: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76494" w:rsidRPr="006C112E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Информация</w:t>
            </w:r>
            <w:r w:rsidRPr="006C112E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B76494" w:rsidRPr="006C112E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" Здание амбулатория врача общей практики в х.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Привольном</w:t>
            </w:r>
            <w:proofErr w:type="gramEnd"/>
            <w:r w:rsidRPr="006C112E">
              <w:rPr>
                <w:rFonts w:ascii="Times New Roman" w:hAnsi="Times New Roman" w:cs="Times New Roman"/>
              </w:rPr>
              <w:t>, пер. Дорожный, 4А "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Здание амбулатории: площадь застройки 280,0 м</w:t>
            </w:r>
            <w:proofErr w:type="gramStart"/>
            <w:r w:rsidRPr="006C112E">
              <w:rPr>
                <w:rFonts w:ascii="Times New Roman" w:hAnsi="Times New Roman" w:cs="Times New Roman"/>
              </w:rPr>
              <w:t>2</w:t>
            </w:r>
            <w:proofErr w:type="gramEnd"/>
            <w:r w:rsidRPr="006C112E">
              <w:rPr>
                <w:rFonts w:ascii="Times New Roman" w:hAnsi="Times New Roman" w:cs="Times New Roman"/>
              </w:rPr>
              <w:t>; полезная площадь 204,6 м2; строительный объем 924 м3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Декабрь 2017 года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2021 год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76494" w:rsidRPr="006C112E" w:rsidRDefault="00B76494" w:rsidP="00B76494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17972" w:type="dxa"/>
        <w:tblInd w:w="108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B76494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38CC" w:rsidRDefault="00B76494" w:rsidP="00B76494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C112E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2819A0" w:rsidRDefault="002819A0" w:rsidP="006C11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Pr="006E2D64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образования Кавказский район</w:t>
      </w:r>
    </w:p>
    <w:p w:rsidR="002819A0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Pr="00FF5A13" w:rsidRDefault="006C112E" w:rsidP="006C112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C112E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Информация</w:t>
            </w:r>
            <w:r w:rsidRPr="00FF5A1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C112E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" Здание амбулатория врача общей практики в г. Кропоткине, ул. Проезд, 2, 2а "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Здание амбулатории: площадь застройки 187,86 м</w:t>
            </w:r>
            <w:proofErr w:type="gramStart"/>
            <w:r w:rsidRPr="00FF5A13">
              <w:rPr>
                <w:rFonts w:ascii="Times New Roman" w:hAnsi="Times New Roman" w:cs="Times New Roman"/>
              </w:rPr>
              <w:t>2</w:t>
            </w:r>
            <w:proofErr w:type="gramEnd"/>
            <w:r w:rsidRPr="00FF5A13">
              <w:rPr>
                <w:rFonts w:ascii="Times New Roman" w:hAnsi="Times New Roman" w:cs="Times New Roman"/>
              </w:rPr>
              <w:t>; строительный объем 1117,7 м3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Декабрь 2018 года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FF5A13">
              <w:rPr>
                <w:rFonts w:ascii="Times New Roman" w:hAnsi="Times New Roman" w:cs="Times New Roman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C112E" w:rsidRPr="00FF5A13" w:rsidRDefault="006C112E" w:rsidP="006C11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6C112E" w:rsidRPr="000B223C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88"/>
        <w:gridCol w:w="2384"/>
      </w:tblGrid>
      <w:tr w:rsidR="002819A0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2819A0" w:rsidRPr="006E2D64" w:rsidRDefault="002819A0" w:rsidP="00281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C38CC" w:rsidRDefault="002819A0" w:rsidP="002819A0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FE4E96" w:rsidRPr="006E2D64" w:rsidRDefault="00FE4E96" w:rsidP="00FE4E9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/>
          <w:sz w:val="24"/>
          <w:szCs w:val="24"/>
        </w:rPr>
        <w:t>Амбулаторно-поликлиническая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медицинская помощь» муниципальной программы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от 27.11.2014 № 1858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Pr="00FF5A13" w:rsidRDefault="00FE4E96" w:rsidP="00FE4E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FE4E96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Информация</w:t>
            </w:r>
            <w:r w:rsidRPr="00B943AE">
              <w:rPr>
                <w:rFonts w:ascii="Times New Roman" w:hAnsi="Times New Roman"/>
              </w:rPr>
              <w:br/>
              <w:t>об объекте капитального строительства</w:t>
            </w:r>
          </w:p>
        </w:tc>
      </w:tr>
      <w:tr w:rsidR="00FE4E96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FE4E96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Здание амбулатории</w:t>
            </w:r>
            <w:r w:rsidRPr="00FF5A13">
              <w:rPr>
                <w:rFonts w:ascii="Times New Roman" w:hAnsi="Times New Roman" w:cs="Times New Roman"/>
              </w:rPr>
              <w:t xml:space="preserve"> врача общей практики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Краснодарский край,</w:t>
            </w:r>
          </w:p>
          <w:p w:rsidR="00FE4E96" w:rsidRPr="00474E37" w:rsidRDefault="00FE4E96" w:rsidP="00FE4E96">
            <w:pPr>
              <w:jc w:val="center"/>
            </w:pPr>
            <w:r>
              <w:rPr>
                <w:rFonts w:ascii="Times New Roman" w:hAnsi="Times New Roman"/>
              </w:rPr>
              <w:t xml:space="preserve">Кавказский район, х. </w:t>
            </w:r>
            <w:proofErr w:type="spellStart"/>
            <w:r>
              <w:rPr>
                <w:rFonts w:ascii="Times New Roman" w:hAnsi="Times New Roman"/>
              </w:rPr>
              <w:t>Лосево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Революционная</w:t>
            </w:r>
            <w:proofErr w:type="gramEnd"/>
            <w:r>
              <w:rPr>
                <w:rFonts w:ascii="Times New Roman" w:hAnsi="Times New Roman"/>
              </w:rPr>
              <w:t>, 42а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  <w:r w:rsidRPr="00FF5A13">
              <w:rPr>
                <w:rFonts w:ascii="Times New Roman" w:hAnsi="Times New Roman" w:cs="Times New Roman"/>
              </w:rPr>
              <w:t> года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0B5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B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0B5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B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0B5B81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0B5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Общий (предельный) объем </w:t>
            </w:r>
            <w:r w:rsidRPr="00FF5A13">
              <w:rPr>
                <w:rFonts w:ascii="Times New Roman" w:hAnsi="Times New Roman" w:cs="Times New Roman"/>
              </w:rPr>
              <w:lastRenderedPageBreak/>
              <w:t>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AE752C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0B5B81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0B5B81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E4E96" w:rsidRPr="00FF5A13" w:rsidRDefault="00FE4E96" w:rsidP="00FE4E96">
      <w:pPr>
        <w:jc w:val="both"/>
        <w:rPr>
          <w:rFonts w:ascii="Times New Roman" w:hAnsi="Times New Roman"/>
          <w:color w:val="008000"/>
          <w:sz w:val="24"/>
          <w:szCs w:val="24"/>
        </w:rPr>
      </w:pP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tbl>
      <w:tblPr>
        <w:tblW w:w="17972" w:type="dxa"/>
        <w:tblLayout w:type="fixed"/>
        <w:tblLook w:val="0000" w:firstRow="0" w:lastRow="0" w:firstColumn="0" w:lastColumn="0" w:noHBand="0" w:noVBand="0"/>
      </w:tblPr>
      <w:tblGrid>
        <w:gridCol w:w="15588"/>
        <w:gridCol w:w="2384"/>
      </w:tblGrid>
      <w:tr w:rsidR="00FE4E96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E4E96" w:rsidRPr="006E2D64" w:rsidRDefault="00FE4E96" w:rsidP="00FE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C38CC" w:rsidRDefault="00FE4E96" w:rsidP="00FE4E96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DD2717" w:rsidRPr="00727149" w:rsidRDefault="00DD2717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717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0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93940"/>
    <w:rsid w:val="0000009E"/>
    <w:rsid w:val="000325A1"/>
    <w:rsid w:val="00045463"/>
    <w:rsid w:val="00045519"/>
    <w:rsid w:val="00071B8D"/>
    <w:rsid w:val="00074D2F"/>
    <w:rsid w:val="00085972"/>
    <w:rsid w:val="000922FF"/>
    <w:rsid w:val="000B223C"/>
    <w:rsid w:val="000B5B81"/>
    <w:rsid w:val="000D5FE8"/>
    <w:rsid w:val="000F0415"/>
    <w:rsid w:val="000F1CAA"/>
    <w:rsid w:val="001055BC"/>
    <w:rsid w:val="00140CD0"/>
    <w:rsid w:val="001505EC"/>
    <w:rsid w:val="00150667"/>
    <w:rsid w:val="0015655E"/>
    <w:rsid w:val="00175AE2"/>
    <w:rsid w:val="00176EC8"/>
    <w:rsid w:val="0018498F"/>
    <w:rsid w:val="00193940"/>
    <w:rsid w:val="001A0888"/>
    <w:rsid w:val="001A095A"/>
    <w:rsid w:val="001B2929"/>
    <w:rsid w:val="001B5262"/>
    <w:rsid w:val="001C77E9"/>
    <w:rsid w:val="001D174D"/>
    <w:rsid w:val="001D2C1C"/>
    <w:rsid w:val="001D6C9F"/>
    <w:rsid w:val="001E2706"/>
    <w:rsid w:val="001F0775"/>
    <w:rsid w:val="001F4C3C"/>
    <w:rsid w:val="001F6B49"/>
    <w:rsid w:val="00205693"/>
    <w:rsid w:val="00210692"/>
    <w:rsid w:val="00234F43"/>
    <w:rsid w:val="002356B1"/>
    <w:rsid w:val="0023612D"/>
    <w:rsid w:val="002428A8"/>
    <w:rsid w:val="00276922"/>
    <w:rsid w:val="002819A0"/>
    <w:rsid w:val="002A24DD"/>
    <w:rsid w:val="002A6285"/>
    <w:rsid w:val="002F65D6"/>
    <w:rsid w:val="0030506D"/>
    <w:rsid w:val="00325503"/>
    <w:rsid w:val="00325543"/>
    <w:rsid w:val="00325A75"/>
    <w:rsid w:val="003403C1"/>
    <w:rsid w:val="003458A8"/>
    <w:rsid w:val="003512F2"/>
    <w:rsid w:val="00356A02"/>
    <w:rsid w:val="00367C68"/>
    <w:rsid w:val="00381DBF"/>
    <w:rsid w:val="003869BF"/>
    <w:rsid w:val="00391A1D"/>
    <w:rsid w:val="0039653A"/>
    <w:rsid w:val="00396CF1"/>
    <w:rsid w:val="003A61EB"/>
    <w:rsid w:val="003D0E27"/>
    <w:rsid w:val="003E5BBB"/>
    <w:rsid w:val="003F0235"/>
    <w:rsid w:val="003F0B68"/>
    <w:rsid w:val="003F5BAC"/>
    <w:rsid w:val="0040272F"/>
    <w:rsid w:val="004049F7"/>
    <w:rsid w:val="00431B37"/>
    <w:rsid w:val="004436BE"/>
    <w:rsid w:val="004436E8"/>
    <w:rsid w:val="00444997"/>
    <w:rsid w:val="00445F31"/>
    <w:rsid w:val="004501AB"/>
    <w:rsid w:val="00451B19"/>
    <w:rsid w:val="00455B9D"/>
    <w:rsid w:val="0047076C"/>
    <w:rsid w:val="00471B9D"/>
    <w:rsid w:val="00471CA3"/>
    <w:rsid w:val="00483DB4"/>
    <w:rsid w:val="004863E6"/>
    <w:rsid w:val="00493DEE"/>
    <w:rsid w:val="00494DBB"/>
    <w:rsid w:val="00496F2C"/>
    <w:rsid w:val="004B226B"/>
    <w:rsid w:val="004B39CF"/>
    <w:rsid w:val="004C3F01"/>
    <w:rsid w:val="004E09D9"/>
    <w:rsid w:val="004E684E"/>
    <w:rsid w:val="004F16BA"/>
    <w:rsid w:val="004F1C6F"/>
    <w:rsid w:val="0050213C"/>
    <w:rsid w:val="0050593F"/>
    <w:rsid w:val="00510151"/>
    <w:rsid w:val="005261CF"/>
    <w:rsid w:val="00550ED9"/>
    <w:rsid w:val="005511F0"/>
    <w:rsid w:val="00554430"/>
    <w:rsid w:val="00576AA8"/>
    <w:rsid w:val="00583C75"/>
    <w:rsid w:val="00584695"/>
    <w:rsid w:val="00596FC6"/>
    <w:rsid w:val="005977ED"/>
    <w:rsid w:val="005A58F7"/>
    <w:rsid w:val="005A7A90"/>
    <w:rsid w:val="005B253A"/>
    <w:rsid w:val="005B6887"/>
    <w:rsid w:val="005C2D56"/>
    <w:rsid w:val="005E6532"/>
    <w:rsid w:val="00603C23"/>
    <w:rsid w:val="0060438F"/>
    <w:rsid w:val="00604939"/>
    <w:rsid w:val="00620437"/>
    <w:rsid w:val="0062078D"/>
    <w:rsid w:val="006208AF"/>
    <w:rsid w:val="00642683"/>
    <w:rsid w:val="00662724"/>
    <w:rsid w:val="006746A3"/>
    <w:rsid w:val="00676E34"/>
    <w:rsid w:val="00680FCC"/>
    <w:rsid w:val="006827D4"/>
    <w:rsid w:val="006A50FC"/>
    <w:rsid w:val="006A7963"/>
    <w:rsid w:val="006B449D"/>
    <w:rsid w:val="006C112E"/>
    <w:rsid w:val="006C38CC"/>
    <w:rsid w:val="006C7AD7"/>
    <w:rsid w:val="006D23FD"/>
    <w:rsid w:val="006D5116"/>
    <w:rsid w:val="006E2D64"/>
    <w:rsid w:val="006E3B46"/>
    <w:rsid w:val="006E67BA"/>
    <w:rsid w:val="006F31E8"/>
    <w:rsid w:val="007103AB"/>
    <w:rsid w:val="00723837"/>
    <w:rsid w:val="0072614B"/>
    <w:rsid w:val="00727149"/>
    <w:rsid w:val="00772A6B"/>
    <w:rsid w:val="007A1712"/>
    <w:rsid w:val="007A2288"/>
    <w:rsid w:val="007D00C7"/>
    <w:rsid w:val="007E6F86"/>
    <w:rsid w:val="007E7991"/>
    <w:rsid w:val="00801F55"/>
    <w:rsid w:val="008029C3"/>
    <w:rsid w:val="008049B6"/>
    <w:rsid w:val="00815674"/>
    <w:rsid w:val="008236DD"/>
    <w:rsid w:val="00827378"/>
    <w:rsid w:val="00832A9E"/>
    <w:rsid w:val="0084409A"/>
    <w:rsid w:val="00861CA3"/>
    <w:rsid w:val="00873EC5"/>
    <w:rsid w:val="008817AB"/>
    <w:rsid w:val="00886103"/>
    <w:rsid w:val="008931FE"/>
    <w:rsid w:val="008B167C"/>
    <w:rsid w:val="008D6181"/>
    <w:rsid w:val="008E0E7B"/>
    <w:rsid w:val="008E5689"/>
    <w:rsid w:val="00925A7C"/>
    <w:rsid w:val="00926185"/>
    <w:rsid w:val="00967E8A"/>
    <w:rsid w:val="00974D68"/>
    <w:rsid w:val="0099509C"/>
    <w:rsid w:val="009A0E00"/>
    <w:rsid w:val="009A144B"/>
    <w:rsid w:val="009A76D9"/>
    <w:rsid w:val="009B2A54"/>
    <w:rsid w:val="009B7F9C"/>
    <w:rsid w:val="009C1541"/>
    <w:rsid w:val="009C6239"/>
    <w:rsid w:val="009D0BA8"/>
    <w:rsid w:val="009E5073"/>
    <w:rsid w:val="009E7B21"/>
    <w:rsid w:val="009F54B9"/>
    <w:rsid w:val="009F5510"/>
    <w:rsid w:val="00A04A23"/>
    <w:rsid w:val="00A2417A"/>
    <w:rsid w:val="00A33D19"/>
    <w:rsid w:val="00A5217D"/>
    <w:rsid w:val="00A530EF"/>
    <w:rsid w:val="00A5718D"/>
    <w:rsid w:val="00A7379E"/>
    <w:rsid w:val="00A81CD0"/>
    <w:rsid w:val="00A8282D"/>
    <w:rsid w:val="00A943DE"/>
    <w:rsid w:val="00A96E28"/>
    <w:rsid w:val="00AA6DE4"/>
    <w:rsid w:val="00AA766C"/>
    <w:rsid w:val="00AA7893"/>
    <w:rsid w:val="00AB4055"/>
    <w:rsid w:val="00AC3BF7"/>
    <w:rsid w:val="00AC606F"/>
    <w:rsid w:val="00AD0565"/>
    <w:rsid w:val="00AE2F8C"/>
    <w:rsid w:val="00AE58EA"/>
    <w:rsid w:val="00AE752C"/>
    <w:rsid w:val="00AF2368"/>
    <w:rsid w:val="00AF6DE0"/>
    <w:rsid w:val="00B0470A"/>
    <w:rsid w:val="00B054CE"/>
    <w:rsid w:val="00B12123"/>
    <w:rsid w:val="00B212D1"/>
    <w:rsid w:val="00B27345"/>
    <w:rsid w:val="00B27878"/>
    <w:rsid w:val="00B36D6D"/>
    <w:rsid w:val="00B541F0"/>
    <w:rsid w:val="00B76494"/>
    <w:rsid w:val="00B82614"/>
    <w:rsid w:val="00BA2853"/>
    <w:rsid w:val="00BA3302"/>
    <w:rsid w:val="00BC627D"/>
    <w:rsid w:val="00BF073C"/>
    <w:rsid w:val="00BF09C5"/>
    <w:rsid w:val="00C02A89"/>
    <w:rsid w:val="00C13D31"/>
    <w:rsid w:val="00C2481A"/>
    <w:rsid w:val="00C3314F"/>
    <w:rsid w:val="00C33721"/>
    <w:rsid w:val="00C352AE"/>
    <w:rsid w:val="00C423DA"/>
    <w:rsid w:val="00C45FCF"/>
    <w:rsid w:val="00C52251"/>
    <w:rsid w:val="00C54883"/>
    <w:rsid w:val="00C614BD"/>
    <w:rsid w:val="00CA02E2"/>
    <w:rsid w:val="00CA0E6F"/>
    <w:rsid w:val="00CB5FF4"/>
    <w:rsid w:val="00CC35C8"/>
    <w:rsid w:val="00CD6B85"/>
    <w:rsid w:val="00CD7048"/>
    <w:rsid w:val="00CE4215"/>
    <w:rsid w:val="00CE44F3"/>
    <w:rsid w:val="00CF2DB3"/>
    <w:rsid w:val="00CF4782"/>
    <w:rsid w:val="00D01E4C"/>
    <w:rsid w:val="00D24782"/>
    <w:rsid w:val="00D32A49"/>
    <w:rsid w:val="00D41B20"/>
    <w:rsid w:val="00D426F9"/>
    <w:rsid w:val="00D65671"/>
    <w:rsid w:val="00D67F54"/>
    <w:rsid w:val="00D71FCF"/>
    <w:rsid w:val="00D92AC0"/>
    <w:rsid w:val="00DB78FB"/>
    <w:rsid w:val="00DC1947"/>
    <w:rsid w:val="00DD10D1"/>
    <w:rsid w:val="00DD2717"/>
    <w:rsid w:val="00DE31D2"/>
    <w:rsid w:val="00E00111"/>
    <w:rsid w:val="00E06480"/>
    <w:rsid w:val="00E10C1E"/>
    <w:rsid w:val="00E2122B"/>
    <w:rsid w:val="00E31D98"/>
    <w:rsid w:val="00E31E08"/>
    <w:rsid w:val="00E33432"/>
    <w:rsid w:val="00E46A2C"/>
    <w:rsid w:val="00E518BE"/>
    <w:rsid w:val="00E768BA"/>
    <w:rsid w:val="00E81CC3"/>
    <w:rsid w:val="00E85442"/>
    <w:rsid w:val="00EB586D"/>
    <w:rsid w:val="00EE1699"/>
    <w:rsid w:val="00EE5C80"/>
    <w:rsid w:val="00F02278"/>
    <w:rsid w:val="00F16661"/>
    <w:rsid w:val="00F35C82"/>
    <w:rsid w:val="00F44003"/>
    <w:rsid w:val="00F664BA"/>
    <w:rsid w:val="00F76CBD"/>
    <w:rsid w:val="00F8203F"/>
    <w:rsid w:val="00F96A47"/>
    <w:rsid w:val="00FA77D0"/>
    <w:rsid w:val="00FB63AE"/>
    <w:rsid w:val="00FC01D6"/>
    <w:rsid w:val="00FD423A"/>
    <w:rsid w:val="00FE05D8"/>
    <w:rsid w:val="00FE0ECF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Plain Text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A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F2D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96FC6"/>
    <w:pPr>
      <w:ind w:left="720"/>
    </w:pPr>
  </w:style>
  <w:style w:type="character" w:customStyle="1" w:styleId="a6">
    <w:name w:val="Гипертекстовая ссылка"/>
    <w:rsid w:val="006B449D"/>
    <w:rPr>
      <w:rFonts w:cs="Times New Roman"/>
      <w:color w:val="auto"/>
    </w:rPr>
  </w:style>
  <w:style w:type="paragraph" w:customStyle="1" w:styleId="a7">
    <w:name w:val="Нормальный (таблица)"/>
    <w:basedOn w:val="a"/>
    <w:next w:val="a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rsid w:val="006B449D"/>
    <w:rPr>
      <w:b/>
      <w:color w:val="26282F"/>
    </w:rPr>
  </w:style>
  <w:style w:type="table" w:styleId="a9">
    <w:name w:val="Table Grid"/>
    <w:basedOn w:val="a1"/>
    <w:rsid w:val="006B44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6B449D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6B449D"/>
    <w:rPr>
      <w:rFonts w:ascii="Calibri" w:hAnsi="Calibri" w:cs="Calibri"/>
    </w:rPr>
  </w:style>
  <w:style w:type="paragraph" w:customStyle="1" w:styleId="ac">
    <w:name w:val="Внимание: криминал!!"/>
    <w:basedOn w:val="a"/>
    <w:next w:val="a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d">
    <w:name w:val="Hyperlink"/>
    <w:uiPriority w:val="99"/>
    <w:rsid w:val="006B449D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6B449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a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a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rsid w:val="006B449D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6B449D"/>
    <w:rPr>
      <w:rFonts w:ascii="Calibri" w:hAnsi="Calibri" w:cs="Calibri"/>
    </w:rPr>
  </w:style>
  <w:style w:type="character" w:customStyle="1" w:styleId="BodyText2Char">
    <w:name w:val="Body Text 2 Char"/>
    <w:semiHidden/>
    <w:locked/>
    <w:rsid w:val="006B449D"/>
    <w:rPr>
      <w:rFonts w:cs="Times New Roman"/>
    </w:rPr>
  </w:style>
  <w:style w:type="paragraph" w:styleId="21">
    <w:name w:val="envelope return"/>
    <w:basedOn w:val="a"/>
    <w:rsid w:val="006B449D"/>
    <w:rPr>
      <w:rFonts w:ascii="Arial" w:hAnsi="Arial" w:cs="Arial"/>
      <w:sz w:val="20"/>
      <w:szCs w:val="20"/>
    </w:rPr>
  </w:style>
  <w:style w:type="paragraph" w:styleId="af">
    <w:name w:val="Normal (Web)"/>
    <w:basedOn w:val="a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Plain Text"/>
    <w:basedOn w:val="a"/>
    <w:link w:val="af1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6B449D"/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link w:val="af3"/>
    <w:rsid w:val="006B44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6B449D"/>
    <w:rPr>
      <w:rFonts w:ascii="Calibri" w:hAnsi="Calibri" w:cs="Calibri"/>
    </w:rPr>
  </w:style>
  <w:style w:type="paragraph" w:styleId="af4">
    <w:name w:val="footer"/>
    <w:basedOn w:val="a"/>
    <w:link w:val="af5"/>
    <w:semiHidden/>
    <w:rsid w:val="006B44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6B449D"/>
    <w:rPr>
      <w:rFonts w:ascii="Calibri" w:hAnsi="Calibri" w:cs="Calibri"/>
    </w:rPr>
  </w:style>
  <w:style w:type="paragraph" w:customStyle="1" w:styleId="ConsPlusNormal">
    <w:name w:val="ConsPlusNormal"/>
    <w:rsid w:val="005C2D56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rmal">
    <w:name w:val="ConsNormal"/>
    <w:rsid w:val="00B76494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7649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Без интервала1"/>
    <w:rsid w:val="00B76494"/>
    <w:rPr>
      <w:rFonts w:cs="Calibri"/>
      <w:sz w:val="22"/>
      <w:szCs w:val="22"/>
      <w:lang w:eastAsia="en-US"/>
    </w:rPr>
  </w:style>
  <w:style w:type="character" w:customStyle="1" w:styleId="6">
    <w:name w:val="Знак Знак6"/>
    <w:locked/>
    <w:rsid w:val="00396CF1"/>
    <w:rPr>
      <w:rFonts w:ascii="Arial" w:hAnsi="Arial" w:cs="Arial"/>
      <w:b/>
      <w:bCs/>
      <w:color w:val="26282F"/>
      <w:sz w:val="24"/>
      <w:szCs w:val="24"/>
    </w:rPr>
  </w:style>
  <w:style w:type="character" w:customStyle="1" w:styleId="5">
    <w:name w:val="Знак Знак5"/>
    <w:locked/>
    <w:rsid w:val="00396CF1"/>
    <w:rPr>
      <w:rFonts w:ascii="Calibri" w:hAnsi="Calibri" w:cs="Calibri"/>
      <w:sz w:val="20"/>
      <w:szCs w:val="20"/>
    </w:rPr>
  </w:style>
  <w:style w:type="paragraph" w:styleId="af6">
    <w:name w:val="List Paragraph"/>
    <w:basedOn w:val="a"/>
    <w:qFormat/>
    <w:rsid w:val="00396CF1"/>
    <w:pPr>
      <w:ind w:left="720"/>
    </w:pPr>
  </w:style>
  <w:style w:type="paragraph" w:styleId="af7">
    <w:name w:val="No Spacing"/>
    <w:qFormat/>
    <w:rsid w:val="00396CF1"/>
    <w:rPr>
      <w:rFonts w:eastAsia="Calibri" w:cs="Calibri"/>
      <w:sz w:val="22"/>
      <w:szCs w:val="22"/>
      <w:lang w:eastAsia="en-US"/>
    </w:rPr>
  </w:style>
  <w:style w:type="character" w:customStyle="1" w:styleId="22">
    <w:name w:val="Знак Знак2"/>
    <w:locked/>
    <w:rsid w:val="00396CF1"/>
    <w:rPr>
      <w:rFonts w:ascii="Calibri" w:hAnsi="Calibri" w:cs="Calibri"/>
      <w:sz w:val="22"/>
      <w:szCs w:val="22"/>
      <w:lang w:val="ru-RU" w:eastAsia="ru-RU"/>
    </w:rPr>
  </w:style>
  <w:style w:type="character" w:customStyle="1" w:styleId="af8">
    <w:name w:val="Знак Знак"/>
    <w:locked/>
    <w:rsid w:val="00396CF1"/>
    <w:rPr>
      <w:rFonts w:ascii="Courier New" w:hAnsi="Courier New" w:cs="Courier New"/>
      <w:lang w:val="ru-RU" w:eastAsia="ru-RU"/>
    </w:rPr>
  </w:style>
  <w:style w:type="character" w:customStyle="1" w:styleId="4">
    <w:name w:val="Знак Знак4"/>
    <w:semiHidden/>
    <w:locked/>
    <w:rsid w:val="006C112E"/>
    <w:rPr>
      <w:rFonts w:ascii="Tahoma" w:hAnsi="Tahoma" w:cs="Tahoma"/>
      <w:sz w:val="16"/>
      <w:szCs w:val="16"/>
    </w:rPr>
  </w:style>
  <w:style w:type="character" w:customStyle="1" w:styleId="3">
    <w:name w:val="Знак Знак3"/>
    <w:semiHidden/>
    <w:locked/>
    <w:rsid w:val="006C112E"/>
    <w:rPr>
      <w:sz w:val="22"/>
      <w:szCs w:val="22"/>
      <w:lang w:eastAsia="en-US"/>
    </w:rPr>
  </w:style>
  <w:style w:type="character" w:customStyle="1" w:styleId="13">
    <w:name w:val="Знак Знак1"/>
    <w:semiHidden/>
    <w:locked/>
    <w:rsid w:val="006C112E"/>
    <w:rPr>
      <w:rFonts w:ascii="Calibri" w:hAnsi="Calibri" w:cs="Calibri"/>
      <w:sz w:val="22"/>
      <w:szCs w:val="22"/>
      <w:lang w:val="ru-RU" w:eastAsia="ru-RU"/>
    </w:rPr>
  </w:style>
  <w:style w:type="paragraph" w:customStyle="1" w:styleId="14">
    <w:name w:val="Абзац списка1"/>
    <w:basedOn w:val="a"/>
    <w:rsid w:val="004501AB"/>
    <w:pPr>
      <w:ind w:left="720"/>
    </w:pPr>
    <w:rPr>
      <w:rFonts w:eastAsia="Calibri"/>
    </w:rPr>
  </w:style>
  <w:style w:type="paragraph" w:customStyle="1" w:styleId="ListParagraph1">
    <w:name w:val="List Paragraph1"/>
    <w:basedOn w:val="a"/>
    <w:rsid w:val="004501AB"/>
    <w:pPr>
      <w:ind w:left="720"/>
    </w:pPr>
    <w:rPr>
      <w:rFonts w:eastAsia="Calibri"/>
    </w:rPr>
  </w:style>
  <w:style w:type="paragraph" w:customStyle="1" w:styleId="xl65">
    <w:name w:val="xl65"/>
    <w:basedOn w:val="a"/>
    <w:rsid w:val="000B5B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5B8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5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B5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B5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B5B81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B5B81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B5B8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0B5B81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B5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36805133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2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C58F-863E-4DC9-BB8F-01F5770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62</Pages>
  <Words>11013</Words>
  <Characters>78896</Characters>
  <Application>Microsoft Office Word</Application>
  <DocSecurity>0</DocSecurity>
  <Lines>657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89730</CharactersWithSpaces>
  <SharedDoc>false</SharedDoc>
  <HLinks>
    <vt:vector size="78" baseType="variant"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2949138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sub_1720</vt:lpwstr>
      </vt:variant>
      <vt:variant>
        <vt:i4>2949137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sub_1710</vt:lpwstr>
      </vt:variant>
      <vt:variant>
        <vt:i4>1703974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6815802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garantf1://36805133.0/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skrebchova</dc:creator>
  <cp:lastModifiedBy>Matyshova</cp:lastModifiedBy>
  <cp:revision>9</cp:revision>
  <cp:lastPrinted>2019-07-03T11:49:00Z</cp:lastPrinted>
  <dcterms:created xsi:type="dcterms:W3CDTF">2019-05-21T06:48:00Z</dcterms:created>
  <dcterms:modified xsi:type="dcterms:W3CDTF">2020-08-10T12:10:00Z</dcterms:modified>
</cp:coreProperties>
</file>