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Энергосбережение и повышение энергетической </w:t>
            </w:r>
            <w:r w:rsidRPr="00497355">
              <w:rPr>
                <w:rFonts w:ascii="Times New Roman" w:hAnsi="Times New Roman" w:cs="Times New Roman"/>
                <w:color w:val="000000" w:themeColor="text1"/>
                <w:sz w:val="28"/>
                <w:szCs w:val="28"/>
              </w:rPr>
              <w:lastRenderedPageBreak/>
              <w:t>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Общий объем финансирования составляет </w:t>
            </w:r>
            <w:r w:rsidR="004555D5">
              <w:rPr>
                <w:rFonts w:ascii="Times New Roman" w:hAnsi="Times New Roman"/>
                <w:sz w:val="28"/>
                <w:szCs w:val="28"/>
              </w:rPr>
              <w:t>18206,6</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6107,2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86</w:t>
            </w:r>
            <w:r w:rsidR="00703EA5">
              <w:rPr>
                <w:rFonts w:ascii="Times New Roman" w:hAnsi="Times New Roman"/>
                <w:sz w:val="28"/>
                <w:szCs w:val="28"/>
              </w:rPr>
              <w:t>72</w:t>
            </w:r>
            <w:r w:rsidR="00B75844">
              <w:rPr>
                <w:rFonts w:ascii="Times New Roman" w:hAnsi="Times New Roman"/>
                <w:sz w:val="28"/>
                <w:szCs w:val="28"/>
              </w:rPr>
              <w:t>,</w:t>
            </w:r>
            <w:r w:rsidR="00703EA5">
              <w:rPr>
                <w:rFonts w:ascii="Times New Roman" w:hAnsi="Times New Roman"/>
                <w:sz w:val="28"/>
                <w:szCs w:val="28"/>
              </w:rPr>
              <w:t>0</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2019 год </w:t>
            </w:r>
            <w:r w:rsidR="004555D5">
              <w:rPr>
                <w:rFonts w:ascii="Times New Roman" w:hAnsi="Times New Roman"/>
                <w:sz w:val="28"/>
                <w:szCs w:val="28"/>
              </w:rPr>
              <w:t>1433,5</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70,0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w:t>
            </w:r>
            <w:r w:rsidR="00A35FFB">
              <w:rPr>
                <w:rFonts w:ascii="Times New Roman" w:hAnsi="Times New Roman"/>
                <w:sz w:val="28"/>
                <w:szCs w:val="28"/>
              </w:rPr>
              <w:t xml:space="preserve"> 7</w:t>
            </w:r>
            <w:r w:rsidRPr="0030227D">
              <w:rPr>
                <w:rFonts w:ascii="Times New Roman" w:hAnsi="Times New Roman"/>
                <w:sz w:val="28"/>
                <w:szCs w:val="28"/>
              </w:rPr>
              <w:t>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в том числе за счет  средств местного бюджета – </w:t>
            </w:r>
            <w:r w:rsidR="00703EA5">
              <w:rPr>
                <w:rFonts w:ascii="Times New Roman" w:hAnsi="Times New Roman"/>
                <w:sz w:val="28"/>
                <w:szCs w:val="28"/>
              </w:rPr>
              <w:t>7042,0</w:t>
            </w:r>
            <w:r w:rsidRPr="0030227D">
              <w:rPr>
                <w:rFonts w:ascii="Times New Roman" w:hAnsi="Times New Roman"/>
                <w:sz w:val="28"/>
                <w:szCs w:val="28"/>
              </w:rPr>
              <w:t xml:space="preserve">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673,9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1180,0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1525,9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2018 год – </w:t>
            </w:r>
            <w:r w:rsidR="00B75844">
              <w:rPr>
                <w:rFonts w:ascii="Times New Roman" w:hAnsi="Times New Roman"/>
                <w:sz w:val="28"/>
                <w:szCs w:val="28"/>
              </w:rPr>
              <w:t>31</w:t>
            </w:r>
            <w:r w:rsidR="00703EA5">
              <w:rPr>
                <w:rFonts w:ascii="Times New Roman" w:hAnsi="Times New Roman"/>
                <w:sz w:val="28"/>
                <w:szCs w:val="28"/>
              </w:rPr>
              <w:t>72,0</w:t>
            </w:r>
            <w:r w:rsidRPr="0030227D">
              <w:rPr>
                <w:rFonts w:ascii="Times New Roman" w:hAnsi="Times New Roman"/>
                <w:sz w:val="28"/>
                <w:szCs w:val="28"/>
              </w:rPr>
              <w:t xml:space="preserve">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 xml:space="preserve">2019 год – </w:t>
            </w:r>
            <w:r w:rsidR="004555D5">
              <w:rPr>
                <w:rFonts w:ascii="Times New Roman" w:hAnsi="Times New Roman"/>
                <w:sz w:val="28"/>
                <w:szCs w:val="28"/>
              </w:rPr>
              <w:t>1433,5</w:t>
            </w:r>
            <w:r w:rsidRPr="0030227D">
              <w:rPr>
                <w:rFonts w:ascii="Times New Roman" w:hAnsi="Times New Roman"/>
                <w:sz w:val="28"/>
                <w:szCs w:val="28"/>
              </w:rPr>
              <w:t xml:space="preserve"> тысячи рублей;</w:t>
            </w:r>
          </w:p>
          <w:p w:rsidR="005B4C5A" w:rsidRPr="0030227D" w:rsidRDefault="00A35FFB" w:rsidP="005B4C5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2020 год – </w:t>
            </w:r>
            <w:r w:rsidR="005B4C5A" w:rsidRPr="0030227D">
              <w:rPr>
                <w:rFonts w:ascii="Times New Roman" w:hAnsi="Times New Roman"/>
                <w:sz w:val="28"/>
                <w:szCs w:val="28"/>
              </w:rPr>
              <w:t>70,0 тысячи рублей;</w:t>
            </w:r>
          </w:p>
          <w:p w:rsidR="005B4C5A" w:rsidRPr="0030227D" w:rsidRDefault="00A35FFB" w:rsidP="005B4C5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2021 год – 7</w:t>
            </w:r>
            <w:r w:rsidR="005B4C5A" w:rsidRPr="0030227D">
              <w:rPr>
                <w:rFonts w:ascii="Times New Roman" w:hAnsi="Times New Roman"/>
                <w:sz w:val="28"/>
                <w:szCs w:val="28"/>
              </w:rPr>
              <w:t>0,0 тысячи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в том числе  за счет краевого бюджета – 10081,1 тысяч рублей, в том числе по годам:</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2017 год – 4581,3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widowControl w:val="0"/>
              <w:suppressAutoHyphens/>
              <w:spacing w:after="0" w:line="240" w:lineRule="auto"/>
              <w:contextualSpacing/>
              <w:jc w:val="both"/>
              <w:rPr>
                <w:rFonts w:ascii="Times New Roman" w:hAnsi="Times New Roman"/>
                <w:sz w:val="28"/>
                <w:szCs w:val="28"/>
              </w:rPr>
            </w:pPr>
            <w:r w:rsidRPr="0030227D">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FD3E6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FD3E6D"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4555D5">
        <w:rPr>
          <w:rFonts w:ascii="Times New Roman" w:hAnsi="Times New Roman"/>
          <w:color w:val="000000"/>
          <w:sz w:val="28"/>
          <w:szCs w:val="28"/>
        </w:rPr>
        <w:t>18206,6</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rPr>
                <w:color w:val="000000"/>
                <w:sz w:val="24"/>
                <w:szCs w:val="24"/>
              </w:rPr>
            </w:pPr>
            <w:r>
              <w:rPr>
                <w:rFonts w:ascii="Times New Roman" w:hAnsi="Times New Roman"/>
                <w:color w:val="000000"/>
                <w:sz w:val="24"/>
                <w:szCs w:val="24"/>
              </w:rPr>
              <w:t>-</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C11AC6" w:rsidP="00415407">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CD3FDD" w:rsidP="00E215AA">
            <w:pPr>
              <w:spacing w:after="0" w:line="240" w:lineRule="auto"/>
              <w:jc w:val="center"/>
              <w:rPr>
                <w:rFonts w:ascii="Times New Roman" w:hAnsi="Times New Roman"/>
                <w:sz w:val="24"/>
                <w:szCs w:val="24"/>
              </w:rPr>
            </w:pPr>
            <w:r>
              <w:rPr>
                <w:rFonts w:ascii="Times New Roman" w:hAnsi="Times New Roman"/>
                <w:sz w:val="24"/>
                <w:szCs w:val="24"/>
              </w:rPr>
              <w:t>407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4555D5" w:rsidP="00CD3FDD">
            <w:pPr>
              <w:jc w:val="center"/>
              <w:rPr>
                <w:rFonts w:ascii="Times New Roman" w:hAnsi="Times New Roman"/>
                <w:sz w:val="24"/>
                <w:szCs w:val="24"/>
              </w:rPr>
            </w:pPr>
            <w:r>
              <w:rPr>
                <w:rFonts w:ascii="Times New Roman" w:hAnsi="Times New Roman"/>
                <w:sz w:val="24"/>
                <w:szCs w:val="24"/>
              </w:rPr>
              <w:t>18206,6</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773CFE" w:rsidP="00703EA5">
            <w:pPr>
              <w:jc w:val="center"/>
              <w:rPr>
                <w:rFonts w:ascii="Times New Roman" w:hAnsi="Times New Roman"/>
                <w:sz w:val="24"/>
                <w:szCs w:val="24"/>
              </w:rPr>
            </w:pPr>
            <w:r>
              <w:rPr>
                <w:rFonts w:ascii="Times New Roman" w:hAnsi="Times New Roman"/>
                <w:sz w:val="24"/>
                <w:szCs w:val="24"/>
              </w:rPr>
              <w:t>86</w:t>
            </w:r>
            <w:r w:rsidR="00703EA5">
              <w:rPr>
                <w:rFonts w:ascii="Times New Roman" w:hAnsi="Times New Roman"/>
                <w:sz w:val="24"/>
                <w:szCs w:val="24"/>
              </w:rPr>
              <w:t>72,0</w:t>
            </w:r>
          </w:p>
        </w:tc>
        <w:tc>
          <w:tcPr>
            <w:tcW w:w="993" w:type="dxa"/>
          </w:tcPr>
          <w:p w:rsidR="003046F1" w:rsidRPr="00D21A14" w:rsidRDefault="004555D5">
            <w:r>
              <w:rPr>
                <w:rFonts w:ascii="Times New Roman" w:hAnsi="Times New Roman"/>
                <w:sz w:val="24"/>
                <w:szCs w:val="24"/>
              </w:rPr>
              <w:t>1433,5</w:t>
            </w:r>
          </w:p>
        </w:tc>
        <w:tc>
          <w:tcPr>
            <w:tcW w:w="992" w:type="dxa"/>
          </w:tcPr>
          <w:p w:rsidR="003046F1" w:rsidRPr="00D21A14" w:rsidRDefault="006B690A">
            <w:r w:rsidRPr="00D21A14">
              <w:rPr>
                <w:rFonts w:ascii="Times New Roman" w:hAnsi="Times New Roman"/>
                <w:sz w:val="24"/>
                <w:szCs w:val="24"/>
              </w:rPr>
              <w:t>7</w:t>
            </w:r>
            <w:r w:rsidR="003046F1" w:rsidRPr="00D21A14">
              <w:rPr>
                <w:rFonts w:ascii="Times New Roman" w:hAnsi="Times New Roman"/>
                <w:sz w:val="24"/>
                <w:szCs w:val="24"/>
              </w:rPr>
              <w:t>0,0</w:t>
            </w:r>
          </w:p>
        </w:tc>
        <w:tc>
          <w:tcPr>
            <w:tcW w:w="992" w:type="dxa"/>
          </w:tcPr>
          <w:p w:rsidR="003046F1" w:rsidRDefault="00A35FFB">
            <w:r>
              <w:rPr>
                <w:rFonts w:ascii="Times New Roman" w:hAnsi="Times New Roman"/>
                <w:sz w:val="24"/>
                <w:szCs w:val="24"/>
              </w:rPr>
              <w:t>7</w:t>
            </w:r>
            <w:r w:rsidR="003046F1" w:rsidRPr="00AE2CC6">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10081,1</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DF2C41" w:rsidP="00E215AA">
            <w:pPr>
              <w:jc w:val="center"/>
              <w:rPr>
                <w:rFonts w:ascii="Times New Roman" w:hAnsi="Times New Roman"/>
                <w:sz w:val="24"/>
                <w:szCs w:val="24"/>
              </w:rPr>
            </w:pPr>
            <w:r>
              <w:rPr>
                <w:rFonts w:ascii="Times New Roman" w:hAnsi="Times New Roman"/>
                <w:sz w:val="24"/>
                <w:szCs w:val="24"/>
              </w:rPr>
              <w:t>5499,8</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A35FFB" w:rsidRPr="006969D9" w:rsidTr="003046F1">
        <w:tc>
          <w:tcPr>
            <w:tcW w:w="675"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A35FFB" w:rsidRPr="00D21A14" w:rsidRDefault="004555D5" w:rsidP="00A35FFB">
            <w:pPr>
              <w:jc w:val="center"/>
              <w:rPr>
                <w:rFonts w:ascii="Times New Roman" w:hAnsi="Times New Roman"/>
                <w:sz w:val="24"/>
                <w:szCs w:val="24"/>
              </w:rPr>
            </w:pPr>
            <w:r>
              <w:rPr>
                <w:rFonts w:ascii="Times New Roman" w:hAnsi="Times New Roman"/>
                <w:sz w:val="24"/>
                <w:szCs w:val="24"/>
              </w:rPr>
              <w:t>8125,5</w:t>
            </w:r>
          </w:p>
        </w:tc>
        <w:tc>
          <w:tcPr>
            <w:tcW w:w="993"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A35FFB" w:rsidRPr="00D21A14" w:rsidRDefault="00703EA5" w:rsidP="00A35FFB">
            <w:pPr>
              <w:jc w:val="center"/>
              <w:rPr>
                <w:rFonts w:ascii="Times New Roman" w:hAnsi="Times New Roman"/>
                <w:sz w:val="24"/>
                <w:szCs w:val="24"/>
              </w:rPr>
            </w:pPr>
            <w:r>
              <w:rPr>
                <w:rFonts w:ascii="Times New Roman" w:hAnsi="Times New Roman"/>
                <w:sz w:val="24"/>
                <w:szCs w:val="24"/>
              </w:rPr>
              <w:t>3172,0</w:t>
            </w:r>
          </w:p>
        </w:tc>
        <w:tc>
          <w:tcPr>
            <w:tcW w:w="993" w:type="dxa"/>
          </w:tcPr>
          <w:p w:rsidR="00A35FFB" w:rsidRPr="00D21A14" w:rsidRDefault="004555D5" w:rsidP="00A35FFB">
            <w:r>
              <w:rPr>
                <w:rFonts w:ascii="Times New Roman" w:hAnsi="Times New Roman"/>
                <w:sz w:val="24"/>
                <w:szCs w:val="24"/>
              </w:rPr>
              <w:t>1433,5</w:t>
            </w:r>
          </w:p>
        </w:tc>
        <w:tc>
          <w:tcPr>
            <w:tcW w:w="992" w:type="dxa"/>
          </w:tcPr>
          <w:p w:rsidR="00A35FFB" w:rsidRPr="00D21A14" w:rsidRDefault="00A35FFB" w:rsidP="00A35FFB">
            <w:r w:rsidRPr="00D21A14">
              <w:rPr>
                <w:rFonts w:ascii="Times New Roman" w:hAnsi="Times New Roman"/>
                <w:sz w:val="24"/>
                <w:szCs w:val="24"/>
              </w:rPr>
              <w:t>70,0</w:t>
            </w:r>
          </w:p>
        </w:tc>
        <w:tc>
          <w:tcPr>
            <w:tcW w:w="992" w:type="dxa"/>
          </w:tcPr>
          <w:p w:rsidR="00A35FFB" w:rsidRDefault="00A35FFB" w:rsidP="00A35FFB">
            <w:r>
              <w:rPr>
                <w:rFonts w:ascii="Times New Roman" w:hAnsi="Times New Roman"/>
                <w:sz w:val="24"/>
                <w:szCs w:val="24"/>
              </w:rPr>
              <w:t>7</w:t>
            </w:r>
            <w:r w:rsidRPr="00AE2CC6">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703EA5"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9090,9</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703EA5"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993" w:type="dxa"/>
            <w:vAlign w:val="center"/>
          </w:tcPr>
          <w:p w:rsidR="00E215AA" w:rsidRPr="00D21A14" w:rsidRDefault="004555D5"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4555D5"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5593,1</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773CFE"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w:t>
            </w:r>
            <w:r w:rsidR="00703EA5">
              <w:rPr>
                <w:rFonts w:ascii="Times New Roman" w:hAnsi="Times New Roman"/>
                <w:sz w:val="24"/>
                <w:szCs w:val="24"/>
              </w:rPr>
              <w:t>42,2</w:t>
            </w:r>
          </w:p>
        </w:tc>
        <w:tc>
          <w:tcPr>
            <w:tcW w:w="993" w:type="dxa"/>
            <w:vAlign w:val="center"/>
          </w:tcPr>
          <w:p w:rsidR="00F04372" w:rsidRPr="00D21A14" w:rsidRDefault="004555D5"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A35FFB">
            <w:pPr>
              <w:jc w:val="center"/>
              <w:rPr>
                <w:rFonts w:ascii="Times New Roman" w:hAnsi="Times New Roman"/>
                <w:sz w:val="24"/>
                <w:szCs w:val="24"/>
              </w:rPr>
            </w:pPr>
            <w:r w:rsidRPr="00D21A14">
              <w:rPr>
                <w:rFonts w:ascii="Times New Roman" w:hAnsi="Times New Roman"/>
                <w:sz w:val="24"/>
                <w:szCs w:val="24"/>
              </w:rPr>
              <w:t>17</w:t>
            </w:r>
            <w:r w:rsidR="00A35FFB">
              <w:rPr>
                <w:rFonts w:ascii="Times New Roman" w:hAnsi="Times New Roman"/>
                <w:sz w:val="24"/>
                <w:szCs w:val="24"/>
              </w:rPr>
              <w:t>32</w:t>
            </w:r>
            <w:r w:rsidRPr="00D21A14">
              <w:rPr>
                <w:rFonts w:ascii="Times New Roman" w:hAnsi="Times New Roman"/>
                <w:sz w:val="24"/>
                <w:szCs w:val="24"/>
              </w:rPr>
              <w:t>,4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CD3FDD">
            <w:pPr>
              <w:jc w:val="center"/>
              <w:rPr>
                <w:rFonts w:ascii="Times New Roman" w:hAnsi="Times New Roman"/>
                <w:sz w:val="24"/>
                <w:szCs w:val="24"/>
              </w:rPr>
            </w:pPr>
            <w:r w:rsidRPr="00D21A14">
              <w:rPr>
                <w:rFonts w:ascii="Times New Roman" w:hAnsi="Times New Roman"/>
                <w:sz w:val="24"/>
                <w:szCs w:val="24"/>
              </w:rPr>
              <w:t>2</w:t>
            </w:r>
            <w:r w:rsidR="00CD3FDD">
              <w:rPr>
                <w:rFonts w:ascii="Times New Roman" w:hAnsi="Times New Roman"/>
                <w:sz w:val="24"/>
                <w:szCs w:val="24"/>
              </w:rPr>
              <w:t>3</w:t>
            </w:r>
            <w:r w:rsidR="00F04372" w:rsidRPr="00D21A14">
              <w:rPr>
                <w:rFonts w:ascii="Times New Roman" w:hAnsi="Times New Roman"/>
                <w:sz w:val="24"/>
                <w:szCs w:val="24"/>
              </w:rPr>
              <w:t>0,0</w:t>
            </w:r>
          </w:p>
        </w:tc>
        <w:tc>
          <w:tcPr>
            <w:tcW w:w="993" w:type="dxa"/>
          </w:tcPr>
          <w:p w:rsidR="00F04372" w:rsidRPr="00D21A14" w:rsidRDefault="00A35FFB">
            <w:r>
              <w:rPr>
                <w:rFonts w:ascii="Times New Roman" w:hAnsi="Times New Roman"/>
                <w:sz w:val="24"/>
                <w:szCs w:val="24"/>
              </w:rPr>
              <w:t>10</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A35FFB">
            <w:r>
              <w:rPr>
                <w:rFonts w:ascii="Times New Roman" w:hAnsi="Times New Roman"/>
                <w:sz w:val="24"/>
                <w:szCs w:val="24"/>
              </w:rPr>
              <w:t>7</w:t>
            </w:r>
            <w:r w:rsidR="00F04372" w:rsidRPr="00CA30F7">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A35FFB" w:rsidRPr="006969D9" w:rsidTr="001040FB">
        <w:tc>
          <w:tcPr>
            <w:tcW w:w="675"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A35FFB" w:rsidRPr="006969D9" w:rsidRDefault="00A35FFB"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17</w:t>
            </w:r>
            <w:r>
              <w:rPr>
                <w:rFonts w:ascii="Times New Roman" w:hAnsi="Times New Roman"/>
                <w:sz w:val="24"/>
                <w:szCs w:val="24"/>
              </w:rPr>
              <w:t>3</w:t>
            </w:r>
            <w:r w:rsidRPr="00D21A14">
              <w:rPr>
                <w:rFonts w:ascii="Times New Roman" w:hAnsi="Times New Roman"/>
                <w:sz w:val="24"/>
                <w:szCs w:val="24"/>
              </w:rPr>
              <w:t>2,4</w:t>
            </w:r>
          </w:p>
        </w:tc>
        <w:tc>
          <w:tcPr>
            <w:tcW w:w="993"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A35FFB" w:rsidRPr="00D21A14" w:rsidRDefault="00A35FFB" w:rsidP="00A35FFB">
            <w:pPr>
              <w:jc w:val="center"/>
              <w:rPr>
                <w:rFonts w:ascii="Times New Roman" w:hAnsi="Times New Roman"/>
                <w:sz w:val="24"/>
                <w:szCs w:val="24"/>
              </w:rPr>
            </w:pPr>
            <w:r w:rsidRPr="00D21A14">
              <w:rPr>
                <w:rFonts w:ascii="Times New Roman" w:hAnsi="Times New Roman"/>
                <w:sz w:val="24"/>
                <w:szCs w:val="24"/>
              </w:rPr>
              <w:t>2</w:t>
            </w:r>
            <w:r>
              <w:rPr>
                <w:rFonts w:ascii="Times New Roman" w:hAnsi="Times New Roman"/>
                <w:sz w:val="24"/>
                <w:szCs w:val="24"/>
              </w:rPr>
              <w:t>3</w:t>
            </w:r>
            <w:r w:rsidRPr="00D21A14">
              <w:rPr>
                <w:rFonts w:ascii="Times New Roman" w:hAnsi="Times New Roman"/>
                <w:sz w:val="24"/>
                <w:szCs w:val="24"/>
              </w:rPr>
              <w:t>0,0</w:t>
            </w:r>
          </w:p>
        </w:tc>
        <w:tc>
          <w:tcPr>
            <w:tcW w:w="993" w:type="dxa"/>
          </w:tcPr>
          <w:p w:rsidR="00A35FFB" w:rsidRPr="00D21A14" w:rsidRDefault="00A35FFB" w:rsidP="00A35FFB">
            <w:r>
              <w:rPr>
                <w:rFonts w:ascii="Times New Roman" w:hAnsi="Times New Roman"/>
                <w:sz w:val="24"/>
                <w:szCs w:val="24"/>
              </w:rPr>
              <w:t>10</w:t>
            </w:r>
            <w:r w:rsidRPr="00D21A14">
              <w:rPr>
                <w:rFonts w:ascii="Times New Roman" w:hAnsi="Times New Roman"/>
                <w:sz w:val="24"/>
                <w:szCs w:val="24"/>
              </w:rPr>
              <w:t>0,0</w:t>
            </w:r>
          </w:p>
        </w:tc>
        <w:tc>
          <w:tcPr>
            <w:tcW w:w="992" w:type="dxa"/>
          </w:tcPr>
          <w:p w:rsidR="00A35FFB" w:rsidRPr="00D21A14" w:rsidRDefault="00A35FFB" w:rsidP="00A35FFB">
            <w:r w:rsidRPr="00D21A14">
              <w:rPr>
                <w:rFonts w:ascii="Times New Roman" w:hAnsi="Times New Roman"/>
                <w:sz w:val="24"/>
                <w:szCs w:val="24"/>
              </w:rPr>
              <w:t>70,0</w:t>
            </w:r>
          </w:p>
        </w:tc>
        <w:tc>
          <w:tcPr>
            <w:tcW w:w="992" w:type="dxa"/>
          </w:tcPr>
          <w:p w:rsidR="00A35FFB" w:rsidRDefault="00A35FFB" w:rsidP="00A35FFB">
            <w:r>
              <w:rPr>
                <w:rFonts w:ascii="Times New Roman" w:hAnsi="Times New Roman"/>
                <w:sz w:val="24"/>
                <w:szCs w:val="24"/>
              </w:rPr>
              <w:t>7</w:t>
            </w:r>
            <w:r w:rsidRPr="00CA30F7">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5B4C5A" w:rsidRPr="006969D9" w:rsidTr="00E215AA">
        <w:tc>
          <w:tcPr>
            <w:tcW w:w="675"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5B4C5A" w:rsidRPr="00C93373" w:rsidRDefault="005B4C5A"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sidR="00C11AC6">
              <w:rPr>
                <w:rFonts w:ascii="Times New Roman" w:hAnsi="Times New Roman"/>
                <w:sz w:val="24"/>
                <w:szCs w:val="24"/>
              </w:rPr>
              <w:t>2</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6</w:t>
            </w:r>
            <w:r>
              <w:rPr>
                <w:rFonts w:ascii="Times New Roman" w:hAnsi="Times New Roman"/>
                <w:sz w:val="24"/>
                <w:szCs w:val="24"/>
              </w:rPr>
              <w:t>2</w:t>
            </w:r>
            <w:r w:rsidRPr="00C93373">
              <w:rPr>
                <w:rFonts w:ascii="Times New Roman" w:hAnsi="Times New Roman"/>
                <w:sz w:val="24"/>
                <w:szCs w:val="24"/>
              </w:rPr>
              <w:t>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5499,8</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5B4C5A" w:rsidRPr="00C93373" w:rsidRDefault="00C11AC6"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005B4C5A"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w:t>
            </w:r>
            <w:r w:rsidRPr="00C93373">
              <w:rPr>
                <w:rFonts w:ascii="Times New Roman" w:hAnsi="Times New Roman"/>
                <w:sz w:val="24"/>
                <w:szCs w:val="24"/>
              </w:rPr>
              <w:t>00,0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r w:rsidR="005B4C5A" w:rsidRPr="006969D9" w:rsidTr="00E215AA">
        <w:tc>
          <w:tcPr>
            <w:tcW w:w="675"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5B4C5A" w:rsidRPr="006969D9"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3"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vAlign w:val="center"/>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r>
    </w:tbl>
    <w:p w:rsidR="00870A10" w:rsidRPr="00497355" w:rsidRDefault="00FD3E6D"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FD3E6D">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4555D5">
              <w:rPr>
                <w:rFonts w:ascii="Times New Roman" w:hAnsi="Times New Roman"/>
                <w:sz w:val="28"/>
                <w:szCs w:val="28"/>
              </w:rPr>
              <w:t>10174,4</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703EA5">
              <w:rPr>
                <w:rFonts w:ascii="Times New Roman" w:hAnsi="Times New Roman"/>
                <w:sz w:val="28"/>
                <w:szCs w:val="28"/>
              </w:rPr>
              <w:t>2142,2</w:t>
            </w:r>
            <w:r w:rsidRPr="00D21A14">
              <w:rPr>
                <w:rFonts w:ascii="Times New Roman" w:hAnsi="Times New Roman"/>
                <w:sz w:val="28"/>
                <w:szCs w:val="28"/>
              </w:rPr>
              <w:t xml:space="preserve">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2019 год </w:t>
            </w:r>
            <w:r w:rsidR="004555D5">
              <w:rPr>
                <w:rFonts w:ascii="Times New Roman" w:hAnsi="Times New Roman"/>
                <w:sz w:val="28"/>
                <w:szCs w:val="28"/>
              </w:rPr>
              <w:t xml:space="preserve"> -1333,5</w:t>
            </w:r>
            <w:r w:rsidRPr="00D21A14">
              <w:rPr>
                <w:rFonts w:ascii="Times New Roman" w:hAnsi="Times New Roman"/>
                <w:sz w:val="28"/>
                <w:szCs w:val="28"/>
              </w:rPr>
              <w:t xml:space="preserve">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4555D5">
              <w:rPr>
                <w:rFonts w:ascii="Times New Roman" w:hAnsi="Times New Roman"/>
                <w:sz w:val="28"/>
                <w:szCs w:val="28"/>
              </w:rPr>
              <w:t>5593,1</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703EA5">
              <w:rPr>
                <w:rFonts w:ascii="Times New Roman" w:hAnsi="Times New Roman"/>
                <w:sz w:val="28"/>
                <w:szCs w:val="28"/>
              </w:rPr>
              <w:t>2142,2</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2019 год – </w:t>
            </w:r>
            <w:r w:rsidR="004555D5">
              <w:rPr>
                <w:rFonts w:ascii="Times New Roman" w:hAnsi="Times New Roman"/>
                <w:sz w:val="28"/>
                <w:szCs w:val="28"/>
              </w:rPr>
              <w:t>1333,5</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в том числе из сре</w:t>
            </w:r>
            <w:proofErr w:type="gramStart"/>
            <w:r w:rsidRPr="00D21A14">
              <w:rPr>
                <w:rFonts w:ascii="Times New Roman" w:hAnsi="Times New Roman"/>
                <w:sz w:val="28"/>
                <w:szCs w:val="28"/>
              </w:rPr>
              <w:t xml:space="preserve">дств </w:t>
            </w:r>
            <w:r w:rsidR="00585AC1" w:rsidRPr="00D21A14">
              <w:rPr>
                <w:rFonts w:ascii="Times New Roman" w:hAnsi="Times New Roman"/>
                <w:sz w:val="28"/>
                <w:szCs w:val="28"/>
              </w:rPr>
              <w:t>кр</w:t>
            </w:r>
            <w:proofErr w:type="gramEnd"/>
            <w:r w:rsidR="00585AC1" w:rsidRPr="00D21A14">
              <w:rPr>
                <w:rFonts w:ascii="Times New Roman" w:hAnsi="Times New Roman"/>
                <w:sz w:val="28"/>
                <w:szCs w:val="28"/>
              </w:rPr>
              <w:t>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4555D5">
        <w:rPr>
          <w:rFonts w:ascii="Times New Roman" w:hAnsi="Times New Roman"/>
          <w:sz w:val="28"/>
          <w:szCs w:val="28"/>
        </w:rPr>
        <w:t>10174,4</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1134"/>
        <w:gridCol w:w="850"/>
        <w:gridCol w:w="851"/>
        <w:gridCol w:w="992"/>
        <w:gridCol w:w="992"/>
        <w:gridCol w:w="992"/>
        <w:gridCol w:w="992"/>
        <w:gridCol w:w="851"/>
        <w:gridCol w:w="1417"/>
        <w:gridCol w:w="1418"/>
      </w:tblGrid>
      <w:tr w:rsidR="001A1AFB" w:rsidRPr="006969D9" w:rsidTr="004555D5">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134"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520"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1134"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4555D5">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2190"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4555D5">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2190"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4555D5">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1A1AFB" w:rsidRPr="00792818" w:rsidRDefault="004555D5"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9350,7</w:t>
            </w:r>
          </w:p>
        </w:tc>
        <w:tc>
          <w:tcPr>
            <w:tcW w:w="850" w:type="dxa"/>
            <w:vAlign w:val="center"/>
          </w:tcPr>
          <w:p w:rsidR="001A1AFB" w:rsidRPr="00792818"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200,0</w:t>
            </w:r>
          </w:p>
        </w:tc>
        <w:tc>
          <w:tcPr>
            <w:tcW w:w="851" w:type="dxa"/>
            <w:vAlign w:val="center"/>
          </w:tcPr>
          <w:p w:rsidR="001A1AFB" w:rsidRPr="00792818"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400,0</w:t>
            </w:r>
          </w:p>
        </w:tc>
        <w:tc>
          <w:tcPr>
            <w:tcW w:w="992" w:type="dxa"/>
            <w:vAlign w:val="center"/>
          </w:tcPr>
          <w:p w:rsidR="001A1AFB" w:rsidRPr="00792818" w:rsidRDefault="00C9762B"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1A1AFB" w:rsidRPr="00792818" w:rsidRDefault="00C21019" w:rsidP="003046F1">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1990,0</w:t>
            </w:r>
          </w:p>
        </w:tc>
        <w:tc>
          <w:tcPr>
            <w:tcW w:w="992" w:type="dxa"/>
            <w:vAlign w:val="center"/>
          </w:tcPr>
          <w:p w:rsidR="001A1AFB" w:rsidRPr="00792818"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4555D5">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F2C41" w:rsidRPr="006969D9" w:rsidTr="004555D5">
        <w:trPr>
          <w:trHeight w:val="561"/>
        </w:trPr>
        <w:tc>
          <w:tcPr>
            <w:tcW w:w="56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851" w:type="dxa"/>
            <w:vAlign w:val="center"/>
          </w:tcPr>
          <w:p w:rsidR="00DF2C41" w:rsidRPr="00792818" w:rsidRDefault="00DF2C41" w:rsidP="00DF2C4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DF2C41" w:rsidRPr="00792818"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DF2C41" w:rsidRPr="006969D9" w:rsidRDefault="00DF2C4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21019" w:rsidRPr="006969D9" w:rsidTr="004555D5">
        <w:trPr>
          <w:trHeight w:val="838"/>
        </w:trPr>
        <w:tc>
          <w:tcPr>
            <w:tcW w:w="568" w:type="dxa"/>
            <w:vMerge/>
            <w:vAlign w:val="center"/>
          </w:tcPr>
          <w:p w:rsidR="00C21019" w:rsidRPr="006969D9"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C21019" w:rsidRPr="006969D9"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C21019" w:rsidRPr="006969D9"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C21019" w:rsidRPr="00792818" w:rsidRDefault="00C21019"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4509,6</w:t>
            </w:r>
          </w:p>
        </w:tc>
        <w:tc>
          <w:tcPr>
            <w:tcW w:w="850" w:type="dxa"/>
            <w:vAlign w:val="center"/>
          </w:tcPr>
          <w:p w:rsidR="00C21019" w:rsidRPr="00792818" w:rsidRDefault="00C21019" w:rsidP="005E27F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200,0</w:t>
            </w:r>
          </w:p>
        </w:tc>
        <w:tc>
          <w:tcPr>
            <w:tcW w:w="851" w:type="dxa"/>
            <w:vAlign w:val="center"/>
          </w:tcPr>
          <w:p w:rsidR="00C21019" w:rsidRPr="00792818" w:rsidRDefault="00C21019" w:rsidP="005E27F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400,0</w:t>
            </w:r>
          </w:p>
        </w:tc>
        <w:tc>
          <w:tcPr>
            <w:tcW w:w="992" w:type="dxa"/>
            <w:vAlign w:val="center"/>
          </w:tcPr>
          <w:p w:rsidR="00C21019" w:rsidRPr="00792818" w:rsidRDefault="00C21019" w:rsidP="005E27F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C21019" w:rsidRPr="00792818" w:rsidRDefault="00C21019" w:rsidP="005E27F9">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1990,0</w:t>
            </w:r>
          </w:p>
        </w:tc>
        <w:tc>
          <w:tcPr>
            <w:tcW w:w="992" w:type="dxa"/>
            <w:vAlign w:val="center"/>
          </w:tcPr>
          <w:p w:rsidR="00C21019" w:rsidRPr="00792818" w:rsidRDefault="00C21019" w:rsidP="005E27F9">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992" w:type="dxa"/>
            <w:vAlign w:val="center"/>
          </w:tcPr>
          <w:p w:rsidR="00C21019" w:rsidRPr="00792818" w:rsidRDefault="00C21019"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C21019" w:rsidRPr="00792818" w:rsidRDefault="00C21019"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C21019" w:rsidRPr="006969D9"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C21019" w:rsidRPr="006969D9" w:rsidRDefault="00C2101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5270,8</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C9762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992" w:type="dxa"/>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36,5</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1A1AFB" w:rsidRPr="00792818" w:rsidRDefault="0023226E"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689,5</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992" w:type="dxa"/>
            <w:vAlign w:val="center"/>
          </w:tcPr>
          <w:p w:rsidR="001A1AFB"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36,5</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4555D5">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4555D5">
        <w:tc>
          <w:tcPr>
            <w:tcW w:w="568" w:type="dxa"/>
            <w:vMerge w:val="restart"/>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w:t>
            </w:r>
          </w:p>
        </w:tc>
        <w:tc>
          <w:tcPr>
            <w:tcW w:w="2409" w:type="dxa"/>
            <w:vMerge w:val="restart"/>
            <w:vAlign w:val="center"/>
          </w:tcPr>
          <w:p w:rsidR="00853620" w:rsidRPr="006969D9" w:rsidRDefault="00853620"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853620"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853620" w:rsidRPr="006969D9"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853620" w:rsidRPr="006969D9" w:rsidRDefault="00853620"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853620" w:rsidRPr="006969D9" w:rsidTr="004555D5">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4555D5">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4555D5">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4555D5">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555D5">
        <w:tc>
          <w:tcPr>
            <w:tcW w:w="568" w:type="dxa"/>
            <w:vMerge w:val="restart"/>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0D6B4D"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000D6B4D"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roofErr w:type="gramEnd"/>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0D6B4D" w:rsidRPr="00792818"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3137,0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0D6B4D" w:rsidRPr="00792818">
              <w:rPr>
                <w:rFonts w:ascii="Times New Roman" w:hAnsi="Times New Roman"/>
                <w:sz w:val="24"/>
                <w:szCs w:val="24"/>
              </w:rPr>
              <w:t>0,0</w:t>
            </w:r>
          </w:p>
        </w:tc>
        <w:tc>
          <w:tcPr>
            <w:tcW w:w="992" w:type="dxa"/>
            <w:vAlign w:val="center"/>
          </w:tcPr>
          <w:p w:rsidR="000D6B4D" w:rsidRPr="00792818" w:rsidRDefault="00773CF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vAlign w:val="center"/>
          </w:tcPr>
          <w:p w:rsidR="000D6B4D" w:rsidRPr="00792818"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1083,5</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4555D5">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555D5">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B2EF1" w:rsidRPr="00792818" w:rsidRDefault="004555D5"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313,0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773CFE"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vAlign w:val="center"/>
          </w:tcPr>
          <w:p w:rsidR="002B2EF1" w:rsidRPr="00792818" w:rsidRDefault="004555D5"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1083,5</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4555D5">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restart"/>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4555D5">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rPr>
          <w:trHeight w:val="623"/>
        </w:trPr>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Обслуживание</w:t>
            </w:r>
            <w:r w:rsidR="002B2EF1">
              <w:rPr>
                <w:rFonts w:ascii="Times New Roman" w:hAnsi="Times New Roman"/>
                <w:sz w:val="24"/>
                <w:szCs w:val="24"/>
              </w:rPr>
              <w:t xml:space="preserve"> газопроводов, находящихся в собственности МО Кавказский район</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2B2EF1"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823,7</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152,2</w:t>
            </w:r>
          </w:p>
        </w:tc>
        <w:tc>
          <w:tcPr>
            <w:tcW w:w="992" w:type="dxa"/>
            <w:vAlign w:val="center"/>
          </w:tcPr>
          <w:p w:rsidR="002B2EF1" w:rsidRPr="00792818" w:rsidRDefault="0023226E" w:rsidP="0023226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w:t>
            </w:r>
            <w:r w:rsidR="002B2EF1" w:rsidRPr="00792818">
              <w:rPr>
                <w:rFonts w:ascii="Times New Roman" w:hAnsi="Times New Roman"/>
                <w:sz w:val="24"/>
                <w:szCs w:val="24"/>
              </w:rPr>
              <w:t>,0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3226E" w:rsidRPr="006969D9" w:rsidTr="004555D5">
        <w:tc>
          <w:tcPr>
            <w:tcW w:w="568" w:type="dxa"/>
            <w:vMerge/>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3226E" w:rsidRPr="006969D9" w:rsidRDefault="0023226E"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823,7</w:t>
            </w:r>
          </w:p>
        </w:tc>
        <w:tc>
          <w:tcPr>
            <w:tcW w:w="850"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152,2</w:t>
            </w:r>
          </w:p>
        </w:tc>
        <w:tc>
          <w:tcPr>
            <w:tcW w:w="992"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150</w:t>
            </w:r>
            <w:r w:rsidRPr="00792818">
              <w:rPr>
                <w:rFonts w:ascii="Times New Roman" w:hAnsi="Times New Roman"/>
                <w:sz w:val="24"/>
                <w:szCs w:val="24"/>
              </w:rPr>
              <w:t>,0</w:t>
            </w:r>
          </w:p>
        </w:tc>
        <w:tc>
          <w:tcPr>
            <w:tcW w:w="992"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3226E" w:rsidRPr="00792818" w:rsidRDefault="0023226E" w:rsidP="004555D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3226E"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Итого по </w:t>
            </w:r>
            <w:r w:rsidR="001B5501">
              <w:rPr>
                <w:rFonts w:ascii="Times New Roman" w:hAnsi="Times New Roman"/>
                <w:sz w:val="24"/>
                <w:szCs w:val="24"/>
              </w:rPr>
              <w:t>программе</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134" w:type="dxa"/>
            <w:vAlign w:val="center"/>
          </w:tcPr>
          <w:p w:rsidR="002B2EF1" w:rsidRPr="00792818" w:rsidRDefault="004555D5"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10174,4</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2B2EF1" w:rsidRPr="00792818" w:rsidRDefault="0023226E"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992" w:type="dxa"/>
            <w:vAlign w:val="center"/>
          </w:tcPr>
          <w:p w:rsidR="002B2EF1" w:rsidRPr="00792818"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134"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134"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134" w:type="dxa"/>
            <w:vAlign w:val="center"/>
          </w:tcPr>
          <w:p w:rsidR="002B2EF1" w:rsidRPr="006969D9"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5593,1</w:t>
            </w:r>
          </w:p>
        </w:tc>
        <w:tc>
          <w:tcPr>
            <w:tcW w:w="850"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2B2EF1" w:rsidRPr="006969D9" w:rsidRDefault="0023226E"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2142,2</w:t>
            </w:r>
          </w:p>
        </w:tc>
        <w:tc>
          <w:tcPr>
            <w:tcW w:w="992" w:type="dxa"/>
            <w:vAlign w:val="center"/>
          </w:tcPr>
          <w:p w:rsidR="002B2EF1" w:rsidRPr="006969D9" w:rsidRDefault="004555D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4555D5">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1134"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C11AC6">
        <w:trPr>
          <w:trHeight w:val="897"/>
        </w:trPr>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4555D5"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10174,4</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773CFE"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0A5889" w:rsidRPr="00792818" w:rsidRDefault="004555D5"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00,0</w:t>
            </w:r>
          </w:p>
        </w:tc>
        <w:tc>
          <w:tcPr>
            <w:tcW w:w="1134" w:type="dxa"/>
            <w:vAlign w:val="center"/>
          </w:tcPr>
          <w:p w:rsidR="000A5889" w:rsidRPr="006969D9" w:rsidRDefault="000A5889" w:rsidP="00C11AC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C11AC6" w:rsidRPr="009C7CEA" w:rsidTr="001040FB">
        <w:tc>
          <w:tcPr>
            <w:tcW w:w="653" w:type="dxa"/>
            <w:vMerge/>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11AC6" w:rsidRPr="009C7CEA" w:rsidRDefault="00C11AC6"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C11AC6" w:rsidRPr="00792818" w:rsidRDefault="004555D5"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5593,1</w:t>
            </w:r>
          </w:p>
        </w:tc>
        <w:tc>
          <w:tcPr>
            <w:tcW w:w="1134"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C11AC6" w:rsidRPr="00792818" w:rsidRDefault="00C11AC6"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C11AC6" w:rsidRPr="00792818" w:rsidRDefault="00C11AC6"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2103,5</w:t>
            </w:r>
          </w:p>
        </w:tc>
        <w:tc>
          <w:tcPr>
            <w:tcW w:w="992" w:type="dxa"/>
            <w:vAlign w:val="center"/>
          </w:tcPr>
          <w:p w:rsidR="00C11AC6" w:rsidRPr="00792818" w:rsidRDefault="004555D5"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1333,5</w:t>
            </w:r>
          </w:p>
        </w:tc>
        <w:tc>
          <w:tcPr>
            <w:tcW w:w="993" w:type="dxa"/>
            <w:vAlign w:val="center"/>
          </w:tcPr>
          <w:p w:rsidR="00C11AC6" w:rsidRPr="00792818" w:rsidRDefault="00C11AC6"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00,0</w:t>
            </w:r>
          </w:p>
        </w:tc>
        <w:tc>
          <w:tcPr>
            <w:tcW w:w="1134" w:type="dxa"/>
            <w:vAlign w:val="center"/>
          </w:tcPr>
          <w:p w:rsidR="00C11AC6" w:rsidRPr="006969D9" w:rsidRDefault="00C11AC6" w:rsidP="00703EA5">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773CFE" w:rsidRPr="00F32B76" w:rsidTr="00A35FFB">
        <w:trPr>
          <w:gridAfter w:val="1"/>
          <w:wAfter w:w="905" w:type="dxa"/>
          <w:trHeight w:val="1139"/>
        </w:trPr>
        <w:tc>
          <w:tcPr>
            <w:tcW w:w="15610" w:type="dxa"/>
            <w:gridSpan w:val="16"/>
            <w:tcBorders>
              <w:top w:val="nil"/>
              <w:left w:val="nil"/>
              <w:bottom w:val="nil"/>
              <w:right w:val="nil"/>
            </w:tcBorders>
          </w:tcPr>
          <w:p w:rsidR="00773CFE" w:rsidRPr="00F32B76" w:rsidRDefault="00773CFE" w:rsidP="00A35FFB">
            <w:pPr>
              <w:pStyle w:val="1"/>
              <w:spacing w:line="276" w:lineRule="auto"/>
              <w:rPr>
                <w:rFonts w:ascii="Times New Roman" w:hAnsi="Times New Roman" w:cs="Times New Roman"/>
                <w:color w:val="auto"/>
              </w:rPr>
            </w:pPr>
          </w:p>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Информация</w:t>
            </w:r>
            <w:r w:rsidRPr="00F32B76">
              <w:rPr>
                <w:rFonts w:ascii="Times New Roman" w:hAnsi="Times New Roman" w:cs="Times New Roman"/>
                <w:color w:val="auto"/>
              </w:rPr>
              <w:br/>
              <w:t>об объекте капитального строительства</w:t>
            </w:r>
          </w:p>
        </w:tc>
      </w:tr>
      <w:tr w:rsidR="00773CFE" w:rsidRPr="00F32B76" w:rsidTr="00A35FFB">
        <w:trPr>
          <w:gridAfter w:val="1"/>
          <w:wAfter w:w="905" w:type="dxa"/>
          <w:trHeight w:val="89"/>
        </w:trPr>
        <w:tc>
          <w:tcPr>
            <w:tcW w:w="1936" w:type="dxa"/>
            <w:gridSpan w:val="2"/>
            <w:tcBorders>
              <w:top w:val="nil"/>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rPr>
            </w:pPr>
            <w:r w:rsidRPr="00F32B76">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773CFE" w:rsidRPr="00F32B76" w:rsidRDefault="00773CFE" w:rsidP="00A35FFB">
            <w:pPr>
              <w:pStyle w:val="a9"/>
              <w:spacing w:line="276" w:lineRule="auto"/>
              <w:jc w:val="center"/>
              <w:rPr>
                <w:rFonts w:ascii="Times New Roman" w:hAnsi="Times New Roman" w:cs="Times New Roman"/>
              </w:rPr>
            </w:pP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r>
      <w:tr w:rsidR="00773CFE" w:rsidRPr="00F32B76" w:rsidTr="00A35FFB">
        <w:trPr>
          <w:gridAfter w:val="1"/>
          <w:wAfter w:w="905" w:type="dxa"/>
        </w:trPr>
        <w:tc>
          <w:tcPr>
            <w:tcW w:w="1936" w:type="dxa"/>
            <w:gridSpan w:val="2"/>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(наименование объекта капитального строительства согласно проектной документации)</w:t>
            </w: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Основные технико-экономические показатели по объекту</w:t>
            </w:r>
          </w:p>
        </w:tc>
      </w:tr>
      <w:tr w:rsidR="00773CFE" w:rsidRPr="00F32B76" w:rsidTr="00A35FFB">
        <w:trPr>
          <w:gridAfter w:val="1"/>
          <w:wAfter w:w="905" w:type="dxa"/>
        </w:trPr>
        <w:tc>
          <w:tcPr>
            <w:tcW w:w="1246" w:type="dxa"/>
            <w:tcBorders>
              <w:top w:val="nil"/>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rPr>
              <w:t>Строительство газопровода высокого и низкого давления, ПРГШ</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х. Р.Люксембург Кавказского района</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Администрация муниципального образования Кавказский район</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i/>
              </w:rPr>
            </w:pP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декабрь 2019 года</w:t>
            </w: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Объем финансового обеспечения, тыс. руб.</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Период реализации</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2021 год</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bl>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w:t>
            </w:r>
            <w:r w:rsidR="00C11AC6">
              <w:rPr>
                <w:rFonts w:ascii="Times New Roman" w:hAnsi="Times New Roman"/>
                <w:sz w:val="28"/>
                <w:szCs w:val="28"/>
              </w:rPr>
              <w:t>3</w:t>
            </w:r>
            <w:r w:rsidR="001B5501" w:rsidRPr="002C776A">
              <w:rPr>
                <w:rFonts w:ascii="Times New Roman" w:hAnsi="Times New Roman"/>
                <w:sz w:val="28"/>
                <w:szCs w:val="28"/>
              </w:rPr>
              <w:t>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D3FDD">
              <w:rPr>
                <w:rFonts w:ascii="Times New Roman" w:hAnsi="Times New Roman"/>
                <w:sz w:val="28"/>
                <w:szCs w:val="28"/>
              </w:rPr>
              <w:t>17</w:t>
            </w:r>
            <w:r w:rsidR="00C11AC6">
              <w:rPr>
                <w:rFonts w:ascii="Times New Roman" w:hAnsi="Times New Roman"/>
                <w:sz w:val="28"/>
                <w:szCs w:val="28"/>
              </w:rPr>
              <w:t>3</w:t>
            </w:r>
            <w:r w:rsidR="00C9762B" w:rsidRPr="002C776A">
              <w:rPr>
                <w:rFonts w:ascii="Times New Roman" w:hAnsi="Times New Roman"/>
                <w:sz w:val="28"/>
                <w:szCs w:val="28"/>
              </w:rPr>
              <w:t>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C11AC6">
              <w:rPr>
                <w:rFonts w:ascii="Times New Roman" w:hAnsi="Times New Roman"/>
                <w:sz w:val="28"/>
                <w:szCs w:val="28"/>
              </w:rPr>
              <w:t>10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C11AC6">
            <w:pPr>
              <w:spacing w:after="0" w:line="240" w:lineRule="auto"/>
              <w:rPr>
                <w:rFonts w:ascii="Times New Roman" w:hAnsi="Times New Roman"/>
                <w:color w:val="000000"/>
                <w:sz w:val="28"/>
                <w:szCs w:val="28"/>
              </w:rPr>
            </w:pPr>
            <w:r w:rsidRPr="002C776A">
              <w:rPr>
                <w:rFonts w:ascii="Times New Roman" w:hAnsi="Times New Roman"/>
                <w:sz w:val="28"/>
                <w:szCs w:val="28"/>
              </w:rPr>
              <w:t xml:space="preserve">2021 год – </w:t>
            </w:r>
            <w:r w:rsidR="00C11AC6">
              <w:rPr>
                <w:rFonts w:ascii="Times New Roman" w:hAnsi="Times New Roman"/>
                <w:sz w:val="28"/>
                <w:szCs w:val="28"/>
              </w:rPr>
              <w:t>7</w:t>
            </w:r>
            <w:r w:rsidRPr="002C776A">
              <w:rPr>
                <w:rFonts w:ascii="Times New Roman" w:hAnsi="Times New Roman"/>
                <w:sz w:val="28"/>
                <w:szCs w:val="28"/>
              </w:rPr>
              <w:t>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407</w:t>
            </w:r>
          </w:p>
        </w:tc>
        <w:tc>
          <w:tcPr>
            <w:tcW w:w="851" w:type="dxa"/>
          </w:tcPr>
          <w:p w:rsidR="00B03E53" w:rsidRDefault="00B03E53">
            <w:r w:rsidRPr="00560451">
              <w:rPr>
                <w:rFonts w:ascii="Times New Roman" w:hAnsi="Times New Roman"/>
                <w:sz w:val="24"/>
                <w:szCs w:val="24"/>
              </w:rPr>
              <w:t>50</w:t>
            </w:r>
            <w:r w:rsidR="00C11AC6">
              <w:rPr>
                <w:rFonts w:ascii="Times New Roman" w:hAnsi="Times New Roman"/>
                <w:sz w:val="24"/>
                <w:szCs w:val="24"/>
              </w:rPr>
              <w:t>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10</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9443FA" w:rsidRPr="00792818" w:rsidTr="003046F1">
        <w:tc>
          <w:tcPr>
            <w:tcW w:w="663" w:type="dxa"/>
            <w:vMerge/>
            <w:shd w:val="clear" w:color="auto" w:fill="auto"/>
          </w:tcPr>
          <w:p w:rsidR="009443FA" w:rsidRPr="00792818" w:rsidRDefault="009443FA" w:rsidP="009443FA">
            <w:pPr>
              <w:spacing w:after="0" w:line="240" w:lineRule="auto"/>
              <w:jc w:val="center"/>
              <w:rPr>
                <w:rFonts w:ascii="Times New Roman" w:hAnsi="Times New Roman"/>
                <w:sz w:val="24"/>
                <w:szCs w:val="24"/>
              </w:rPr>
            </w:pPr>
          </w:p>
        </w:tc>
        <w:tc>
          <w:tcPr>
            <w:tcW w:w="2260" w:type="dxa"/>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17"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w:t>
            </w:r>
            <w:r w:rsidRPr="00792818">
              <w:rPr>
                <w:rFonts w:ascii="Times New Roman" w:hAnsi="Times New Roman"/>
                <w:sz w:val="24"/>
                <w:szCs w:val="24"/>
              </w:rPr>
              <w:t>0,0</w:t>
            </w:r>
          </w:p>
        </w:tc>
        <w:tc>
          <w:tcPr>
            <w:tcW w:w="992" w:type="dxa"/>
            <w:gridSpan w:val="2"/>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7</w:t>
            </w:r>
            <w:r w:rsidRPr="00792818">
              <w:rPr>
                <w:rFonts w:ascii="Times New Roman" w:hAnsi="Times New Roman"/>
                <w:sz w:val="24"/>
                <w:szCs w:val="24"/>
              </w:rPr>
              <w:t>0,0</w:t>
            </w:r>
          </w:p>
        </w:tc>
        <w:tc>
          <w:tcPr>
            <w:tcW w:w="1417" w:type="dxa"/>
            <w:gridSpan w:val="2"/>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20" w:type="dxa"/>
            <w:gridSpan w:val="3"/>
            <w:vMerge/>
            <w:shd w:val="clear" w:color="auto" w:fill="auto"/>
          </w:tcPr>
          <w:p w:rsidR="009443FA" w:rsidRPr="00792818" w:rsidRDefault="009443FA" w:rsidP="009443FA">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9443FA">
            <w:pPr>
              <w:spacing w:after="0" w:line="240" w:lineRule="auto"/>
              <w:jc w:val="center"/>
              <w:rPr>
                <w:rFonts w:ascii="Times New Roman" w:hAnsi="Times New Roman"/>
                <w:sz w:val="24"/>
                <w:szCs w:val="24"/>
              </w:rPr>
            </w:pPr>
            <w:r w:rsidRPr="00792818">
              <w:rPr>
                <w:rFonts w:ascii="Times New Roman" w:hAnsi="Times New Roman"/>
                <w:sz w:val="24"/>
                <w:szCs w:val="24"/>
              </w:rPr>
              <w:t>5</w:t>
            </w:r>
            <w:r w:rsidR="009443FA">
              <w:rPr>
                <w:rFonts w:ascii="Times New Roman" w:hAnsi="Times New Roman"/>
                <w:sz w:val="24"/>
                <w:szCs w:val="24"/>
              </w:rPr>
              <w:t>48</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70</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8</w:t>
            </w:r>
            <w:r w:rsidR="000205BB"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20121D">
            <w:pPr>
              <w:spacing w:after="0" w:line="240" w:lineRule="auto"/>
              <w:jc w:val="center"/>
              <w:rPr>
                <w:rFonts w:ascii="Times New Roman" w:hAnsi="Times New Roman"/>
                <w:sz w:val="24"/>
                <w:szCs w:val="24"/>
              </w:rPr>
            </w:pPr>
            <w:r>
              <w:rPr>
                <w:rFonts w:ascii="Times New Roman" w:hAnsi="Times New Roman"/>
                <w:sz w:val="24"/>
                <w:szCs w:val="24"/>
              </w:rPr>
              <w:t>7</w:t>
            </w:r>
            <w:r w:rsidR="000205BB"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9443FA">
            <w:pPr>
              <w:spacing w:after="0" w:line="240" w:lineRule="auto"/>
              <w:jc w:val="center"/>
              <w:rPr>
                <w:rFonts w:ascii="Times New Roman" w:hAnsi="Times New Roman"/>
                <w:sz w:val="24"/>
                <w:szCs w:val="24"/>
              </w:rPr>
            </w:pPr>
            <w:r w:rsidRPr="00792818">
              <w:rPr>
                <w:rFonts w:ascii="Times New Roman" w:hAnsi="Times New Roman"/>
                <w:sz w:val="24"/>
                <w:szCs w:val="24"/>
              </w:rPr>
              <w:t>1</w:t>
            </w:r>
            <w:r w:rsidR="009443FA">
              <w:rPr>
                <w:rFonts w:ascii="Times New Roman" w:hAnsi="Times New Roman"/>
                <w:sz w:val="24"/>
                <w:szCs w:val="24"/>
              </w:rPr>
              <w:t>2</w:t>
            </w:r>
            <w:r w:rsidR="0020121D" w:rsidRPr="00792818">
              <w:rPr>
                <w:rFonts w:ascii="Times New Roman" w:hAnsi="Times New Roman"/>
                <w:sz w:val="24"/>
                <w:szCs w:val="24"/>
              </w:rPr>
              <w:t>5</w:t>
            </w: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9443FA" w:rsidP="001F59AC">
            <w:pPr>
              <w:spacing w:after="0" w:line="240" w:lineRule="auto"/>
              <w:jc w:val="center"/>
              <w:rPr>
                <w:rFonts w:ascii="Times New Roman" w:hAnsi="Times New Roman"/>
                <w:sz w:val="24"/>
                <w:szCs w:val="24"/>
              </w:rPr>
            </w:pPr>
            <w:r>
              <w:rPr>
                <w:rFonts w:ascii="Times New Roman" w:hAnsi="Times New Roman"/>
                <w:sz w:val="24"/>
                <w:szCs w:val="24"/>
              </w:rPr>
              <w:t>6</w:t>
            </w:r>
            <w:r w:rsidR="001F59AC" w:rsidRPr="00792818">
              <w:rPr>
                <w:rFonts w:ascii="Times New Roman" w:hAnsi="Times New Roman"/>
                <w:sz w:val="24"/>
                <w:szCs w:val="24"/>
              </w:rPr>
              <w:t>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20</w:t>
            </w:r>
            <w:r w:rsidR="0020121D" w:rsidRPr="00792818">
              <w:rPr>
                <w:rFonts w:ascii="Times New Roman" w:hAnsi="Times New Roman"/>
                <w:sz w:val="24"/>
                <w:szCs w:val="24"/>
              </w:rPr>
              <w:t>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5</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5D7CDB" w:rsidRPr="00792818">
              <w:rPr>
                <w:rFonts w:ascii="Times New Roman" w:hAnsi="Times New Roman"/>
                <w:sz w:val="24"/>
                <w:szCs w:val="24"/>
              </w:rPr>
              <w:t>0,0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7</w:t>
            </w:r>
            <w:r w:rsidR="005D7CDB" w:rsidRPr="00792818">
              <w:rPr>
                <w:rFonts w:ascii="Times New Roman" w:hAnsi="Times New Roman"/>
                <w:sz w:val="24"/>
                <w:szCs w:val="24"/>
              </w:rPr>
              <w:t>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00FC325E">
              <w:rPr>
                <w:rFonts w:ascii="Times New Roman" w:hAnsi="Times New Roman"/>
                <w:sz w:val="24"/>
                <w:szCs w:val="24"/>
              </w:rPr>
              <w:t>2</w:t>
            </w:r>
            <w:r w:rsidRPr="00792818">
              <w:rPr>
                <w:rFonts w:ascii="Times New Roman" w:hAnsi="Times New Roman"/>
                <w:sz w:val="24"/>
                <w:szCs w:val="24"/>
              </w:rPr>
              <w:t>,4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Pr="00792818">
              <w:rPr>
                <w:rFonts w:ascii="Times New Roman" w:hAnsi="Times New Roman"/>
                <w:sz w:val="24"/>
                <w:szCs w:val="24"/>
              </w:rPr>
              <w:t>0,0</w:t>
            </w:r>
          </w:p>
        </w:tc>
        <w:tc>
          <w:tcPr>
            <w:tcW w:w="992" w:type="dxa"/>
            <w:gridSpan w:val="2"/>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10</w:t>
            </w:r>
            <w:r w:rsidR="00894CCC" w:rsidRPr="00792818">
              <w:rPr>
                <w:rFonts w:ascii="Times New Roman" w:hAnsi="Times New Roman"/>
                <w:sz w:val="24"/>
                <w:szCs w:val="24"/>
              </w:rPr>
              <w:t>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7</w:t>
            </w:r>
            <w:r w:rsidR="00894CCC" w:rsidRPr="00792818">
              <w:rPr>
                <w:rFonts w:ascii="Times New Roman" w:hAnsi="Times New Roman"/>
                <w:sz w:val="24"/>
                <w:szCs w:val="24"/>
              </w:rPr>
              <w:t>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8</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2</w:t>
            </w:r>
            <w:r w:rsidR="00FC325E">
              <w:rPr>
                <w:rFonts w:ascii="Times New Roman" w:hAnsi="Times New Roman"/>
                <w:sz w:val="24"/>
                <w:szCs w:val="24"/>
              </w:rPr>
              <w:t>5</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3</w:t>
            </w:r>
            <w:r w:rsidR="00FC325E">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FC325E"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20</w:t>
            </w:r>
            <w:r w:rsidR="005D7CDB"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CD3FDD" w:rsidP="005D7CDB">
            <w:pPr>
              <w:spacing w:after="0" w:line="240" w:lineRule="auto"/>
              <w:jc w:val="center"/>
              <w:rPr>
                <w:rFonts w:ascii="Times New Roman" w:hAnsi="Times New Roman"/>
                <w:sz w:val="24"/>
                <w:szCs w:val="24"/>
              </w:rPr>
            </w:pPr>
            <w:r>
              <w:rPr>
                <w:rFonts w:ascii="Times New Roman" w:hAnsi="Times New Roman"/>
                <w:sz w:val="24"/>
                <w:szCs w:val="24"/>
              </w:rPr>
              <w:t>5</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sidR="00FC325E">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E0673B" w:rsidRPr="00792818">
              <w:rPr>
                <w:rFonts w:ascii="Times New Roman" w:hAnsi="Times New Roman"/>
                <w:sz w:val="24"/>
                <w:szCs w:val="24"/>
              </w:rPr>
              <w:t>0,0</w:t>
            </w:r>
          </w:p>
        </w:tc>
        <w:tc>
          <w:tcPr>
            <w:tcW w:w="1134" w:type="dxa"/>
          </w:tcPr>
          <w:p w:rsidR="00E0673B" w:rsidRPr="00792818" w:rsidRDefault="00FC325E">
            <w:r>
              <w:rPr>
                <w:rFonts w:ascii="Times New Roman" w:hAnsi="Times New Roman"/>
                <w:sz w:val="24"/>
                <w:szCs w:val="24"/>
              </w:rPr>
              <w:t>10</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FC325E" w:rsidP="00FC325E">
            <w:r>
              <w:rPr>
                <w:rFonts w:ascii="Times New Roman" w:hAnsi="Times New Roman"/>
                <w:sz w:val="24"/>
                <w:szCs w:val="24"/>
              </w:rPr>
              <w:t>7</w:t>
            </w:r>
            <w:r w:rsidR="00E0673B" w:rsidRPr="00507307">
              <w:rPr>
                <w:rFonts w:ascii="Times New Roman" w:hAnsi="Times New Roman"/>
                <w:sz w:val="24"/>
                <w:szCs w:val="24"/>
              </w:rPr>
              <w:t>0,0</w:t>
            </w:r>
          </w:p>
        </w:tc>
      </w:tr>
      <w:tr w:rsidR="00FC325E" w:rsidRPr="009C7CEA" w:rsidTr="001040FB">
        <w:tc>
          <w:tcPr>
            <w:tcW w:w="653"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716"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126" w:type="dxa"/>
            <w:vAlign w:val="center"/>
          </w:tcPr>
          <w:p w:rsidR="00FC325E" w:rsidRPr="009C7CEA" w:rsidRDefault="00FC325E"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FC325E" w:rsidRPr="00792818" w:rsidRDefault="00FC325E"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FC325E" w:rsidRPr="00792818" w:rsidRDefault="00FC325E"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FC325E" w:rsidRPr="00792818" w:rsidRDefault="00FC325E"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Pr>
                <w:rFonts w:ascii="Times New Roman" w:hAnsi="Times New Roman"/>
                <w:sz w:val="24"/>
                <w:szCs w:val="24"/>
              </w:rPr>
              <w:t>3</w:t>
            </w:r>
            <w:r w:rsidRPr="00792818">
              <w:rPr>
                <w:rFonts w:ascii="Times New Roman" w:hAnsi="Times New Roman"/>
                <w:sz w:val="24"/>
                <w:szCs w:val="24"/>
              </w:rPr>
              <w:t>0,0</w:t>
            </w:r>
          </w:p>
        </w:tc>
        <w:tc>
          <w:tcPr>
            <w:tcW w:w="1134" w:type="dxa"/>
          </w:tcPr>
          <w:p w:rsidR="00FC325E" w:rsidRPr="00792818" w:rsidRDefault="00FC325E" w:rsidP="00703EA5">
            <w:r>
              <w:rPr>
                <w:rFonts w:ascii="Times New Roman" w:hAnsi="Times New Roman"/>
                <w:sz w:val="24"/>
                <w:szCs w:val="24"/>
              </w:rPr>
              <w:t>10</w:t>
            </w:r>
            <w:r w:rsidRPr="00792818">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5B4C5A" w:rsidRPr="0030227D" w:rsidRDefault="005B4C5A" w:rsidP="005B4C5A">
            <w:pPr>
              <w:spacing w:after="0" w:line="240" w:lineRule="auto"/>
              <w:jc w:val="both"/>
              <w:rPr>
                <w:rFonts w:ascii="Times New Roman" w:hAnsi="Times New Roman"/>
                <w:sz w:val="28"/>
                <w:szCs w:val="28"/>
              </w:rPr>
            </w:pPr>
            <w:r w:rsidRPr="00C93373">
              <w:rPr>
                <w:rFonts w:ascii="Times New Roman" w:hAnsi="Times New Roman"/>
                <w:sz w:val="28"/>
                <w:szCs w:val="28"/>
              </w:rPr>
              <w:t xml:space="preserve">общий </w:t>
            </w:r>
            <w:r w:rsidRPr="0030227D">
              <w:rPr>
                <w:rFonts w:ascii="Times New Roman" w:hAnsi="Times New Roman"/>
                <w:sz w:val="28"/>
                <w:szCs w:val="28"/>
              </w:rPr>
              <w:t>объем финансирования составляет 6</w:t>
            </w:r>
            <w:r w:rsidR="00FC325E">
              <w:rPr>
                <w:rFonts w:ascii="Times New Roman" w:hAnsi="Times New Roman"/>
                <w:sz w:val="28"/>
                <w:szCs w:val="28"/>
              </w:rPr>
              <w:t>2</w:t>
            </w:r>
            <w:r w:rsidRPr="0030227D">
              <w:rPr>
                <w:rFonts w:ascii="Times New Roman" w:hAnsi="Times New Roman"/>
                <w:sz w:val="28"/>
                <w:szCs w:val="28"/>
              </w:rPr>
              <w:t>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6299,8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2020 год – </w:t>
            </w:r>
            <w:r w:rsidR="00FC325E">
              <w:rPr>
                <w:rFonts w:ascii="Times New Roman" w:hAnsi="Times New Roman"/>
                <w:sz w:val="28"/>
                <w:szCs w:val="28"/>
              </w:rPr>
              <w:t xml:space="preserve"> </w:t>
            </w:r>
            <w:r w:rsidRPr="0030227D">
              <w:rPr>
                <w:rFonts w:ascii="Times New Roman" w:hAnsi="Times New Roman"/>
                <w:sz w:val="28"/>
                <w:szCs w:val="28"/>
              </w:rPr>
              <w:t>0,0 тысяч рублей;</w:t>
            </w:r>
          </w:p>
          <w:p w:rsidR="005B4C5A" w:rsidRPr="0030227D" w:rsidRDefault="00FC325E" w:rsidP="005B4C5A">
            <w:pPr>
              <w:spacing w:after="0" w:line="240" w:lineRule="auto"/>
              <w:jc w:val="both"/>
              <w:rPr>
                <w:rFonts w:ascii="Times New Roman" w:hAnsi="Times New Roman"/>
                <w:sz w:val="28"/>
                <w:szCs w:val="28"/>
              </w:rPr>
            </w:pPr>
            <w:r>
              <w:rPr>
                <w:rFonts w:ascii="Times New Roman" w:hAnsi="Times New Roman"/>
                <w:sz w:val="28"/>
                <w:szCs w:val="28"/>
              </w:rPr>
              <w:t xml:space="preserve">2021 год –  </w:t>
            </w:r>
            <w:r w:rsidR="005B4C5A" w:rsidRPr="0030227D">
              <w:rPr>
                <w:rFonts w:ascii="Times New Roman" w:hAnsi="Times New Roman"/>
                <w:sz w:val="28"/>
                <w:szCs w:val="28"/>
              </w:rPr>
              <w:t>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в том числе из средств местного бюджета – </w:t>
            </w:r>
            <w:r w:rsidR="00FC325E">
              <w:rPr>
                <w:rFonts w:ascii="Times New Roman" w:hAnsi="Times New Roman"/>
                <w:sz w:val="28"/>
                <w:szCs w:val="28"/>
              </w:rPr>
              <w:t>8</w:t>
            </w:r>
            <w:r w:rsidRPr="0030227D">
              <w:rPr>
                <w:rFonts w:ascii="Times New Roman" w:hAnsi="Times New Roman"/>
                <w:sz w:val="28"/>
                <w:szCs w:val="28"/>
              </w:rPr>
              <w:t>00,0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800,0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 в том числе из сре</w:t>
            </w:r>
            <w:proofErr w:type="gramStart"/>
            <w:r w:rsidRPr="0030227D">
              <w:rPr>
                <w:rFonts w:ascii="Times New Roman" w:hAnsi="Times New Roman"/>
                <w:sz w:val="28"/>
                <w:szCs w:val="28"/>
              </w:rPr>
              <w:t>дств кр</w:t>
            </w:r>
            <w:proofErr w:type="gramEnd"/>
            <w:r w:rsidRPr="0030227D">
              <w:rPr>
                <w:rFonts w:ascii="Times New Roman" w:hAnsi="Times New Roman"/>
                <w:sz w:val="28"/>
                <w:szCs w:val="28"/>
              </w:rPr>
              <w:t>аевого бюджета – 5499,8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C93373"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3B1F73" w:rsidRPr="00497355" w:rsidRDefault="005B4C5A" w:rsidP="005B4C5A">
            <w:pPr>
              <w:spacing w:after="0" w:line="240" w:lineRule="auto"/>
              <w:jc w:val="both"/>
              <w:rPr>
                <w:rFonts w:ascii="Times New Roman" w:hAnsi="Times New Roman" w:cs="Times New Roman"/>
                <w:color w:val="000000" w:themeColor="text1"/>
                <w:sz w:val="28"/>
                <w:szCs w:val="28"/>
              </w:rPr>
            </w:pPr>
            <w:r w:rsidRPr="00C93373">
              <w:rPr>
                <w:rFonts w:ascii="Times New Roman" w:hAnsi="Times New Roman"/>
                <w:sz w:val="28"/>
                <w:szCs w:val="28"/>
              </w:rPr>
              <w:t>2021 год – 0,0 тысяч рублей</w:t>
            </w:r>
            <w:proofErr w:type="gramStart"/>
            <w:r w:rsidRPr="00C93373">
              <w:rPr>
                <w:rFonts w:ascii="Times New Roman" w:hAnsi="Times New Roman"/>
                <w:sz w:val="28"/>
                <w:szCs w:val="28"/>
              </w:rPr>
              <w:t>.</w:t>
            </w:r>
            <w:r w:rsidR="002F4116" w:rsidRPr="00497355">
              <w:rPr>
                <w:rFonts w:ascii="Times New Roman" w:hAnsi="Times New Roman" w:cs="Times New Roman"/>
                <w:color w:val="000000" w:themeColor="text1"/>
                <w:sz w:val="28"/>
                <w:szCs w:val="28"/>
              </w:rPr>
              <w:t>.</w:t>
            </w:r>
            <w:proofErr w:type="gramEnd"/>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FC325E">
        <w:rPr>
          <w:rFonts w:ascii="Times New Roman" w:hAnsi="Times New Roman" w:cs="Times New Roman"/>
          <w:color w:val="000000" w:themeColor="text1"/>
          <w:sz w:val="28"/>
          <w:szCs w:val="28"/>
        </w:rPr>
        <w:t>2</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FC325E"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5B4C5A" w:rsidRPr="00792818" w:rsidRDefault="005B4C5A"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FC325E">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5B4C5A" w:rsidRPr="00792818" w:rsidRDefault="005B4C5A"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0227D" w:rsidRDefault="005B4C5A" w:rsidP="00FC325E">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sidR="00FC325E">
              <w:rPr>
                <w:rFonts w:ascii="Times New Roman" w:hAnsi="Times New Roman"/>
                <w:sz w:val="24"/>
                <w:szCs w:val="28"/>
              </w:rPr>
              <w:t>2</w:t>
            </w:r>
            <w:r w:rsidRPr="0030227D">
              <w:rPr>
                <w:rFonts w:ascii="Times New Roman" w:hAnsi="Times New Roman"/>
                <w:sz w:val="24"/>
                <w:szCs w:val="28"/>
              </w:rPr>
              <w:t>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0227D"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30227D">
              <w:rPr>
                <w:rFonts w:ascii="Times New Roman" w:hAnsi="Times New Roman"/>
                <w:sz w:val="24"/>
                <w:szCs w:val="28"/>
              </w:rPr>
              <w:t>00,0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AA6F50">
              <w:rPr>
                <w:rFonts w:ascii="Times New Roman" w:hAnsi="Times New Roman"/>
                <w:sz w:val="24"/>
                <w:szCs w:val="28"/>
              </w:rPr>
              <w:t>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619"/>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415"/>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B4C5A" w:rsidRPr="00497355" w:rsidTr="00B75844">
        <w:trPr>
          <w:trHeight w:val="614"/>
        </w:trPr>
        <w:tc>
          <w:tcPr>
            <w:tcW w:w="675"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tcPr>
          <w:p w:rsidR="005B4C5A" w:rsidRPr="00C93373" w:rsidRDefault="005B4C5A" w:rsidP="00FC325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FC325E">
            <w:pPr>
              <w:jc w:val="center"/>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6"/>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5499,8</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5499,8</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6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4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tcPr>
          <w:p w:rsidR="005B4C5A" w:rsidRPr="00C93373" w:rsidRDefault="00FC325E"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2"/>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 xml:space="preserve">"Блочно-модульная котельная МБОУ СОШ №19 в ст. </w:t>
            </w:r>
            <w:proofErr w:type="gramStart"/>
            <w:r w:rsidRPr="00C93373">
              <w:rPr>
                <w:rFonts w:ascii="Times New Roman" w:hAnsi="Times New Roman" w:cs="Times New Roman"/>
              </w:rPr>
              <w:t>Казанской</w:t>
            </w:r>
            <w:proofErr w:type="gramEnd"/>
            <w:r w:rsidRPr="00C93373">
              <w:rPr>
                <w:rFonts w:ascii="Times New Roman" w:hAnsi="Times New Roman" w:cs="Times New Roman"/>
              </w:rPr>
              <w:t xml:space="preserve">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004D074B">
              <w:rPr>
                <w:rFonts w:ascii="Times New Roman" w:hAnsi="Times New Roman"/>
                <w:sz w:val="24"/>
                <w:szCs w:val="28"/>
              </w:rPr>
              <w:t>2</w:t>
            </w:r>
            <w:r w:rsidRPr="00C93373">
              <w:rPr>
                <w:rFonts w:ascii="Times New Roman" w:hAnsi="Times New Roman"/>
                <w:sz w:val="24"/>
                <w:szCs w:val="28"/>
              </w:rPr>
              <w:t>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ind w:left="9204"/>
        <w:jc w:val="center"/>
        <w:rPr>
          <w:rFonts w:ascii="Times New Roman" w:hAnsi="Times New Roman"/>
          <w:sz w:val="28"/>
          <w:szCs w:val="28"/>
        </w:rPr>
      </w:pP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F59AC"/>
    <w:rsid w:val="0020121D"/>
    <w:rsid w:val="00224BFC"/>
    <w:rsid w:val="0023226E"/>
    <w:rsid w:val="002346E4"/>
    <w:rsid w:val="00262E9E"/>
    <w:rsid w:val="00265705"/>
    <w:rsid w:val="00277A72"/>
    <w:rsid w:val="002861E2"/>
    <w:rsid w:val="002A5AAF"/>
    <w:rsid w:val="002A5DDE"/>
    <w:rsid w:val="002B2EF1"/>
    <w:rsid w:val="002C776A"/>
    <w:rsid w:val="002D1ADA"/>
    <w:rsid w:val="002E40D4"/>
    <w:rsid w:val="002F4116"/>
    <w:rsid w:val="00300913"/>
    <w:rsid w:val="003046F1"/>
    <w:rsid w:val="00334C35"/>
    <w:rsid w:val="00351615"/>
    <w:rsid w:val="00376E10"/>
    <w:rsid w:val="00381321"/>
    <w:rsid w:val="003A5C25"/>
    <w:rsid w:val="003B1F73"/>
    <w:rsid w:val="003B5AA9"/>
    <w:rsid w:val="003D34DB"/>
    <w:rsid w:val="0040188D"/>
    <w:rsid w:val="0040199E"/>
    <w:rsid w:val="00413152"/>
    <w:rsid w:val="00415407"/>
    <w:rsid w:val="004266A9"/>
    <w:rsid w:val="004268AE"/>
    <w:rsid w:val="00440B79"/>
    <w:rsid w:val="00452E91"/>
    <w:rsid w:val="004555D5"/>
    <w:rsid w:val="00456543"/>
    <w:rsid w:val="00470DBB"/>
    <w:rsid w:val="00470E2B"/>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72D6B"/>
    <w:rsid w:val="00682974"/>
    <w:rsid w:val="00682A96"/>
    <w:rsid w:val="006B690A"/>
    <w:rsid w:val="006F211F"/>
    <w:rsid w:val="00701BCD"/>
    <w:rsid w:val="00703EA5"/>
    <w:rsid w:val="007059FD"/>
    <w:rsid w:val="00724DA0"/>
    <w:rsid w:val="00736D86"/>
    <w:rsid w:val="00756E92"/>
    <w:rsid w:val="00773CFE"/>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443FA"/>
    <w:rsid w:val="00960372"/>
    <w:rsid w:val="00960F74"/>
    <w:rsid w:val="00965117"/>
    <w:rsid w:val="009748A5"/>
    <w:rsid w:val="00985ADB"/>
    <w:rsid w:val="00994365"/>
    <w:rsid w:val="009966F4"/>
    <w:rsid w:val="009A5BD4"/>
    <w:rsid w:val="009E4A33"/>
    <w:rsid w:val="009F33DE"/>
    <w:rsid w:val="00A062EF"/>
    <w:rsid w:val="00A35FFB"/>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5844"/>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11AC6"/>
    <w:rsid w:val="00C21019"/>
    <w:rsid w:val="00C47CEA"/>
    <w:rsid w:val="00C51616"/>
    <w:rsid w:val="00C51EB4"/>
    <w:rsid w:val="00C62052"/>
    <w:rsid w:val="00C66043"/>
    <w:rsid w:val="00C9762B"/>
    <w:rsid w:val="00CA7AAD"/>
    <w:rsid w:val="00CC5C60"/>
    <w:rsid w:val="00CC79AA"/>
    <w:rsid w:val="00CD291D"/>
    <w:rsid w:val="00CD3FDD"/>
    <w:rsid w:val="00D100AD"/>
    <w:rsid w:val="00D21A14"/>
    <w:rsid w:val="00D32E4E"/>
    <w:rsid w:val="00D63D9F"/>
    <w:rsid w:val="00D90808"/>
    <w:rsid w:val="00DB46F4"/>
    <w:rsid w:val="00DE5382"/>
    <w:rsid w:val="00DF2C41"/>
    <w:rsid w:val="00E0564F"/>
    <w:rsid w:val="00E0673B"/>
    <w:rsid w:val="00E138B9"/>
    <w:rsid w:val="00E13D15"/>
    <w:rsid w:val="00E215AA"/>
    <w:rsid w:val="00E24B0C"/>
    <w:rsid w:val="00E4615C"/>
    <w:rsid w:val="00E64DA2"/>
    <w:rsid w:val="00E7368B"/>
    <w:rsid w:val="00E91268"/>
    <w:rsid w:val="00E9333C"/>
    <w:rsid w:val="00E94610"/>
    <w:rsid w:val="00EA0279"/>
    <w:rsid w:val="00ED1922"/>
    <w:rsid w:val="00EE6920"/>
    <w:rsid w:val="00F04372"/>
    <w:rsid w:val="00F06FA4"/>
    <w:rsid w:val="00F107A1"/>
    <w:rsid w:val="00F1117B"/>
    <w:rsid w:val="00F34330"/>
    <w:rsid w:val="00F469DB"/>
    <w:rsid w:val="00F87588"/>
    <w:rsid w:val="00FA7706"/>
    <w:rsid w:val="00FB4E26"/>
    <w:rsid w:val="00FC325E"/>
    <w:rsid w:val="00FC49FB"/>
    <w:rsid w:val="00FD3E6D"/>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C1FD-E4E9-46EF-B4C0-0C065DBC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17802</Words>
  <Characters>101472</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vector>
  </TitlesOfParts>
  <Company/>
  <LinksUpToDate>false</LinksUpToDate>
  <CharactersWithSpaces>119036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2019-02-14T09:30:00Z</dcterms:created>
  <dcterms:modified xsi:type="dcterms:W3CDTF">2019-02-14T09:30:00Z</dcterms:modified>
</cp:coreProperties>
</file>