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BA0125">
        <w:rPr>
          <w:rFonts w:ascii="Times New Roman" w:hAnsi="Times New Roman"/>
          <w:bCs/>
          <w:sz w:val="28"/>
          <w:szCs w:val="28"/>
          <w:lang w:val="ru-RU"/>
        </w:rPr>
        <w:t>,1 апреля 2019 г..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BA0125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B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16391,0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2B7BC6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17342,7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3C3B7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16201,5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3C3B7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 – </w:t>
            </w:r>
            <w:r w:rsidR="00A638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77802,5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  <w:r w:rsidR="005B1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2B7BC6">
            <w:pPr>
              <w:widowControl w:val="0"/>
              <w:tabs>
                <w:tab w:val="left" w:pos="4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 год –   12857,2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A638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3323,5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4657,0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1775" w:rsidRPr="00B04E02" w:rsidRDefault="00D71775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1455A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BA0125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6024D6" w:rsidP="00DD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290632">
              <w:rPr>
                <w:rFonts w:ascii="Times New Roman" w:hAnsi="Times New Roman"/>
                <w:b/>
                <w:bCs/>
                <w:kern w:val="32"/>
                <w:lang w:val="ru-RU"/>
              </w:rPr>
              <w:t>16391,0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29063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77802,5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290632">
              <w:rPr>
                <w:rFonts w:ascii="Times New Roman" w:hAnsi="Times New Roman"/>
                <w:b/>
                <w:bCs/>
                <w:kern w:val="32"/>
                <w:lang w:val="ru-RU"/>
              </w:rPr>
              <w:t>3323,5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6024D6">
              <w:rPr>
                <w:rFonts w:ascii="Times New Roman" w:hAnsi="Times New Roman"/>
                <w:lang w:val="ru-RU"/>
              </w:rPr>
              <w:t>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6024D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12857,2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6201,5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657,0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6986,7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956,5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830,2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562E89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457,0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74582,0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70517,0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6024D6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6024D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3329,0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3329,0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</w:t>
            </w:r>
            <w:r w:rsidR="00DC487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B0F0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AB0F0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BA0125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lastRenderedPageBreak/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 Кавказский район</w:t>
            </w:r>
          </w:p>
        </w:tc>
      </w:tr>
      <w:tr w:rsidR="00140E13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BA0125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BA0125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BA0125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BA0125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BA0125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BA0125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047DD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4E3B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BA0125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BA0125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3A5AC7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350</w:t>
            </w:r>
          </w:p>
        </w:tc>
      </w:tr>
      <w:tr w:rsidR="00563D73" w:rsidRPr="00BA0125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BA0125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BA0125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BA0125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BA0125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BA0125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BA0125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1050"/>
        <w:gridCol w:w="1134"/>
        <w:gridCol w:w="1218"/>
        <w:gridCol w:w="1211"/>
      </w:tblGrid>
      <w:tr w:rsidR="00092B69" w:rsidRPr="00BA0125" w:rsidTr="0049190A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5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2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49190A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50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49190A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1050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2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</w:t>
            </w:r>
            <w:r w:rsidR="00817C8C">
              <w:rPr>
                <w:rFonts w:ascii="Times New Roman" w:hAnsi="Times New Roman"/>
                <w:lang w:val="ru-RU"/>
              </w:rPr>
              <w:t>986,7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</w:t>
            </w:r>
            <w:r w:rsidR="005B4F07">
              <w:rPr>
                <w:rFonts w:ascii="Times New Roman" w:hAnsi="Times New Roman"/>
                <w:lang w:val="ru-RU"/>
              </w:rPr>
              <w:t>74,2</w:t>
            </w:r>
          </w:p>
        </w:tc>
        <w:tc>
          <w:tcPr>
            <w:tcW w:w="993" w:type="dxa"/>
          </w:tcPr>
          <w:p w:rsidR="00D97AFC" w:rsidRPr="00E867E0" w:rsidRDefault="00817C8C" w:rsidP="00CE1415">
            <w:r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050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987,3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987,3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17C8C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17C8C">
              <w:rPr>
                <w:rFonts w:ascii="Times New Roman" w:hAnsi="Times New Roman"/>
                <w:color w:val="000000"/>
                <w:lang w:val="ru-RU"/>
              </w:rPr>
              <w:t>830,2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50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50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5B4F07">
              <w:rPr>
                <w:rFonts w:ascii="Times New Roman" w:hAnsi="Times New Roman"/>
                <w:lang w:val="ru-RU"/>
              </w:rPr>
              <w:t>285,5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97255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617,6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97255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97255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74582,0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6024D6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906007" w:rsidRDefault="0049190A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49190A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70517,0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6024D6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867CDB" w:rsidRDefault="0049190A" w:rsidP="004919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F44F6" w:rsidRPr="00BA0125" w:rsidTr="0049190A">
        <w:tc>
          <w:tcPr>
            <w:tcW w:w="675" w:type="dxa"/>
            <w:vMerge w:val="restart"/>
          </w:tcPr>
          <w:p w:rsidR="008F44F6" w:rsidRPr="000C5CA8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8F44F6" w:rsidRPr="000C5CA8" w:rsidRDefault="008F44F6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8F44F6" w:rsidRPr="000C5CA8" w:rsidRDefault="0049190A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69841,0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134" w:type="dxa"/>
            <w:vAlign w:val="center"/>
          </w:tcPr>
          <w:p w:rsidR="008F44F6" w:rsidRPr="00E867E0" w:rsidRDefault="009E6335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8F44F6" w:rsidRPr="0049190A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8F44F6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8F44F6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хозяйствования</w:t>
            </w:r>
          </w:p>
        </w:tc>
        <w:tc>
          <w:tcPr>
            <w:tcW w:w="1211" w:type="dxa"/>
            <w:vMerge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69841,0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9E633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BA0125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BA0125" w:rsidTr="0049190A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D0083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050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134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4A39E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BA0125" w:rsidTr="0049190A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49190A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CE40E7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F69B1" w:rsidRPr="000C5CA8" w:rsidTr="0049190A">
        <w:tc>
          <w:tcPr>
            <w:tcW w:w="675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69B1" w:rsidRPr="000C5CA8" w:rsidRDefault="00EF69B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F69B1" w:rsidRPr="000C5CA8" w:rsidRDefault="0049190A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EF69B1" w:rsidRDefault="00CE40E7" w:rsidP="00CE40E7"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57056D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11499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D0CA8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16761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7142,7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6001,5</w:t>
            </w:r>
          </w:p>
        </w:tc>
        <w:tc>
          <w:tcPr>
            <w:tcW w:w="1050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5914,5</w:t>
            </w:r>
          </w:p>
        </w:tc>
        <w:tc>
          <w:tcPr>
            <w:tcW w:w="1134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5914,5</w:t>
            </w:r>
          </w:p>
        </w:tc>
        <w:tc>
          <w:tcPr>
            <w:tcW w:w="12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8611E5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77802,5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16761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12857,2</w:t>
            </w:r>
          </w:p>
        </w:tc>
        <w:tc>
          <w:tcPr>
            <w:tcW w:w="993" w:type="dxa"/>
            <w:vAlign w:val="center"/>
          </w:tcPr>
          <w:p w:rsidR="00D97AFC" w:rsidRPr="00E867E0" w:rsidRDefault="008611E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050" w:type="dxa"/>
            <w:vAlign w:val="center"/>
          </w:tcPr>
          <w:p w:rsidR="00D97AFC" w:rsidRPr="00E867E0" w:rsidRDefault="008611E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134" w:type="dxa"/>
            <w:vAlign w:val="center"/>
          </w:tcPr>
          <w:p w:rsidR="00D97AFC" w:rsidRPr="00E867E0" w:rsidRDefault="008611E5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923,5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BA0125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BA012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BA012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BA0125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BA0125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BA0125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BA0125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BA0125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BA0125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BA0125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BA0125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BA0125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BA0125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BA0125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BA0125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29EB" w:rsidRP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BA0125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BA0125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6322F"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BA0125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BA0125" w:rsidTr="00BF321F">
        <w:tc>
          <w:tcPr>
            <w:tcW w:w="675" w:type="dxa"/>
          </w:tcPr>
          <w:p w:rsidR="00A6322F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3" w:type="dxa"/>
          </w:tcPr>
          <w:p w:rsidR="00A6322F" w:rsidRPr="00F529EB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F529EB" w:rsidRDefault="00F529EB" w:rsidP="00F529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60.0</w:t>
            </w:r>
          </w:p>
        </w:tc>
        <w:tc>
          <w:tcPr>
            <w:tcW w:w="992" w:type="dxa"/>
            <w:gridSpan w:val="2"/>
          </w:tcPr>
          <w:p w:rsidR="00A6322F" w:rsidRPr="00A6322F" w:rsidRDefault="00F529EB" w:rsidP="00F529EB">
            <w:pPr>
              <w:tabs>
                <w:tab w:val="center" w:pos="3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A6322F" w:rsidRPr="00E200C2" w:rsidRDefault="00E200C2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276" w:type="dxa"/>
          </w:tcPr>
          <w:p w:rsidR="00A6322F" w:rsidRPr="00A73B77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29EB" w:rsidRPr="00A6322F" w:rsidTr="00BF321F">
        <w:tc>
          <w:tcPr>
            <w:tcW w:w="675" w:type="dxa"/>
          </w:tcPr>
          <w:p w:rsidR="00F529EB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455A5"/>
    <w:rsid w:val="00150D25"/>
    <w:rsid w:val="00151D6C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45903"/>
    <w:rsid w:val="00546900"/>
    <w:rsid w:val="005555FE"/>
    <w:rsid w:val="005622C2"/>
    <w:rsid w:val="00562E89"/>
    <w:rsid w:val="00563D73"/>
    <w:rsid w:val="0056407D"/>
    <w:rsid w:val="00564116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24D6"/>
    <w:rsid w:val="00605633"/>
    <w:rsid w:val="00612D4F"/>
    <w:rsid w:val="00617EFE"/>
    <w:rsid w:val="00632153"/>
    <w:rsid w:val="006450F0"/>
    <w:rsid w:val="006455F5"/>
    <w:rsid w:val="0066207F"/>
    <w:rsid w:val="006828B5"/>
    <w:rsid w:val="00697FCA"/>
    <w:rsid w:val="006A12AF"/>
    <w:rsid w:val="006B1C38"/>
    <w:rsid w:val="006B6457"/>
    <w:rsid w:val="006B710A"/>
    <w:rsid w:val="006D0CA8"/>
    <w:rsid w:val="006E1A26"/>
    <w:rsid w:val="006F51C4"/>
    <w:rsid w:val="0071008E"/>
    <w:rsid w:val="0073769B"/>
    <w:rsid w:val="00747F6A"/>
    <w:rsid w:val="007620DC"/>
    <w:rsid w:val="00763FAB"/>
    <w:rsid w:val="0076571B"/>
    <w:rsid w:val="0077279F"/>
    <w:rsid w:val="007757AA"/>
    <w:rsid w:val="00797EA6"/>
    <w:rsid w:val="007F4027"/>
    <w:rsid w:val="00817C8C"/>
    <w:rsid w:val="008535F6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D09F1"/>
    <w:rsid w:val="008D1238"/>
    <w:rsid w:val="008E4247"/>
    <w:rsid w:val="008F44F6"/>
    <w:rsid w:val="00916840"/>
    <w:rsid w:val="0091739D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6335"/>
    <w:rsid w:val="009F1B00"/>
    <w:rsid w:val="00A0200A"/>
    <w:rsid w:val="00A1326E"/>
    <w:rsid w:val="00A22C24"/>
    <w:rsid w:val="00A27964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350CA"/>
    <w:rsid w:val="00B538E5"/>
    <w:rsid w:val="00B54F4C"/>
    <w:rsid w:val="00B553C7"/>
    <w:rsid w:val="00B75E9D"/>
    <w:rsid w:val="00B83F3A"/>
    <w:rsid w:val="00B8625A"/>
    <w:rsid w:val="00B9730C"/>
    <w:rsid w:val="00BA0125"/>
    <w:rsid w:val="00BA425A"/>
    <w:rsid w:val="00BC74B9"/>
    <w:rsid w:val="00BD018D"/>
    <w:rsid w:val="00BF321F"/>
    <w:rsid w:val="00C175C0"/>
    <w:rsid w:val="00C27336"/>
    <w:rsid w:val="00C276BC"/>
    <w:rsid w:val="00C31F2D"/>
    <w:rsid w:val="00C62337"/>
    <w:rsid w:val="00C720DA"/>
    <w:rsid w:val="00C75D7B"/>
    <w:rsid w:val="00C90E4B"/>
    <w:rsid w:val="00CA78F0"/>
    <w:rsid w:val="00CC0417"/>
    <w:rsid w:val="00CC649D"/>
    <w:rsid w:val="00CE05BF"/>
    <w:rsid w:val="00CE1415"/>
    <w:rsid w:val="00CE40E7"/>
    <w:rsid w:val="00CF29FC"/>
    <w:rsid w:val="00CF2D76"/>
    <w:rsid w:val="00D0083A"/>
    <w:rsid w:val="00D045E0"/>
    <w:rsid w:val="00D2664E"/>
    <w:rsid w:val="00D30A7B"/>
    <w:rsid w:val="00D37C61"/>
    <w:rsid w:val="00D71775"/>
    <w:rsid w:val="00D97AFC"/>
    <w:rsid w:val="00DA3053"/>
    <w:rsid w:val="00DA6D1C"/>
    <w:rsid w:val="00DB1F38"/>
    <w:rsid w:val="00DC002E"/>
    <w:rsid w:val="00DC4875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D2C5-D6F3-4A73-AE89-7726BF2C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43</Pages>
  <Words>11422</Words>
  <Characters>65110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Valentina</cp:lastModifiedBy>
  <cp:revision>15</cp:revision>
  <cp:lastPrinted>2018-06-28T05:22:00Z</cp:lastPrinted>
  <dcterms:created xsi:type="dcterms:W3CDTF">2018-11-08T04:48:00Z</dcterms:created>
  <dcterms:modified xsi:type="dcterms:W3CDTF">2019-04-09T07:57:00Z</dcterms:modified>
</cp:coreProperties>
</file>