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</w:t>
      </w:r>
      <w:proofErr w:type="gramEnd"/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217496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217496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ub_3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показатели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  <w:bookmarkEnd w:id="2"/>
          </w:p>
        </w:tc>
        <w:tc>
          <w:tcPr>
            <w:tcW w:w="5767" w:type="dxa"/>
          </w:tcPr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информации о деятельности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органов местного самоуправления МО Кавказский район;</w:t>
            </w:r>
          </w:p>
          <w:p w:rsidR="009B3006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опубликованных муниципальных правовых актов;</w:t>
            </w:r>
          </w:p>
          <w:p w:rsidR="001A363B" w:rsidRPr="00217496" w:rsidRDefault="009B3006" w:rsidP="009B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информационных сюжетов  на телевидении, радио, в сети «Интернет»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217496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2015 - 20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годы</w:t>
            </w:r>
            <w:r w:rsidR="00396373"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этапы реализации </w:t>
            </w:r>
          </w:p>
          <w:p w:rsidR="001A363B" w:rsidRPr="00217496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1A363B" w:rsidRPr="00217496" w:rsidTr="00E01E25">
        <w:tc>
          <w:tcPr>
            <w:tcW w:w="3807" w:type="dxa"/>
          </w:tcPr>
          <w:p w:rsidR="001A363B" w:rsidRPr="00217496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ub_705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14197,3 тыс. руб., в том числе: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2015 год – 2600,0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2016 год –</w:t>
            </w: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2767,3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2017 год – 2780,0тыс.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2018 год – 2800,0 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2019 год – 1650,0 тыс. руб.;</w:t>
            </w:r>
          </w:p>
          <w:p w:rsidR="006D48E4" w:rsidRPr="00E108A9" w:rsidRDefault="006D48E4" w:rsidP="006D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2020 год – 800,0 тыс. руб.;</w:t>
            </w:r>
          </w:p>
          <w:p w:rsidR="001A363B" w:rsidRPr="00217496" w:rsidRDefault="006D48E4" w:rsidP="006D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2021 год – 800,0 тыс. руб.</w:t>
            </w: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определены </w:t>
      </w:r>
      <w:hyperlink r:id="rId5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D964CC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5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718" w:rsidRPr="00217496" w:rsidRDefault="00857718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Общий объем финансировани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муниципальной программы –  139</w:t>
      </w:r>
      <w:r w:rsidR="00BB04D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7,3 тысяч рублей, в том числе и</w:t>
      </w:r>
      <w:r w:rsidR="00DE5BEC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</w:t>
      </w:r>
      <w:r w:rsidR="0079738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средств местного бюджета - 139</w:t>
      </w:r>
      <w:r w:rsidR="00BB04D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</w:t>
      </w:r>
      <w:r w:rsidRPr="00217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7,3 тысяч рублей 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6D48E4" w:rsidRPr="00E108A9" w:rsidTr="00F864E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«И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нформационное общество муниципального образования Кавказский район»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муници-пальнойпрог-раммы</w:t>
            </w:r>
            <w:proofErr w:type="spellEnd"/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  том числе по основным мероприятиям:</w:t>
            </w:r>
          </w:p>
        </w:tc>
      </w:tr>
      <w:tr w:rsidR="006D48E4" w:rsidRPr="00E108A9" w:rsidTr="00F864E3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№1.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</w:t>
            </w: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 МО Кавказский район, посредством телевизионного вещания</w:t>
            </w:r>
          </w:p>
        </w:tc>
      </w:tr>
      <w:tr w:rsidR="006D48E4" w:rsidRPr="00E108A9" w:rsidTr="00F864E3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6580,0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7517,3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6580,0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1280,0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color w:val="000000"/>
                <w:sz w:val="28"/>
                <w:szCs w:val="28"/>
              </w:rPr>
              <w:t>2780,0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6D48E4" w:rsidRPr="00E108A9" w:rsidTr="00F864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400,0</w:t>
            </w:r>
          </w:p>
        </w:tc>
      </w:tr>
    </w:tbl>
    <w:p w:rsidR="00D52C2B" w:rsidRPr="00217496" w:rsidRDefault="00D52C2B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73B" w:rsidRPr="00217496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9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11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«ПРИЛОЖЕНИЕ № 1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1C12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4C1C12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ЦЕЛИ, ЗАДАЧИ И ЦЕЛЕВЫЕ ПОКАЗАТЕЛИ МУНИЦИПАЛЬНОЙ ПРОГРАММЫ</w:t>
      </w:r>
    </w:p>
    <w:p w:rsidR="003E65D0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«Информационное общество муниципального образования Кавказский район»</w:t>
      </w:r>
    </w:p>
    <w:p w:rsidR="003E65D0" w:rsidRPr="00CD598E" w:rsidRDefault="003E65D0" w:rsidP="003E65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6D48E4" w:rsidRPr="00E108A9" w:rsidTr="00F864E3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6D48E4" w:rsidRPr="00E108A9" w:rsidTr="00F864E3">
        <w:trPr>
          <w:trHeight w:val="625"/>
          <w:tblHeader/>
        </w:trPr>
        <w:tc>
          <w:tcPr>
            <w:tcW w:w="709" w:type="dxa"/>
            <w:vMerge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D48E4" w:rsidRPr="00E108A9" w:rsidRDefault="006D48E4" w:rsidP="00F864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48E4" w:rsidRPr="00E108A9" w:rsidRDefault="006D48E4" w:rsidP="00F864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48E4" w:rsidRPr="00E108A9" w:rsidRDefault="006D48E4" w:rsidP="00F864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6D48E4" w:rsidRPr="00E108A9" w:rsidTr="00F864E3">
        <w:trPr>
          <w:trHeight w:val="253"/>
          <w:tblHeader/>
        </w:trPr>
        <w:tc>
          <w:tcPr>
            <w:tcW w:w="709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D48E4" w:rsidRPr="00E108A9" w:rsidTr="00F864E3">
        <w:trPr>
          <w:trHeight w:val="259"/>
          <w:tblHeader/>
        </w:trPr>
        <w:tc>
          <w:tcPr>
            <w:tcW w:w="709" w:type="dxa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6D48E4" w:rsidRPr="00E108A9" w:rsidTr="00F864E3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6D48E4" w:rsidRPr="00E108A9" w:rsidTr="00F864E3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0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6D48E4" w:rsidRPr="00E108A9" w:rsidTr="00F864E3">
        <w:trPr>
          <w:trHeight w:val="259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5" w:type="dxa"/>
            <w:gridSpan w:val="10"/>
            <w:hideMark/>
          </w:tcPr>
          <w:p w:rsidR="006D48E4" w:rsidRPr="00E108A9" w:rsidRDefault="006D48E4" w:rsidP="00F86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6D48E4" w:rsidRPr="00E108A9" w:rsidTr="00F864E3">
        <w:trPr>
          <w:trHeight w:val="461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35707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6D48E4" w:rsidRPr="00E108A9" w:rsidTr="00F864E3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66666</w:t>
            </w:r>
          </w:p>
        </w:tc>
      </w:tr>
      <w:tr w:rsidR="006D48E4" w:rsidRPr="00E108A9" w:rsidTr="00F864E3">
        <w:trPr>
          <w:trHeight w:val="736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6D48E4" w:rsidRPr="00E108A9" w:rsidTr="00F864E3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6D48E4" w:rsidRPr="00E108A9" w:rsidTr="00F864E3">
        <w:trPr>
          <w:trHeight w:val="250"/>
          <w:tblHeader/>
        </w:trPr>
        <w:tc>
          <w:tcPr>
            <w:tcW w:w="709" w:type="dxa"/>
          </w:tcPr>
          <w:p w:rsidR="006D48E4" w:rsidRPr="00E108A9" w:rsidRDefault="006D48E4" w:rsidP="00F864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8E4" w:rsidRPr="00E108A9" w:rsidRDefault="006D48E4" w:rsidP="00F86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  <w:t xml:space="preserve">  С.В.Филатова</w:t>
      </w:r>
    </w:p>
    <w:p w:rsidR="003E65D0" w:rsidRDefault="003E65D0" w:rsidP="003E65D0">
      <w:pPr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br w:type="page"/>
      </w:r>
      <w:r w:rsidRPr="00CD598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изменениям, утвержденным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«ПРИЛОЖЕНИЕ № 2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D598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от 14.11.2014 № 1776</w:t>
      </w:r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D598E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3E65D0" w:rsidRPr="00CD598E" w:rsidRDefault="003E65D0" w:rsidP="003E65D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D598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3E65D0" w:rsidRPr="004C1C12" w:rsidRDefault="003E65D0" w:rsidP="003E65D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21.11.2018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1594)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мероприятий муниципальной программы муниципального образования Кавказский район</w:t>
      </w:r>
    </w:p>
    <w:p w:rsidR="003E65D0" w:rsidRPr="00CD598E" w:rsidRDefault="003E65D0" w:rsidP="003E65D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6D48E4" w:rsidRPr="00E108A9" w:rsidTr="00F864E3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6D48E4" w:rsidRPr="00E108A9" w:rsidTr="00F864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D48E4" w:rsidRPr="00E108A9" w:rsidTr="00F864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№1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информационного обеспечения населения в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средствах печати: публикация муниципальных правовых актов, информации о деятельности органов местного самоуправления МО Кавказский район,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Информа-ционноеобеспе-чение</w:t>
            </w:r>
            <w:proofErr w:type="spell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местного </w:t>
            </w: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самоуп-равления</w:t>
            </w:r>
            <w:proofErr w:type="spellEnd"/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информационной политики </w:t>
            </w: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о деятельности органов местного самоуправления МО Кавказский район в средствах печати,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6237,3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E4" w:rsidRPr="00E108A9" w:rsidRDefault="006D48E4" w:rsidP="00F86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№2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14197,3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8E4" w:rsidRPr="00E108A9" w:rsidTr="00F864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E4" w:rsidRPr="00E108A9" w:rsidRDefault="006D48E4" w:rsidP="00F864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4" w:rsidRPr="00E108A9" w:rsidRDefault="006D48E4" w:rsidP="00F864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2" w:name="_GoBack"/>
      <w:bookmarkEnd w:id="12"/>
    </w:p>
    <w:p w:rsidR="003E65D0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CD598E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98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D598E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E65D0" w:rsidRPr="00CD598E" w:rsidRDefault="003E65D0" w:rsidP="003E65D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2C2B" w:rsidRDefault="00D52C2B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7A7F" w:rsidRDefault="00207A7F" w:rsidP="00D52C2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12C9B" w:rsidRDefault="00D12C9B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7081" w:rsidRDefault="00FC708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2761" w:rsidRDefault="00362761" w:rsidP="00207A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217496" w:rsidRDefault="004F629F" w:rsidP="00FC708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9773B"/>
    <w:rsid w:val="00304108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6581"/>
    <w:rsid w:val="005A673E"/>
    <w:rsid w:val="005F2E0E"/>
    <w:rsid w:val="0062307E"/>
    <w:rsid w:val="0064208B"/>
    <w:rsid w:val="00684939"/>
    <w:rsid w:val="006B62EF"/>
    <w:rsid w:val="006D48E4"/>
    <w:rsid w:val="00702D08"/>
    <w:rsid w:val="00712670"/>
    <w:rsid w:val="00736D5C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6AAE"/>
    <w:rsid w:val="00A2445C"/>
    <w:rsid w:val="00A44F6B"/>
    <w:rsid w:val="00A5789F"/>
    <w:rsid w:val="00A93948"/>
    <w:rsid w:val="00AA109F"/>
    <w:rsid w:val="00AF2527"/>
    <w:rsid w:val="00AF5A1D"/>
    <w:rsid w:val="00B343A2"/>
    <w:rsid w:val="00BB04D5"/>
    <w:rsid w:val="00C746CD"/>
    <w:rsid w:val="00D110A8"/>
    <w:rsid w:val="00D12C9B"/>
    <w:rsid w:val="00D23C74"/>
    <w:rsid w:val="00D52C2B"/>
    <w:rsid w:val="00D52F00"/>
    <w:rsid w:val="00D816CB"/>
    <w:rsid w:val="00D87A37"/>
    <w:rsid w:val="00D952CA"/>
    <w:rsid w:val="00D964CC"/>
    <w:rsid w:val="00DD5740"/>
    <w:rsid w:val="00DD780B"/>
    <w:rsid w:val="00DE5BEC"/>
    <w:rsid w:val="00E01E25"/>
    <w:rsid w:val="00E35ECF"/>
    <w:rsid w:val="00E456E2"/>
    <w:rsid w:val="00E507CA"/>
    <w:rsid w:val="00E571FE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874.0" TargetMode="External"/><Relationship Id="rId5" Type="http://schemas.openxmlformats.org/officeDocument/2006/relationships/hyperlink" Target="garantF1://31424785.100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60A4-089C-4CDC-97EC-8C081B1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Valentina</cp:lastModifiedBy>
  <cp:revision>44</cp:revision>
  <dcterms:created xsi:type="dcterms:W3CDTF">2017-07-19T12:27:00Z</dcterms:created>
  <dcterms:modified xsi:type="dcterms:W3CDTF">2019-04-09T08:19:00Z</dcterms:modified>
</cp:coreProperties>
</file>