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утверждена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05.12.2018г., 17.12.2018г. 29.01.2018г., 11.02.2018г.</w:t>
      </w:r>
      <w:r w:rsidR="00FF7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,01.04.2019г.</w:t>
      </w:r>
      <w:r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Default="009E0958" w:rsidP="00D31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715AAB" w:rsidRPr="00715AAB" w:rsidRDefault="00715AAB" w:rsidP="00D3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 профилактика детского дорожного-транспортного травматизма;</w:t>
            </w:r>
          </w:p>
          <w:p w:rsidR="00434DC3" w:rsidRPr="008914E7" w:rsidRDefault="00434DC3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D31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дополнительных мест в детских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учреждениях;</w:t>
            </w:r>
          </w:p>
          <w:p w:rsidR="00305F57" w:rsidRDefault="00305F57" w:rsidP="0030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944D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приобретенных мобильных автогородков;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приобретенных световозвращающих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587F62" w:rsidRDefault="00715AAB" w:rsidP="00715AA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CA725B" w:rsidRDefault="00715AAB" w:rsidP="00715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</w:p>
          <w:p w:rsidR="00033E1E" w:rsidRPr="00CA725B" w:rsidRDefault="00305F57" w:rsidP="0003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 отдельных категорий граждан, зарегистрированных в качестве нуждающихся в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3E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557B12" w:rsidRDefault="00434DC3" w:rsidP="0066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t>595 796,8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– 156 986,2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6527,9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19998,4 тыс. рублей,</w:t>
            </w:r>
          </w:p>
          <w:p w:rsidR="00661BD9" w:rsidRPr="00CA725B" w:rsidRDefault="00715AA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2018 год – 134 500,8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7320A8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270294,6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715AA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2020 год – 3730,8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BF09ED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15AAB" w:rsidRPr="00CA725B">
              <w:rPr>
                <w:rFonts w:ascii="Times New Roman" w:hAnsi="Times New Roman" w:cs="Times New Roman"/>
                <w:sz w:val="28"/>
                <w:szCs w:val="28"/>
              </w:rPr>
              <w:t>– 3758,1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средств федерального бюджета – 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t>429,9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 реализации: 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79,3 тыс. 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CA725B" w:rsidRPr="00CA725B">
              <w:rPr>
                <w:rFonts w:ascii="Times New Roman" w:hAnsi="Times New Roman"/>
                <w:sz w:val="28"/>
                <w:szCs w:val="28"/>
              </w:rPr>
              <w:t>91,1</w:t>
            </w:r>
            <w:r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7320A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259,5</w:t>
            </w:r>
            <w:r w:rsidR="00661BD9"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2020 год –0,0 тыс. рублей ,</w:t>
            </w:r>
          </w:p>
          <w:p w:rsidR="00661BD9" w:rsidRPr="00CA725B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краевого бюд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t>жета – 517167,9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- 143 457,5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1 785,7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8369,1 тыс. рублей,</w:t>
            </w:r>
          </w:p>
          <w:p w:rsidR="00661BD9" w:rsidRPr="00CA725B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112526,2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</w:t>
            </w:r>
          </w:p>
          <w:p w:rsidR="00661BD9" w:rsidRPr="00A15770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t xml:space="preserve">249795,2 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2020 год – 617,1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2021 го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д – 617,1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78199,0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- 13 528,7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4742,2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11550,0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2018 год – 21883,5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t>20239,9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2020 год – 3113,7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2021 год – 3141,0</w:t>
            </w:r>
            <w:r w:rsidR="00661BD9"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1.Подпрограмма "Строительство объектов социальной инфраструктуры в муниципальном образовании Кавказский район":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>ем фи</w:t>
            </w:r>
            <w:r w:rsidR="007320A8">
              <w:rPr>
                <w:rFonts w:ascii="Times New Roman" w:hAnsi="Times New Roman"/>
                <w:sz w:val="28"/>
                <w:szCs w:val="28"/>
              </w:rPr>
              <w:t>нансирования составляет 547802,9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- 149 246,5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1735,2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11 817,8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118 942,8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320A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266060</w:t>
            </w:r>
            <w:r w:rsidR="00CA725B">
              <w:rPr>
                <w:rFonts w:ascii="Times New Roman" w:hAnsi="Times New Roman"/>
                <w:sz w:val="28"/>
                <w:szCs w:val="28"/>
              </w:rPr>
              <w:t>,6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0,0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сред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ств краевого бюджета – </w:t>
            </w:r>
            <w:r w:rsidR="007320A8">
              <w:rPr>
                <w:rFonts w:ascii="Times New Roman" w:hAnsi="Times New Roman"/>
                <w:sz w:val="28"/>
                <w:szCs w:val="28"/>
              </w:rPr>
              <w:t>491125,5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тыс.рублей,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- 137 951,3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- 0,0 тыс.рублей,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-3840,0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100400,4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320A8">
              <w:rPr>
                <w:rFonts w:ascii="Times New Roman" w:hAnsi="Times New Roman"/>
                <w:sz w:val="28"/>
                <w:szCs w:val="28"/>
              </w:rPr>
              <w:t xml:space="preserve">248933,8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- 0,0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з средств </w:t>
            </w:r>
            <w:r w:rsidR="007320A8">
              <w:rPr>
                <w:rFonts w:ascii="Times New Roman" w:hAnsi="Times New Roman"/>
                <w:sz w:val="28"/>
                <w:szCs w:val="28"/>
              </w:rPr>
              <w:t>местного бюджета – 56677,4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- 11 295,2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1 735,2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7 977,8 тыс. рублей,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A725B">
              <w:rPr>
                <w:rFonts w:ascii="Times New Roman" w:hAnsi="Times New Roman"/>
                <w:sz w:val="28"/>
                <w:szCs w:val="28"/>
              </w:rPr>
              <w:t>18542,4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320A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17126,8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2. подпрограмма "Повышение безопасности дорожного движения в муниципальном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Кавказский район":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общий объем финансирования с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о</w:t>
            </w:r>
            <w:r w:rsidR="00CA725B">
              <w:rPr>
                <w:rFonts w:ascii="Times New Roman" w:hAnsi="Times New Roman"/>
                <w:sz w:val="28"/>
                <w:szCs w:val="28"/>
              </w:rPr>
              <w:t>ставляет                 36498,9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6 783,5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3 766,5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2017 год – 6231,5 тыс. рублей, 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13700,4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2019 год – 2041,1 тыс. рублей, 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–2005,5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2032,8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в том числе из средств краевого бюджета –  </w:t>
            </w:r>
            <w:r w:rsidR="00CA725B">
              <w:rPr>
                <w:rFonts w:ascii="Times New Roman" w:hAnsi="Times New Roman"/>
                <w:sz w:val="28"/>
                <w:szCs w:val="28"/>
              </w:rPr>
              <w:t xml:space="preserve">                   21442,7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5 000,0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1279,5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3801,9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11361,3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в том числе из 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с</w:t>
            </w:r>
            <w:r w:rsidR="00CA725B">
              <w:rPr>
                <w:rFonts w:ascii="Times New Roman" w:hAnsi="Times New Roman"/>
                <w:sz w:val="28"/>
                <w:szCs w:val="28"/>
              </w:rPr>
              <w:t>редств местного бюджета –15056,2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1 783,5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2 487,0тыс.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2 429,6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1978,7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2005,5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 – 2032,8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7320A8">
              <w:rPr>
                <w:rFonts w:ascii="Times New Roman" w:hAnsi="Times New Roman"/>
                <w:sz w:val="28"/>
                <w:szCs w:val="28"/>
              </w:rPr>
              <w:t>3296,1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762,9 тыс. рублей,</w:t>
            </w:r>
          </w:p>
          <w:p w:rsidR="00661BD9" w:rsidRPr="00A15770" w:rsidRDefault="00373CA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629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320A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987,7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7545C2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ср</w:t>
            </w:r>
            <w:r w:rsidR="00A15770" w:rsidRPr="00A15770">
              <w:rPr>
                <w:rFonts w:ascii="Times New Roman" w:hAnsi="Times New Roman"/>
                <w:sz w:val="28"/>
                <w:szCs w:val="28"/>
              </w:rPr>
              <w:t>едств федерального бюджета</w:t>
            </w:r>
            <w:r w:rsidR="007320A8">
              <w:rPr>
                <w:rFonts w:ascii="Times New Roman" w:hAnsi="Times New Roman"/>
                <w:sz w:val="28"/>
                <w:szCs w:val="28"/>
              </w:rPr>
              <w:t xml:space="preserve"> – 429,9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lastRenderedPageBreak/>
              <w:t>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79,3 тыс. рублей,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–91,1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4C553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259,5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</w:t>
            </w:r>
            <w:r w:rsidR="00A15770" w:rsidRPr="00A15770">
              <w:rPr>
                <w:rFonts w:ascii="Times New Roman" w:hAnsi="Times New Roman"/>
                <w:sz w:val="28"/>
                <w:szCs w:val="28"/>
              </w:rPr>
              <w:t>з средств краев</w:t>
            </w:r>
            <w:r w:rsidR="004C553A">
              <w:rPr>
                <w:rFonts w:ascii="Times New Roman" w:hAnsi="Times New Roman"/>
                <w:sz w:val="28"/>
                <w:szCs w:val="28"/>
              </w:rPr>
              <w:t>ого бюджета – 641,3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221,0 тыс. рублей;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–176,0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</w:t>
            </w:r>
            <w:r w:rsidR="004C553A">
              <w:rPr>
                <w:rFonts w:ascii="Times New Roman" w:hAnsi="Times New Roman"/>
                <w:sz w:val="28"/>
                <w:szCs w:val="28"/>
              </w:rPr>
              <w:t xml:space="preserve"> год – 244,3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7545C2">
              <w:rPr>
                <w:rFonts w:ascii="Times New Roman" w:hAnsi="Times New Roman"/>
                <w:sz w:val="28"/>
                <w:szCs w:val="28"/>
              </w:rPr>
              <w:t>средств местного бюджета – 2224,9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462,6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362,0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483,9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61BD9" w:rsidRPr="00472BE3" w:rsidRDefault="00661BD9" w:rsidP="003E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мест в станице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9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средств правил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закономN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этимвозникланеобходимостьвежегодномтранспортировании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Новокубанского межмуниципального экологического отходоперерабатывающего комплекса, в состав которого входит Кавказский район.Строительство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lastRenderedPageBreak/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1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1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участие </w:t>
      </w:r>
      <w:r w:rsidR="00DE11AA" w:rsidRPr="00ED41E6">
        <w:rPr>
          <w:rFonts w:ascii="Times New Roman" w:hAnsi="Times New Roman"/>
          <w:color w:val="000000" w:themeColor="text1"/>
          <w:sz w:val="28"/>
        </w:rPr>
        <w:lastRenderedPageBreak/>
        <w:t>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1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район",основное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2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софинансирование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3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район.- 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средств краевого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подпрограммы«Обеспечение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704C60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Вид 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75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6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муниципальной программы отчетность о реализации подпрограммы, а также информацию, необходимую для проведения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704C60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704C60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8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D72B1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45D2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704C60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9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30848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BF09ED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30848" w:rsidRPr="00C30848" w:rsidRDefault="00C30848" w:rsidP="00C30848"/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показатель:количество приобретенных мобильных автогородков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показатель:количество приобретенных световозвращающих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545C2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</w:tr>
      <w:tr w:rsidR="007545C2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7545C2" w:rsidRPr="00587F62" w:rsidRDefault="007545C2" w:rsidP="00282DED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D73279"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D7327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D73279">
              <w:rPr>
                <w:rFonts w:ascii="Times New Roman" w:hAnsi="Times New Roman" w:cs="Times New Roman"/>
              </w:rPr>
              <w:t xml:space="preserve">поддержание в надлежащем состояния элемонтов автомобильных дорог для обеспечения дорожной безопасности 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D7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 w:rsidR="00D73279"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704C6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подпрограммы(задача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4C553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2 "Осуществление отдельных государственных полномочий по ведению учета граждан отдельных категорий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ведение учета граждан, нуждающихся в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A36131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4C5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4C553A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 w:rsidR="004C553A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 w:rsidR="004C553A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21539C">
            <w:pPr>
              <w:pStyle w:val="a6"/>
              <w:tabs>
                <w:tab w:val="left" w:pos="44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  <w:r w:rsidR="00215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руб)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282DED" w:rsidRPr="00ED41E6" w:rsidTr="00282DED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"Осуществление отдельных государственных полномочий по ведению учета граждан отдельных категорий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Ведение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2 730,0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8198,9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1267,6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тыс.руб.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тыс.руб.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A901B7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547 802,9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A901B7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266060,6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A901B7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491 125,5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A901B7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A901B7" w:rsidRDefault="00A901B7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56677,4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A901B7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A901B7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«Повышение безопасности дорожного движения в муниципальном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36 498,9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6 231,5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13 700,4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21 442,7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15 056,2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A901B7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458,2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458,2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1510,5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1 510,5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категорий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3 958,4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3 958,4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0,0 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4D595A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595796,8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19 998,4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134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00,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270294,6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3730,8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3758,1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517167,9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8 369,1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4D595A" w:rsidP="004D5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249795,2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4D595A" w:rsidP="004D5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4D595A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3113,7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3141,0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20" w:name="Par29"/>
      <w:bookmarkStart w:id="21" w:name="Par30"/>
      <w:bookmarkEnd w:id="20"/>
      <w:bookmarkEnd w:id="21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N п/п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r w:rsidRPr="007E604A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2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муниципального 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6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D44A34">
              <w:rPr>
                <w:rFonts w:ascii="Times New Roman" w:hAnsi="Times New Roman" w:cs="Times New Roman"/>
                <w:sz w:val="28"/>
                <w:szCs w:val="28"/>
              </w:rPr>
              <w:t>547802,9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–11 817,8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D03">
              <w:rPr>
                <w:rFonts w:ascii="Times New Roman" w:hAnsi="Times New Roman" w:cs="Times New Roman"/>
                <w:sz w:val="28"/>
                <w:szCs w:val="28"/>
              </w:rPr>
              <w:t xml:space="preserve">18 год –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118942,8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4A34">
              <w:rPr>
                <w:rFonts w:ascii="Times New Roman" w:hAnsi="Times New Roman" w:cs="Times New Roman"/>
                <w:sz w:val="28"/>
                <w:szCs w:val="28"/>
              </w:rPr>
              <w:t>266060,6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з средств краевого бюджета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4A34">
              <w:rPr>
                <w:rFonts w:ascii="Times New Roman" w:hAnsi="Times New Roman" w:cs="Times New Roman"/>
                <w:sz w:val="28"/>
                <w:szCs w:val="28"/>
              </w:rPr>
              <w:t>491125,5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100400,4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282DED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44A34">
              <w:rPr>
                <w:rFonts w:ascii="Times New Roman" w:hAnsi="Times New Roman" w:cs="Times New Roman"/>
                <w:sz w:val="28"/>
                <w:szCs w:val="28"/>
              </w:rPr>
              <w:t>248933,8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A34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 – 56677,4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72B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18542,4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4A34">
              <w:rPr>
                <w:rFonts w:ascii="Times New Roman" w:hAnsi="Times New Roman" w:cs="Times New Roman"/>
                <w:sz w:val="28"/>
                <w:szCs w:val="28"/>
              </w:rPr>
              <w:t>17126,8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BE5E57" w:rsidRPr="002C4BDC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8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1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282DED">
        <w:rPr>
          <w:rFonts w:ascii="Times New Roman" w:hAnsi="Times New Roman"/>
          <w:color w:val="000000"/>
          <w:sz w:val="28"/>
          <w:szCs w:val="28"/>
        </w:rPr>
        <w:t>535352,9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софинансирование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4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4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59262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(тыс.руб.)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190572,2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8580,8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31009,7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3025,0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166532,6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24741,3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24039,6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4740,8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6268,4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3025,0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объекта: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Муниципальное дошкольное учреждение на 250 мест в ст. Кавказская»,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пер.Вокзальный,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5C6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техприсоединение к сетям, приемо-сдаточная документация, строительство инженерных сетей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10505,8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4966,2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60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 управление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10505,8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4966,2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30085,7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4042,6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26043,5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образования,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28581,3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24741,3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1504,4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202,6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1302,2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D44A34">
        <w:trPr>
          <w:trHeight w:val="70"/>
        </w:trPr>
        <w:tc>
          <w:tcPr>
            <w:tcW w:w="653" w:type="dxa"/>
            <w:vMerge w:val="restart"/>
            <w:shd w:val="clear" w:color="auto" w:fill="auto"/>
          </w:tcPr>
          <w:p w:rsidR="00D44A34" w:rsidRPr="00ED41E6" w:rsidRDefault="00D44A34" w:rsidP="00D44A3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1.1.1.8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44A34" w:rsidRPr="00ED41E6" w:rsidRDefault="00D44A34" w:rsidP="00D44A3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30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ПСД, экспертиза, строительный контроль)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1400,0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4A34" w:rsidRPr="00ED41E6" w:rsidRDefault="00D44A34" w:rsidP="00D44A3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3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4A34" w:rsidRPr="00ED41E6" w:rsidRDefault="00D44A34" w:rsidP="00D44A3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тельства, управление образования,</w:t>
            </w:r>
          </w:p>
        </w:tc>
      </w:tr>
      <w:tr w:rsidR="00D44A34" w:rsidRPr="00ED41E6" w:rsidTr="00836233">
        <w:tc>
          <w:tcPr>
            <w:tcW w:w="653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836233">
        <w:tc>
          <w:tcPr>
            <w:tcW w:w="653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836233">
        <w:tc>
          <w:tcPr>
            <w:tcW w:w="653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1400,0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836233">
        <w:tc>
          <w:tcPr>
            <w:tcW w:w="653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внебюджетные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836233">
        <w:tc>
          <w:tcPr>
            <w:tcW w:w="653" w:type="dxa"/>
            <w:vMerge w:val="restart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44A34" w:rsidRPr="00ED41E6" w:rsidRDefault="00D44A34" w:rsidP="00D44A3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30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1625,0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1625,0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836233">
        <w:tc>
          <w:tcPr>
            <w:tcW w:w="653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836233">
        <w:tc>
          <w:tcPr>
            <w:tcW w:w="653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836233">
        <w:tc>
          <w:tcPr>
            <w:tcW w:w="653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1625,0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1625,0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44A34" w:rsidRPr="00ED41E6" w:rsidTr="00836233">
        <w:tc>
          <w:tcPr>
            <w:tcW w:w="653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44A34" w:rsidRPr="00ED41E6" w:rsidRDefault="00D44A34" w:rsidP="00D4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4A34" w:rsidRPr="007A2E02" w:rsidRDefault="00D44A34" w:rsidP="00D44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44A34" w:rsidRPr="00ED41E6" w:rsidRDefault="00D44A34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A55587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354205,7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3237,0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A55587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85641,0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A55587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263035,6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 мест в обще-образовательныхучреждениях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A55587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324592,9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75659,1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A55587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248933,8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A55587">
              <w:rPr>
                <w:rFonts w:ascii="Times New Roman" w:hAnsi="Times New Roman"/>
                <w:sz w:val="24"/>
                <w:szCs w:val="24"/>
                <w:lang w:eastAsia="ar-SA"/>
              </w:rPr>
              <w:t>612,8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3237,0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12274,0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A55587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14101,8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г.Кропоткин, 1- й микроаойон,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мест)( ПСД,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12528,9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3237,0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8291,9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Получение проектно- сметной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венных отношений, управление архитектуры и градостроительства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12528,9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3237,0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8291,9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г.Кропоткин, 1- й микроаойон,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мест)(СМР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341676,8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79641,2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262035,6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 мест в обще-образовательных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324592,9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75659,1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248933,8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123104" w:rsidP="005852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17083,9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3982,1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13101,8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547802,9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1F52">
              <w:rPr>
                <w:rFonts w:ascii="Times New Roman" w:hAnsi="Times New Roman"/>
                <w:sz w:val="24"/>
                <w:szCs w:val="24"/>
                <w:lang w:eastAsia="ar-SA"/>
              </w:rPr>
              <w:t>11894</w:t>
            </w:r>
            <w:r w:rsidRPr="00641F52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641F52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266060</w:t>
            </w:r>
            <w:r w:rsidR="00592621"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491125,5</w:t>
            </w:r>
          </w:p>
        </w:tc>
        <w:tc>
          <w:tcPr>
            <w:tcW w:w="1276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100400,4</w:t>
            </w:r>
          </w:p>
        </w:tc>
        <w:tc>
          <w:tcPr>
            <w:tcW w:w="993" w:type="dxa"/>
            <w:shd w:val="clear" w:color="auto" w:fill="FFFFFF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248933,8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592621" w:rsidRPr="00123104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23104">
              <w:rPr>
                <w:rFonts w:ascii="Times New Roman" w:hAnsi="Times New Roman"/>
                <w:sz w:val="24"/>
                <w:szCs w:val="24"/>
                <w:lang w:eastAsia="ar-SA"/>
              </w:rPr>
              <w:t>6677,4</w:t>
            </w:r>
          </w:p>
        </w:tc>
        <w:tc>
          <w:tcPr>
            <w:tcW w:w="1276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850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18542,4</w:t>
            </w:r>
          </w:p>
        </w:tc>
        <w:tc>
          <w:tcPr>
            <w:tcW w:w="993" w:type="dxa"/>
            <w:shd w:val="clear" w:color="auto" w:fill="FFFFFF"/>
          </w:tcPr>
          <w:p w:rsidR="00592621" w:rsidRPr="007A2E02" w:rsidRDefault="00123104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17126,8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 источники</w:t>
            </w:r>
          </w:p>
        </w:tc>
        <w:tc>
          <w:tcPr>
            <w:tcW w:w="1145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704C60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тыс.руб.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тыс.руб.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592621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592621" w:rsidRPr="007A2E02" w:rsidRDefault="000556F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547802,9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118942,8</w:t>
            </w:r>
          </w:p>
        </w:tc>
        <w:tc>
          <w:tcPr>
            <w:tcW w:w="1134" w:type="dxa"/>
          </w:tcPr>
          <w:p w:rsidR="00592621" w:rsidRPr="007A2E02" w:rsidRDefault="000556F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266060</w:t>
            </w:r>
            <w:r w:rsidR="00592621"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92621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592621" w:rsidRPr="007A2E02" w:rsidRDefault="000556F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491125,5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100400,4</w:t>
            </w:r>
          </w:p>
        </w:tc>
        <w:tc>
          <w:tcPr>
            <w:tcW w:w="1134" w:type="dxa"/>
          </w:tcPr>
          <w:p w:rsidR="00592621" w:rsidRPr="007A2E02" w:rsidRDefault="000556F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248933,8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92621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92621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592621" w:rsidRPr="007A2E02" w:rsidRDefault="000556F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56677,4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18542,4</w:t>
            </w:r>
          </w:p>
        </w:tc>
        <w:tc>
          <w:tcPr>
            <w:tcW w:w="1134" w:type="dxa"/>
          </w:tcPr>
          <w:p w:rsidR="00592621" w:rsidRPr="007A2E02" w:rsidRDefault="000556F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17126,8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92621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Кавказская",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местный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Направление инвестирования (цель осуществления бюджетных инвестиций):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"Муниципальное дошкольное образовательное учреждение на 170 мест в ст. Казанской"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ЦРР-д/с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5852B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г.Кропоткин,1-й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11 с увеличением вместимости и выделением блока начального образования на 400 мест(</w:t>
            </w:r>
            <w:r w:rsidR="005852B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Блок начального образования на 400 мест) 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Направление инвестирования (цель осуществления бюджетных инвестиций):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AF547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52BD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354205,7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263035,</w:t>
            </w:r>
            <w:r w:rsidR="005852BD" w:rsidRPr="00331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</w:t>
            </w:r>
            <w:r w:rsidR="00B212E0">
              <w:rPr>
                <w:rFonts w:ascii="Times New Roman" w:hAnsi="Times New Roman" w:cs="Times New Roman"/>
              </w:rPr>
              <w:t>24592,9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248933,8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29</w:t>
            </w:r>
            <w:r w:rsidR="00B212E0">
              <w:rPr>
                <w:rFonts w:ascii="Times New Roman" w:hAnsi="Times New Roman" w:cs="Times New Roman"/>
              </w:rPr>
              <w:t>612,8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14101,8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52BD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354205,7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263035,</w:t>
            </w:r>
            <w:r w:rsidRPr="00331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24592,9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248933,8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612,8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14101,8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2E0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C1C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35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5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 профилактика детского дорожного-транспортного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приобретенных мобильных автогородков;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приобретенных световозвращающих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bookmarkEnd w:id="4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составляет                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3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6</w:t>
            </w:r>
            <w:r w:rsidR="005852B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498.9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lastRenderedPageBreak/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1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3700.4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1978.7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2 0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05.5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2 03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2</w:t>
            </w:r>
            <w:r w:rsidR="005852BD">
              <w:rPr>
                <w:rFonts w:ascii="Times New Roman" w:hAnsi="Times New Roman"/>
                <w:sz w:val="28"/>
                <w:szCs w:val="28"/>
              </w:rPr>
              <w:t>,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8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краевого бюджета –                     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21442</w:t>
            </w:r>
            <w:r w:rsidR="00A9468B">
              <w:rPr>
                <w:rFonts w:ascii="Times New Roman" w:hAnsi="Times New Roman"/>
                <w:sz w:val="28"/>
                <w:szCs w:val="28"/>
              </w:rPr>
              <w:t>,2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5852BD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7320A8">
              <w:rPr>
                <w:rFonts w:ascii="Times New Roman" w:hAnsi="Times New Roman"/>
                <w:sz w:val="28"/>
                <w:szCs w:val="28"/>
              </w:rPr>
              <w:t>11361.3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5852BD">
              <w:rPr>
                <w:rFonts w:ascii="Times New Roman" w:hAnsi="Times New Roman"/>
                <w:sz w:val="28"/>
                <w:szCs w:val="28"/>
              </w:rPr>
              <w:t>5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056.2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2015 год – 1 783,5 тыс.руб.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1978.7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F24D56" w:rsidRPr="00252E9D" w:rsidRDefault="005852BD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 0</w:t>
            </w:r>
            <w:r w:rsidRPr="005852BD">
              <w:rPr>
                <w:rFonts w:ascii="Times New Roman" w:hAnsi="Times New Roman"/>
                <w:sz w:val="28"/>
                <w:szCs w:val="28"/>
              </w:rPr>
              <w:t>05.5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 w:rsidR="005852BD">
              <w:rPr>
                <w:rFonts w:ascii="Times New Roman" w:hAnsi="Times New Roman" w:cs="Times New Roman"/>
                <w:sz w:val="28"/>
                <w:szCs w:val="28"/>
              </w:rPr>
              <w:t xml:space="preserve"> – 2 03</w:t>
            </w:r>
            <w:r w:rsidR="005852BD" w:rsidRPr="005852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2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2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lastRenderedPageBreak/>
        <w:t>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2013 – 2014 годах в отношении автомобильных дорог, включенных в реестр имущества администрации муниципального образования Кавказский район были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п.Мирской-п.Красноармейский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п.им.М.Горького – п.Озёрный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автобусов, работающих на газомоторном топливе позволит использовать более дешевый и экологичный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lastRenderedPageBreak/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>К элементам автомобильных дорог, требующим поддержания их в надлежащем состоянии относятся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4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5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составляет </w:t>
      </w:r>
      <w:r w:rsidR="00765816" w:rsidRPr="00765816">
        <w:rPr>
          <w:rFonts w:ascii="Times New Roman" w:hAnsi="Times New Roman" w:cs="Times New Roman"/>
          <w:sz w:val="28"/>
          <w:szCs w:val="28"/>
        </w:rPr>
        <w:t>36</w:t>
      </w:r>
      <w:r w:rsidR="007658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5816">
        <w:rPr>
          <w:rFonts w:ascii="Times New Roman" w:hAnsi="Times New Roman" w:cs="Times New Roman"/>
          <w:sz w:val="28"/>
          <w:szCs w:val="28"/>
        </w:rPr>
        <w:t>498,</w:t>
      </w:r>
      <w:r w:rsidR="00765816" w:rsidRPr="00765816">
        <w:rPr>
          <w:rFonts w:ascii="Times New Roman" w:hAnsi="Times New Roman" w:cs="Times New Roman"/>
          <w:sz w:val="28"/>
          <w:szCs w:val="28"/>
        </w:rPr>
        <w:t xml:space="preserve">9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12"/>
      <w:bookmarkEnd w:id="45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краевого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6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</w:t>
      </w:r>
      <w:r w:rsidRPr="00F934B8">
        <w:rPr>
          <w:rFonts w:ascii="Times New Roman" w:hAnsi="Times New Roman"/>
          <w:sz w:val="28"/>
          <w:szCs w:val="28"/>
        </w:rPr>
        <w:lastRenderedPageBreak/>
        <w:t>планируется в софинансировании, посредством предоставления субсидии из краевого бюджета, из средств местного бюджета и средств автотранспортного предприятия.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район»будет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7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5. Механизм реализации муниципальной подпрограммы и контроль за ее выполнением</w:t>
      </w:r>
    </w:p>
    <w:bookmarkEnd w:id="47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A13C9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085" w:type="dxa"/>
            <w:vAlign w:val="center"/>
          </w:tcPr>
          <w:p w:rsidR="008D4E82" w:rsidRPr="00ED41E6" w:rsidRDefault="009C750C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Цель:Обеспечение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 муниципальным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приобретенных мобильных автогородков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световозвращающих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452AF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281" w:type="dxa"/>
          </w:tcPr>
          <w:p w:rsidR="00560838" w:rsidRPr="00587F62" w:rsidRDefault="00560838" w:rsidP="007320A8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144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2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81" w:type="dxa"/>
          </w:tcPr>
          <w:p w:rsidR="00560838" w:rsidRPr="00587F62" w:rsidRDefault="00560838" w:rsidP="007320A8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560838" w:rsidRPr="00587F62" w:rsidRDefault="00560838" w:rsidP="007320A8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144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2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надлежащем состояния элемонтов автомобильных дорог для обеспечения дорожной безопасности 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1" w:type="dxa"/>
          </w:tcPr>
          <w:p w:rsidR="00560838" w:rsidRPr="00ED41E6" w:rsidRDefault="00560838" w:rsidP="007320A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1440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</w:p>
        </w:tc>
        <w:tc>
          <w:tcPr>
            <w:tcW w:w="122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5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тыс.руб.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Участ-ник муниципальной программы</w:t>
            </w:r>
          </w:p>
        </w:tc>
      </w:tr>
      <w:tr w:rsidR="008D4E82" w:rsidRPr="00ED41E6" w:rsidTr="00C815F7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2 334,0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Управ-лениеобразо-ванияадминист-рации МО Кавказский район</w:t>
            </w: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2 334,0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источ-ники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674381" w:rsidRPr="00ED41E6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 «Капитальный ре-монт, ремонт и содер-жание автомобильных дорог общего поль-зования местного зна-чения, включенных в реестр имущества МО Кавказский район, разработка докумен-тации по планировке территории в целях размещения автомо-бильных дорог, инже-нерные изыскания, разработка проектной документации, прове-дение необходимых экспертиз, выкуп земельных участков и подготовку террито-рии строительства, ликвидация последс-твий чрезвычайных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ситуаций на автомо-бильных дорогах местного значения, обустройство автомо-бильных дорог мест-ного значения вцелях повышения безопас-ности дорожного движения, осущест-вление иных меро-приятий в отношении автомобильных </w:t>
            </w: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дорог общего пользо-вания местного зна-чения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32113,5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5497,5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13350,4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1678,7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1705,5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1732,8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транс-порта,  связи и дорож-ногохозяйст-ваадми-нистра-цииМО</w:t>
            </w:r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район</w:t>
            </w: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11950,3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1 695,6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1989,1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1678,7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1705,5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1732,8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20163,2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11361,3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источ-ники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</w:t>
            </w: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на территории Краснодарского края» (капитальный ремонт и ремонт автомобильных дорог общего пользования местного значения)»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15961,5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4002,0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11959,5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74381" w:rsidRPr="001E724A" w:rsidRDefault="00674381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674381" w:rsidRPr="001E724A" w:rsidRDefault="00674381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транс-порта,  связи и дорож-ногохозяйст-ваадми-нистра-цииМО</w:t>
            </w:r>
          </w:p>
          <w:p w:rsidR="00674381" w:rsidRPr="001E724A" w:rsidRDefault="00674381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674381" w:rsidRPr="00ED41E6" w:rsidRDefault="00674381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ский район</w:t>
            </w:r>
          </w:p>
        </w:tc>
      </w:tr>
      <w:tr w:rsidR="00674381" w:rsidRPr="00ED41E6" w:rsidTr="005A3D9F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798,3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1E724A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15163,2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11361,3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ED41E6" w:rsidRDefault="00674381" w:rsidP="007320A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ED41E6" w:rsidRDefault="00674381" w:rsidP="007320A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ED41E6" w:rsidRDefault="00674381" w:rsidP="007320A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ED41E6" w:rsidRDefault="00674381" w:rsidP="007320A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ED41E6" w:rsidRDefault="00674381" w:rsidP="007320A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ED41E6" w:rsidRDefault="00674381" w:rsidP="007320A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ED41E6" w:rsidRDefault="00674381" w:rsidP="007320A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ED41E6" w:rsidRDefault="00674381" w:rsidP="007320A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докумен-тации по планировке территории в целях размещения автомо-бильных дорог, инже-нерные изыскания, разработка проектной документации, прове-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дение необходимых экспертиз, выкуп земельных участков и подготовку террито-рии строительства, ликвидация последс-твий чрезвычайных ситуаций на автомо-бильных дорогах местного значения, обустройство автомо-бильных дорог мест-ного значения вцелях повышения безопас-ности дорожного движения, осущест-вление иных меро-приятий в отношении автомобильных </w:t>
            </w:r>
          </w:p>
          <w:p w:rsidR="00880F04" w:rsidRPr="00ED41E6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дорог общего пользо-вания местного зна-чения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80F04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880F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транс-порта,  связи и дорож-ногохозяйст-ваадми-нистра-цииМО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район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F04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5A3D9F" w:rsidRDefault="00880F04" w:rsidP="0021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1985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1E724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305F5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транс-порта,  связи и дорож-ногохозяйст-ваадми-нистра-цииМО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источ-ники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674381">
        <w:trPr>
          <w:cantSplit/>
          <w:trHeight w:val="277"/>
        </w:trPr>
        <w:tc>
          <w:tcPr>
            <w:tcW w:w="710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674381" w:rsidRPr="00390F44" w:rsidRDefault="00674381" w:rsidP="0073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Повышение уровня правого сознания и предупреждения опасного поведения участников дорожного движения, профилактика детского дорожного-транспортного травматизма</w:t>
            </w:r>
          </w:p>
        </w:tc>
      </w:tr>
      <w:tr w:rsidR="00674381" w:rsidRPr="00ED41E6" w:rsidTr="00674381">
        <w:trPr>
          <w:cantSplit/>
          <w:trHeight w:val="268"/>
        </w:trPr>
        <w:tc>
          <w:tcPr>
            <w:tcW w:w="710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2551" w:type="dxa"/>
            <w:shd w:val="clear" w:color="auto" w:fill="auto"/>
          </w:tcPr>
          <w:p w:rsidR="00674381" w:rsidRPr="00390F44" w:rsidRDefault="00674381" w:rsidP="0073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674381" w:rsidRPr="00ED41E6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1501,4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автогородков, оснащение 24 кабинетов по безопасности дорожного движения, приобретение 24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световозвращающих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транс-порта,  связи и дорож-ногохозяйст-ваадми-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нистра-цииМО</w:t>
            </w:r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район</w:t>
            </w:r>
          </w:p>
        </w:tc>
      </w:tr>
      <w:tr w:rsidR="00674381" w:rsidRPr="00ED41E6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221,9</w:t>
            </w:r>
          </w:p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674381" w:rsidRPr="00587F62" w:rsidRDefault="00674381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674381" w:rsidRPr="00587F62" w:rsidRDefault="00674381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74381" w:rsidRPr="00587F62" w:rsidRDefault="00674381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674381" w:rsidRPr="00587F62" w:rsidRDefault="00674381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74381" w:rsidRPr="00587F62" w:rsidRDefault="00674381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74381" w:rsidRPr="00587F62" w:rsidRDefault="00674381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74381" w:rsidRPr="00587F62" w:rsidRDefault="00674381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4381" w:rsidRPr="00587F62" w:rsidRDefault="00674381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источ-ники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291"/>
        </w:trPr>
        <w:tc>
          <w:tcPr>
            <w:tcW w:w="710" w:type="dxa"/>
            <w:shd w:val="clear" w:color="auto" w:fill="auto"/>
          </w:tcPr>
          <w:p w:rsidR="00AE5CF7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AE5CF7" w:rsidRPr="00ED41E6" w:rsidTr="00AE5CF7">
        <w:trPr>
          <w:cantSplit/>
          <w:trHeight w:val="278"/>
        </w:trPr>
        <w:tc>
          <w:tcPr>
            <w:tcW w:w="710" w:type="dxa"/>
            <w:shd w:val="clear" w:color="auto" w:fill="auto"/>
          </w:tcPr>
          <w:p w:rsidR="00AE5CF7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E5CF7" w:rsidRPr="00ED41E6" w:rsidTr="00AE5CF7">
        <w:trPr>
          <w:cantSplit/>
          <w:trHeight w:val="562"/>
        </w:trPr>
        <w:tc>
          <w:tcPr>
            <w:tcW w:w="710" w:type="dxa"/>
            <w:vMerge w:val="restart"/>
            <w:shd w:val="clear" w:color="auto" w:fill="auto"/>
          </w:tcPr>
          <w:p w:rsidR="00AE5CF7" w:rsidRPr="00390F44" w:rsidRDefault="00674381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AE5CF7" w:rsidRPr="00390F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CF7" w:rsidRPr="00E60EE9" w:rsidRDefault="00AE5CF7" w:rsidP="00B60735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60EE9">
              <w:rPr>
                <w:rFonts w:ascii="Times New Roman" w:eastAsiaTheme="minorHAnsi" w:hAnsi="Times New Roman"/>
              </w:rPr>
              <w:t>Замена электрооборудования стелы расположенной на границе Кавказского и Тбилиского районов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Отдел ЖКХ,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транс-порта,  связи и дорож-ногохозяйст-ваадми-нистра-цииМО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Кавказ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</w:t>
            </w:r>
          </w:p>
        </w:tc>
      </w:tr>
      <w:tr w:rsidR="00AE5CF7" w:rsidRPr="00ED41E6" w:rsidTr="00AE5CF7">
        <w:trPr>
          <w:cantSplit/>
          <w:trHeight w:val="845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830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 36498,9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6 231,5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13700,4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2029,8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74381" w:rsidRPr="00ED41E6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15056,2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2 429,6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2339,1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2029,8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74381" w:rsidRPr="00ED41E6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21442,7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11361,3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74381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732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921"/>
        <w:gridCol w:w="2478"/>
        <w:gridCol w:w="1805"/>
        <w:gridCol w:w="1065"/>
        <w:gridCol w:w="1070"/>
        <w:gridCol w:w="927"/>
        <w:gridCol w:w="9"/>
        <w:gridCol w:w="986"/>
        <w:gridCol w:w="10"/>
        <w:gridCol w:w="10"/>
        <w:gridCol w:w="936"/>
        <w:gridCol w:w="936"/>
        <w:gridCol w:w="936"/>
      </w:tblGrid>
      <w:tr w:rsidR="008D4E82" w:rsidRPr="00ED41E6" w:rsidTr="00880F04">
        <w:tc>
          <w:tcPr>
            <w:tcW w:w="697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26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8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тыс.руб.</w:t>
            </w:r>
          </w:p>
        </w:tc>
        <w:tc>
          <w:tcPr>
            <w:tcW w:w="6877" w:type="dxa"/>
            <w:gridSpan w:val="10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тыс.руб.</w:t>
            </w:r>
          </w:p>
        </w:tc>
      </w:tr>
      <w:tr w:rsidR="008D4E82" w:rsidRPr="00ED41E6" w:rsidTr="00880F04">
        <w:tc>
          <w:tcPr>
            <w:tcW w:w="697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3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4398" w:rsidRPr="00ED41E6" w:rsidTr="00880F04">
        <w:trPr>
          <w:trHeight w:val="302"/>
        </w:trPr>
        <w:tc>
          <w:tcPr>
            <w:tcW w:w="697" w:type="dxa"/>
            <w:vMerge w:val="restart"/>
            <w:vAlign w:val="center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2C4398" w:rsidRPr="00ED41E6" w:rsidRDefault="002C4398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36498,8</w:t>
            </w:r>
          </w:p>
        </w:tc>
        <w:tc>
          <w:tcPr>
            <w:tcW w:w="106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1071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6 231,5</w:t>
            </w:r>
          </w:p>
        </w:tc>
        <w:tc>
          <w:tcPr>
            <w:tcW w:w="996" w:type="dxa"/>
            <w:gridSpan w:val="3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13700,4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</w:tr>
      <w:tr w:rsidR="002C4398" w:rsidRPr="00ED41E6" w:rsidTr="00880F04">
        <w:trPr>
          <w:trHeight w:val="292"/>
        </w:trPr>
        <w:tc>
          <w:tcPr>
            <w:tcW w:w="697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398" w:rsidRPr="00ED41E6" w:rsidRDefault="002C4398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21442,7</w:t>
            </w:r>
          </w:p>
        </w:tc>
        <w:tc>
          <w:tcPr>
            <w:tcW w:w="106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071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86" w:type="dxa"/>
            <w:gridSpan w:val="2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11361,3</w:t>
            </w:r>
          </w:p>
        </w:tc>
        <w:tc>
          <w:tcPr>
            <w:tcW w:w="946" w:type="dxa"/>
            <w:gridSpan w:val="2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4398" w:rsidRPr="00ED41E6" w:rsidTr="00880F04">
        <w:trPr>
          <w:trHeight w:val="345"/>
        </w:trPr>
        <w:tc>
          <w:tcPr>
            <w:tcW w:w="697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gridSpan w:val="2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4398" w:rsidRPr="00ED41E6" w:rsidTr="00880F04">
        <w:tc>
          <w:tcPr>
            <w:tcW w:w="697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398" w:rsidRPr="00ED41E6" w:rsidRDefault="002C4398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15056,2</w:t>
            </w:r>
          </w:p>
        </w:tc>
        <w:tc>
          <w:tcPr>
            <w:tcW w:w="106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071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2 429,6</w:t>
            </w:r>
          </w:p>
        </w:tc>
        <w:tc>
          <w:tcPr>
            <w:tcW w:w="986" w:type="dxa"/>
            <w:gridSpan w:val="2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2339,1</w:t>
            </w:r>
          </w:p>
        </w:tc>
        <w:tc>
          <w:tcPr>
            <w:tcW w:w="946" w:type="dxa"/>
            <w:gridSpan w:val="2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7320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</w:tr>
      <w:tr w:rsidR="002C4398" w:rsidRPr="00ED41E6" w:rsidTr="00880F04">
        <w:tc>
          <w:tcPr>
            <w:tcW w:w="697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2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gridSpan w:val="3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4398" w:rsidRPr="00587F62" w:rsidRDefault="002C4398" w:rsidP="007320A8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>3296,1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0,0 тыс.руб.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тыс.руб.;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D77A7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629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>987,7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>429,9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0,0 тыс.руб.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CF02CD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259,5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 – 0.0 тыс.руб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краевого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>джета – 641,3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0,0 тыс.руб.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176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тыс.руб.;</w:t>
            </w:r>
          </w:p>
          <w:p w:rsidR="002C2CB8" w:rsidRPr="002C2CB8" w:rsidRDefault="00CF02CD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244,3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тыс.руб.;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 – 0.0 тыс.руб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2224,9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0,0 тыс.руб.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тыс.руб.;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483,9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8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CF02CD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3296,1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641,3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86802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D77A7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8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176</w:t>
            </w:r>
            <w:r w:rsidR="000C2A9A"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CF02CD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8680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A8518F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F8680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район № 407 от 30 марта 2018 года «Об утверждении Правил предоставления молодым семьям социальных выплат на приобретение (строительство) жилья и их использования.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контроль за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50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 оказание поддержки в решении жилищной проблемы молодым семьям, признанных в установленном порядке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подпрограммы:создание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CF02CD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5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D77A72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D77A72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D77A72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CF02CD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3296,1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F8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94E4E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94E4E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094E4E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CF02CD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2CD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CF02CD" w:rsidRPr="009B3670" w:rsidRDefault="00CF02CD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F02CD" w:rsidRPr="009B3670" w:rsidRDefault="00CF02CD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3296,1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762,9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987,7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993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2CD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993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2CD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244,3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2CD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259,5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2CD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CF02CD" w:rsidRPr="009B3670" w:rsidRDefault="00CF02CD" w:rsidP="005C1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02CD" w:rsidRPr="009B3670" w:rsidRDefault="00CF02CD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14C50"/>
    <w:rsid w:val="00027FDA"/>
    <w:rsid w:val="00033E1E"/>
    <w:rsid w:val="00036D1B"/>
    <w:rsid w:val="00040C5B"/>
    <w:rsid w:val="0005304F"/>
    <w:rsid w:val="000556F1"/>
    <w:rsid w:val="000621C3"/>
    <w:rsid w:val="000635AA"/>
    <w:rsid w:val="00063EEC"/>
    <w:rsid w:val="00067C98"/>
    <w:rsid w:val="00073DA1"/>
    <w:rsid w:val="00094E4E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3104"/>
    <w:rsid w:val="00124F1B"/>
    <w:rsid w:val="001303D3"/>
    <w:rsid w:val="00151839"/>
    <w:rsid w:val="00154B9B"/>
    <w:rsid w:val="0016114A"/>
    <w:rsid w:val="0016331A"/>
    <w:rsid w:val="00184BF1"/>
    <w:rsid w:val="001974FA"/>
    <w:rsid w:val="001B1D61"/>
    <w:rsid w:val="001C0112"/>
    <w:rsid w:val="001C0CE0"/>
    <w:rsid w:val="001C3CF9"/>
    <w:rsid w:val="001E724A"/>
    <w:rsid w:val="001F22D1"/>
    <w:rsid w:val="001F2525"/>
    <w:rsid w:val="001F59D4"/>
    <w:rsid w:val="0021539C"/>
    <w:rsid w:val="0022348F"/>
    <w:rsid w:val="002318AD"/>
    <w:rsid w:val="002371F1"/>
    <w:rsid w:val="002403EE"/>
    <w:rsid w:val="002427EC"/>
    <w:rsid w:val="00244599"/>
    <w:rsid w:val="002455AE"/>
    <w:rsid w:val="00245D2A"/>
    <w:rsid w:val="00262953"/>
    <w:rsid w:val="002704DD"/>
    <w:rsid w:val="0028108B"/>
    <w:rsid w:val="00282687"/>
    <w:rsid w:val="00282DED"/>
    <w:rsid w:val="002869DD"/>
    <w:rsid w:val="00293D03"/>
    <w:rsid w:val="002B1DC2"/>
    <w:rsid w:val="002C2CB8"/>
    <w:rsid w:val="002C439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65C26"/>
    <w:rsid w:val="003711F2"/>
    <w:rsid w:val="00373CA0"/>
    <w:rsid w:val="00386976"/>
    <w:rsid w:val="00392188"/>
    <w:rsid w:val="003A51C9"/>
    <w:rsid w:val="003D0BF2"/>
    <w:rsid w:val="003D4BE7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46410"/>
    <w:rsid w:val="0045036F"/>
    <w:rsid w:val="00452AFE"/>
    <w:rsid w:val="00454E2D"/>
    <w:rsid w:val="00471D10"/>
    <w:rsid w:val="0047485C"/>
    <w:rsid w:val="00477236"/>
    <w:rsid w:val="004772DC"/>
    <w:rsid w:val="00481374"/>
    <w:rsid w:val="00497470"/>
    <w:rsid w:val="004B3F10"/>
    <w:rsid w:val="004B6B7A"/>
    <w:rsid w:val="004C553A"/>
    <w:rsid w:val="004C674E"/>
    <w:rsid w:val="004C6D0E"/>
    <w:rsid w:val="004D595A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71CF"/>
    <w:rsid w:val="00540463"/>
    <w:rsid w:val="00544CDB"/>
    <w:rsid w:val="00555176"/>
    <w:rsid w:val="00560838"/>
    <w:rsid w:val="005659F9"/>
    <w:rsid w:val="00582800"/>
    <w:rsid w:val="005828AE"/>
    <w:rsid w:val="005846C7"/>
    <w:rsid w:val="005852BD"/>
    <w:rsid w:val="00592621"/>
    <w:rsid w:val="005A3D9F"/>
    <w:rsid w:val="005A413C"/>
    <w:rsid w:val="005C1A7B"/>
    <w:rsid w:val="005C250B"/>
    <w:rsid w:val="005C4C15"/>
    <w:rsid w:val="005C6E1E"/>
    <w:rsid w:val="005D64ED"/>
    <w:rsid w:val="005D76EB"/>
    <w:rsid w:val="005E01EF"/>
    <w:rsid w:val="005E542E"/>
    <w:rsid w:val="005F31D5"/>
    <w:rsid w:val="00610369"/>
    <w:rsid w:val="00613561"/>
    <w:rsid w:val="00631019"/>
    <w:rsid w:val="00632446"/>
    <w:rsid w:val="00634432"/>
    <w:rsid w:val="00635497"/>
    <w:rsid w:val="00635807"/>
    <w:rsid w:val="00655E7D"/>
    <w:rsid w:val="00661BD9"/>
    <w:rsid w:val="0066629E"/>
    <w:rsid w:val="006666A0"/>
    <w:rsid w:val="0067130A"/>
    <w:rsid w:val="00674381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7006F0"/>
    <w:rsid w:val="00700E25"/>
    <w:rsid w:val="00704C60"/>
    <w:rsid w:val="00710FCB"/>
    <w:rsid w:val="00715AAB"/>
    <w:rsid w:val="00720E03"/>
    <w:rsid w:val="00725B94"/>
    <w:rsid w:val="00730CB4"/>
    <w:rsid w:val="007320A8"/>
    <w:rsid w:val="0073248A"/>
    <w:rsid w:val="007335EC"/>
    <w:rsid w:val="00733DB9"/>
    <w:rsid w:val="007367F9"/>
    <w:rsid w:val="00743BFB"/>
    <w:rsid w:val="007545C2"/>
    <w:rsid w:val="00765816"/>
    <w:rsid w:val="0077459F"/>
    <w:rsid w:val="00775663"/>
    <w:rsid w:val="0077720D"/>
    <w:rsid w:val="007800C1"/>
    <w:rsid w:val="007A73B0"/>
    <w:rsid w:val="007C642F"/>
    <w:rsid w:val="007E7FC8"/>
    <w:rsid w:val="007F029E"/>
    <w:rsid w:val="007F3E0E"/>
    <w:rsid w:val="00805F7C"/>
    <w:rsid w:val="008063D9"/>
    <w:rsid w:val="00812E89"/>
    <w:rsid w:val="008153ED"/>
    <w:rsid w:val="008159B6"/>
    <w:rsid w:val="008169BB"/>
    <w:rsid w:val="00832C44"/>
    <w:rsid w:val="00836233"/>
    <w:rsid w:val="00843AE7"/>
    <w:rsid w:val="008562EB"/>
    <w:rsid w:val="00871AF4"/>
    <w:rsid w:val="008748C3"/>
    <w:rsid w:val="00875948"/>
    <w:rsid w:val="00880F04"/>
    <w:rsid w:val="00890805"/>
    <w:rsid w:val="00897FBF"/>
    <w:rsid w:val="008A5A64"/>
    <w:rsid w:val="008B0FD3"/>
    <w:rsid w:val="008B0FE2"/>
    <w:rsid w:val="008C0C3C"/>
    <w:rsid w:val="008C14AE"/>
    <w:rsid w:val="008C20D9"/>
    <w:rsid w:val="008C5C9B"/>
    <w:rsid w:val="008C5FDF"/>
    <w:rsid w:val="008C6887"/>
    <w:rsid w:val="008D4E82"/>
    <w:rsid w:val="008E2E69"/>
    <w:rsid w:val="00920609"/>
    <w:rsid w:val="00921FCC"/>
    <w:rsid w:val="00924E78"/>
    <w:rsid w:val="00927412"/>
    <w:rsid w:val="00932FDD"/>
    <w:rsid w:val="00944DC1"/>
    <w:rsid w:val="009532CA"/>
    <w:rsid w:val="00983381"/>
    <w:rsid w:val="00985502"/>
    <w:rsid w:val="00996827"/>
    <w:rsid w:val="009A1C01"/>
    <w:rsid w:val="009A4663"/>
    <w:rsid w:val="009B08E2"/>
    <w:rsid w:val="009B2A94"/>
    <w:rsid w:val="009B3670"/>
    <w:rsid w:val="009B7028"/>
    <w:rsid w:val="009C750C"/>
    <w:rsid w:val="009E0958"/>
    <w:rsid w:val="009E263C"/>
    <w:rsid w:val="00A15770"/>
    <w:rsid w:val="00A17FE5"/>
    <w:rsid w:val="00A20457"/>
    <w:rsid w:val="00A21EC5"/>
    <w:rsid w:val="00A24BFE"/>
    <w:rsid w:val="00A27FEA"/>
    <w:rsid w:val="00A36131"/>
    <w:rsid w:val="00A42C24"/>
    <w:rsid w:val="00A55587"/>
    <w:rsid w:val="00A5586E"/>
    <w:rsid w:val="00A60450"/>
    <w:rsid w:val="00A6494B"/>
    <w:rsid w:val="00A709EF"/>
    <w:rsid w:val="00A733AD"/>
    <w:rsid w:val="00A758EA"/>
    <w:rsid w:val="00A8068B"/>
    <w:rsid w:val="00A8518F"/>
    <w:rsid w:val="00A901B7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F547D"/>
    <w:rsid w:val="00B212E0"/>
    <w:rsid w:val="00B22925"/>
    <w:rsid w:val="00B373D8"/>
    <w:rsid w:val="00B37F07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943E9"/>
    <w:rsid w:val="00BA237E"/>
    <w:rsid w:val="00BA5A8C"/>
    <w:rsid w:val="00BB5AD0"/>
    <w:rsid w:val="00BC10DD"/>
    <w:rsid w:val="00BC19D2"/>
    <w:rsid w:val="00BC6A88"/>
    <w:rsid w:val="00BE5E57"/>
    <w:rsid w:val="00BF09ED"/>
    <w:rsid w:val="00C02DBF"/>
    <w:rsid w:val="00C043B8"/>
    <w:rsid w:val="00C0458E"/>
    <w:rsid w:val="00C054C9"/>
    <w:rsid w:val="00C219A9"/>
    <w:rsid w:val="00C2496A"/>
    <w:rsid w:val="00C30848"/>
    <w:rsid w:val="00C32755"/>
    <w:rsid w:val="00C45498"/>
    <w:rsid w:val="00C46FEF"/>
    <w:rsid w:val="00C52139"/>
    <w:rsid w:val="00C5645B"/>
    <w:rsid w:val="00C579AC"/>
    <w:rsid w:val="00C61282"/>
    <w:rsid w:val="00C71EC1"/>
    <w:rsid w:val="00C75088"/>
    <w:rsid w:val="00C81012"/>
    <w:rsid w:val="00C815F7"/>
    <w:rsid w:val="00C82513"/>
    <w:rsid w:val="00C927F0"/>
    <w:rsid w:val="00CA632D"/>
    <w:rsid w:val="00CA725B"/>
    <w:rsid w:val="00CB0D4E"/>
    <w:rsid w:val="00CB48C8"/>
    <w:rsid w:val="00CC1835"/>
    <w:rsid w:val="00CC76C1"/>
    <w:rsid w:val="00CE4BF2"/>
    <w:rsid w:val="00CF02CD"/>
    <w:rsid w:val="00CF144D"/>
    <w:rsid w:val="00D0402A"/>
    <w:rsid w:val="00D12D53"/>
    <w:rsid w:val="00D246CB"/>
    <w:rsid w:val="00D313C6"/>
    <w:rsid w:val="00D31DFA"/>
    <w:rsid w:val="00D32604"/>
    <w:rsid w:val="00D3445B"/>
    <w:rsid w:val="00D40447"/>
    <w:rsid w:val="00D412DE"/>
    <w:rsid w:val="00D44A34"/>
    <w:rsid w:val="00D56D27"/>
    <w:rsid w:val="00D61CD6"/>
    <w:rsid w:val="00D67441"/>
    <w:rsid w:val="00D72B11"/>
    <w:rsid w:val="00D73279"/>
    <w:rsid w:val="00D77A72"/>
    <w:rsid w:val="00D81788"/>
    <w:rsid w:val="00DA225D"/>
    <w:rsid w:val="00DA42C8"/>
    <w:rsid w:val="00DB0B6C"/>
    <w:rsid w:val="00DB2368"/>
    <w:rsid w:val="00DB71DF"/>
    <w:rsid w:val="00DC27F9"/>
    <w:rsid w:val="00DD51D0"/>
    <w:rsid w:val="00DE11AA"/>
    <w:rsid w:val="00E17C37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B2BC7"/>
    <w:rsid w:val="00EC0157"/>
    <w:rsid w:val="00ED1E9E"/>
    <w:rsid w:val="00ED2680"/>
    <w:rsid w:val="00ED33C0"/>
    <w:rsid w:val="00ED5F48"/>
    <w:rsid w:val="00ED69F4"/>
    <w:rsid w:val="00EE78C9"/>
    <w:rsid w:val="00F004B7"/>
    <w:rsid w:val="00F126B7"/>
    <w:rsid w:val="00F22495"/>
    <w:rsid w:val="00F24D56"/>
    <w:rsid w:val="00F27098"/>
    <w:rsid w:val="00F33791"/>
    <w:rsid w:val="00F35D09"/>
    <w:rsid w:val="00F37921"/>
    <w:rsid w:val="00F471D2"/>
    <w:rsid w:val="00F47A06"/>
    <w:rsid w:val="00F5568E"/>
    <w:rsid w:val="00F64357"/>
    <w:rsid w:val="00F76312"/>
    <w:rsid w:val="00F76FFB"/>
    <w:rsid w:val="00F8348F"/>
    <w:rsid w:val="00F8582A"/>
    <w:rsid w:val="00F86802"/>
    <w:rsid w:val="00F87324"/>
    <w:rsid w:val="00F96909"/>
    <w:rsid w:val="00FA063F"/>
    <w:rsid w:val="00FA1956"/>
    <w:rsid w:val="00FA226F"/>
    <w:rsid w:val="00FB4347"/>
    <w:rsid w:val="00FC2371"/>
    <w:rsid w:val="00FD0CEC"/>
    <w:rsid w:val="00FD11CD"/>
    <w:rsid w:val="00FE68F3"/>
    <w:rsid w:val="00FE710B"/>
    <w:rsid w:val="00FF24DA"/>
    <w:rsid w:val="00FF6AA1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2E56-BBAE-4410-A746-4D3C077B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21228</Words>
  <Characters>121006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Valentina</cp:lastModifiedBy>
  <cp:revision>3</cp:revision>
  <cp:lastPrinted>2016-12-07T06:30:00Z</cp:lastPrinted>
  <dcterms:created xsi:type="dcterms:W3CDTF">2019-03-29T07:56:00Z</dcterms:created>
  <dcterms:modified xsi:type="dcterms:W3CDTF">2019-04-09T08:25:00Z</dcterms:modified>
</cp:coreProperties>
</file>