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УВЕДОМЛЕНИЕ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 проведении публичных консультаций в рамках анализа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нормативных правовых актов на соответствие 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по проекту постановления администрации муниципального образования Кавказский район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утверждении Порядка обеспечения 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бесплатным двухразовым питанием обучающихся с ограниченными возможностями здоровья,  обучение которых организовано муниципальными образовательными организациями  Кавказского района на дому, в том числе  возможность замены бесплатного двухразового  питания денежной компенсацией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рамках публичных консультаций все заинтересованные лица могут направить свои предложения и замечания по данному нормативно правовому акту.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Предложения и замечания принимаются по адресу: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352140, Краснодарский край, Кавказский район, ст-ца Кавказская, ул. Ленина, д. 191, каб. 32, а также по адресу электронной почты: buh_uo@mail.ru.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Сроки приема предложений и замечаний: с 16.02. 2023 г. по 23.02.2023г.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Место размещения уведомления и проекта нормативного правового акта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официальный сайт муниципального образования Кавказский район: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www.kavraion.ru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,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Все поступившие предложения и замечания будут рассмотрены до 23.02.2023г.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 уведомлению прилагаются: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Анкета для участников публичных консультаций (согласно приложению).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Контактные лица: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Митрофанова Лариса Прокофьевна, начальник Муниципального казенного учреждения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Централизованная бухгалтерия  образования муниципального образования Кавказский район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», 22-5-31;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FFFFFF" w:val="clear"/>
        </w:rPr>
        <w:t xml:space="preserve">с 09-00 до 13-00, с 14-00 до 17-00 по рабочим дням.</w:t>
      </w:r>
    </w:p>
    <w:p>
      <w:pPr>
        <w:suppressAutoHyphens w:val="true"/>
        <w:spacing w:before="0" w:after="0" w:line="240"/>
        <w:ind w:right="0" w:left="486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86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 уведомлению о проведении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публичных консультаций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 рамках анализа нормативных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правовых актов на соответствие</w:t>
      </w:r>
    </w:p>
    <w:p>
      <w:pPr>
        <w:suppressAutoHyphens w:val="true"/>
        <w:spacing w:before="0" w:after="0" w:line="240"/>
        <w:ind w:right="0" w:left="432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их антимонопольному законодательству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  <w:tab w:val="left" w:pos="2940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Анкета для участников публичных консультаций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672"/>
        <w:gridCol w:w="4671"/>
      </w:tblGrid>
      <w:tr>
        <w:trPr>
          <w:trHeight w:val="1" w:hRule="atLeast"/>
          <w:jc w:val="left"/>
        </w:trPr>
        <w:tc>
          <w:tcPr>
            <w:tcW w:w="9343" w:type="dxa"/>
            <w:gridSpan w:val="2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По возможности, укажите: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Наименование организации: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Сферу деятельности организации: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Ф.И.О контактного лица: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Номер телефон: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Адрес электронной почты:</w:t>
            </w:r>
          </w:p>
        </w:tc>
        <w:tc>
          <w:tcPr>
            <w:tcW w:w="4671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Общие сведения о нормативном правовом акте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4668"/>
        <w:gridCol w:w="4765"/>
      </w:tblGrid>
      <w:tr>
        <w:trPr>
          <w:trHeight w:val="1" w:hRule="atLeast"/>
          <w:jc w:val="left"/>
        </w:trPr>
        <w:tc>
          <w:tcPr>
            <w:tcW w:w="466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Сфера регулирования:</w:t>
            </w:r>
          </w:p>
        </w:tc>
        <w:tc>
          <w:tcPr>
            <w:tcW w:w="47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68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Вид и наименование:</w:t>
            </w:r>
          </w:p>
        </w:tc>
        <w:tc>
          <w:tcPr>
            <w:tcW w:w="4765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tbl>
      <w:tblPr/>
      <w:tblGrid>
        <w:gridCol w:w="9493"/>
      </w:tblGrid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tabs>
                <w:tab w:val="left" w:pos="709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tabs>
                <w:tab w:val="left" w:pos="709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tabs>
                <w:tab w:val="left" w:pos="709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t xml:space="preserve">Предложения и замечания по (проекту) нормативного правового акта</w:t>
            </w:r>
          </w:p>
        </w:tc>
      </w:tr>
      <w:tr>
        <w:trPr>
          <w:trHeight w:val="1" w:hRule="atLeast"/>
          <w:jc w:val="left"/>
        </w:trPr>
        <w:tc>
          <w:tcPr>
            <w:tcW w:w="9493" w:type="dxa"/>
            <w:tcBorders>
              <w:top w:val="single" w:color="00000a" w:sz="4"/>
              <w:left w:val="single" w:color="00000a" w:sz="4"/>
              <w:bottom w:val="single" w:color="00000a" w:sz="4"/>
              <w:right w:val="single" w:color="00000a" w:sz="4"/>
            </w:tcBorders>
            <w:shd w:color="000000" w:fill="auto" w:val="clear"/>
            <w:tcMar>
              <w:left w:w="48" w:type="dxa"/>
              <w:right w:w="48" w:type="dxa"/>
            </w:tcMar>
            <w:vAlign w:val="top"/>
          </w:tcPr>
          <w:p>
            <w:pPr>
              <w:tabs>
                <w:tab w:val="left" w:pos="709" w:leader="none"/>
                <w:tab w:val="left" w:pos="2940" w:leader="none"/>
              </w:tabs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kavraion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