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05.12.2018г., 17.12.2018г. 29.01.2018г., 11.02.2018г.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F03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27.12.2020г.)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</w:t>
      </w:r>
      <w:bookmarkStart w:id="0" w:name="_GoBack"/>
      <w:bookmarkEnd w:id="0"/>
      <w:r w:rsidRPr="00557B12">
        <w:rPr>
          <w:rFonts w:ascii="Times New Roman" w:hAnsi="Times New Roman" w:cs="Times New Roman"/>
          <w:sz w:val="28"/>
          <w:szCs w:val="28"/>
        </w:rPr>
        <w:t>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Pr="00B51BBC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</w:t>
            </w:r>
            <w:r w:rsidR="00434DC3"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EC1224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</w:t>
            </w:r>
            <w:r w:rsidR="001F2525"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hyperlink w:anchor="sub_1800" w:history="1">
              <w:r w:rsidR="001F2525" w:rsidRPr="00EC1224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  <w:p w:rsidR="005B027A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«Подготовка градостроительной и землеустроительной документации на территории Кавказского района.</w:t>
            </w:r>
          </w:p>
          <w:p w:rsidR="005B027A" w:rsidRPr="00B51BBC" w:rsidRDefault="005B027A" w:rsidP="005B0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042FD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042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9042FD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5B027A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благоприятной окружающей среды и </w:t>
            </w:r>
            <w:r w:rsidRPr="00904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безопасности н</w:t>
            </w:r>
            <w:r w:rsidR="009042FD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тории МО</w:t>
            </w: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имуществав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надлежащем техническом состоянии.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</w:t>
            </w:r>
          </w:p>
          <w:p w:rsidR="00033E1E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</w:t>
            </w:r>
            <w:r w:rsidRPr="00587F62">
              <w:rPr>
                <w:sz w:val="28"/>
                <w:szCs w:val="28"/>
              </w:rPr>
              <w:lastRenderedPageBreak/>
              <w:t xml:space="preserve">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4D10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557B12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616 272,4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жета – 517 106,7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82538,4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анице Казанской позволит понизить уровень дефицита до 16 процента, что будет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</w:t>
      </w:r>
      <w:r w:rsidRPr="00E32267">
        <w:rPr>
          <w:rFonts w:ascii="Times New Roman" w:hAnsi="Times New Roman"/>
          <w:sz w:val="28"/>
          <w:szCs w:val="28"/>
        </w:rPr>
        <w:lastRenderedPageBreak/>
        <w:t>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lastRenderedPageBreak/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DE11AA" w:rsidRPr="003C6935" w:rsidRDefault="003C6935" w:rsidP="003C693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</w:t>
      </w:r>
      <w:r w:rsidRPr="003C6935">
        <w:rPr>
          <w:rFonts w:ascii="Times New Roman" w:hAnsi="Times New Roman"/>
          <w:sz w:val="28"/>
          <w:szCs w:val="28"/>
        </w:rPr>
        <w:lastRenderedPageBreak/>
        <w:t>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9E0958" w:rsidRPr="003C6935" w:rsidRDefault="009E0958" w:rsidP="00C927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="006D32E1" w:rsidRPr="006D32E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D32E1" w:rsidRPr="006D32E1">
        <w:rPr>
          <w:rFonts w:ascii="Times New Roman" w:hAnsi="Times New Roman" w:cs="Times New Roman"/>
          <w:sz w:val="28"/>
          <w:szCs w:val="28"/>
        </w:rPr>
        <w:t>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proofErr w:type="spellStart"/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F03ABC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24"/>
        <w:gridCol w:w="851"/>
        <w:gridCol w:w="851"/>
        <w:gridCol w:w="851"/>
        <w:gridCol w:w="2125"/>
        <w:gridCol w:w="148"/>
        <w:gridCol w:w="16"/>
        <w:gridCol w:w="21"/>
        <w:gridCol w:w="9"/>
        <w:gridCol w:w="12"/>
        <w:gridCol w:w="26"/>
        <w:gridCol w:w="476"/>
        <w:gridCol w:w="42"/>
        <w:gridCol w:w="26"/>
        <w:gridCol w:w="640"/>
        <w:gridCol w:w="63"/>
        <w:gridCol w:w="787"/>
        <w:gridCol w:w="10"/>
        <w:gridCol w:w="53"/>
        <w:gridCol w:w="786"/>
        <w:gridCol w:w="15"/>
        <w:gridCol w:w="48"/>
        <w:gridCol w:w="787"/>
        <w:gridCol w:w="22"/>
        <w:gridCol w:w="41"/>
        <w:gridCol w:w="795"/>
        <w:gridCol w:w="22"/>
        <w:gridCol w:w="34"/>
        <w:gridCol w:w="821"/>
        <w:gridCol w:w="7"/>
        <w:gridCol w:w="22"/>
        <w:gridCol w:w="826"/>
        <w:gridCol w:w="7"/>
        <w:gridCol w:w="22"/>
        <w:gridCol w:w="822"/>
        <w:gridCol w:w="7"/>
        <w:gridCol w:w="22"/>
        <w:gridCol w:w="822"/>
        <w:gridCol w:w="7"/>
        <w:gridCol w:w="22"/>
        <w:gridCol w:w="822"/>
        <w:gridCol w:w="7"/>
        <w:gridCol w:w="22"/>
        <w:gridCol w:w="643"/>
        <w:gridCol w:w="24"/>
      </w:tblGrid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4B0FA2">
        <w:trPr>
          <w:gridAfter w:val="1"/>
          <w:wAfter w:w="24" w:type="dxa"/>
          <w:trHeight w:val="6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03ABC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03ABC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03ABC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F03ABC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контейнерных площадок на территории сельских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  <w:trHeight w:val="30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количество муниципальных объектов недвижимого имущества,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расположенных в многоквартирных домах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  <w:trHeight w:val="11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11117,7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497" w:type="dxa"/>
        <w:tblInd w:w="93" w:type="dxa"/>
        <w:tblLook w:val="04A0" w:firstRow="1" w:lastRow="0" w:firstColumn="1" w:lastColumn="0" w:noHBand="0" w:noVBand="1"/>
      </w:tblPr>
      <w:tblGrid>
        <w:gridCol w:w="540"/>
        <w:gridCol w:w="5712"/>
        <w:gridCol w:w="1384"/>
        <w:gridCol w:w="1380"/>
        <w:gridCol w:w="1581"/>
        <w:gridCol w:w="1116"/>
        <w:gridCol w:w="1104"/>
        <w:gridCol w:w="1762"/>
      </w:tblGrid>
      <w:tr w:rsidR="00715FAB" w:rsidRPr="00715FAB" w:rsidTr="00715FAB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715FAB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715FAB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715FAB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546 459,9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55 334,5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64571,8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30 914,8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2 888,0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4 933,5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1 744,5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2 824,0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1 179,8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11 117,7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629766,2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532454,1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96 947,1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11320,2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5 545,4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4 061,9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715FA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715FAB">
        <w:trPr>
          <w:trHeight w:val="375"/>
        </w:trPr>
        <w:tc>
          <w:tcPr>
            <w:tcW w:w="14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715FAB">
        <w:trPr>
          <w:trHeight w:val="375"/>
        </w:trPr>
        <w:tc>
          <w:tcPr>
            <w:tcW w:w="14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Pr="00557B12" w:rsidRDefault="00715FAB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Pr="00EF19A1" w:rsidRDefault="00715FAB" w:rsidP="00715F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составляет 546 459,9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 тысяч рублей, </w:t>
            </w:r>
          </w:p>
          <w:p w:rsidR="00715FAB" w:rsidRPr="00EF19A1" w:rsidRDefault="00715FAB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491125,4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715FAB" w:rsidRPr="002C4BDC" w:rsidRDefault="00715FAB" w:rsidP="00715F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бюджета – 55334,5 тысячи рублей</w:t>
            </w:r>
          </w:p>
          <w:p w:rsidR="00715FAB" w:rsidRPr="002C4BDC" w:rsidRDefault="00715FAB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2. Цели, задачи и целевые показатели достижения целей и решения задач, </w:t>
      </w:r>
      <w:r w:rsidRPr="00557B12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"Муниципальное образовательное учреждение на 550 мест в г. Кропоткине", расположенное по адресу: Кавказский район, г. Кропоткин, ул.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420"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55 334,5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546459,9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55334,5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4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  <w:sectPr w:rsidR="00324495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6E2CE9">
              <w:rPr>
                <w:rFonts w:ascii="Times New Roman" w:hAnsi="Times New Roman"/>
                <w:sz w:val="28"/>
                <w:szCs w:val="28"/>
              </w:rPr>
              <w:t>64571,8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252E9D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CE9">
              <w:rPr>
                <w:rFonts w:ascii="Times New Roman" w:hAnsi="Times New Roman"/>
                <w:sz w:val="28"/>
                <w:szCs w:val="28"/>
              </w:rPr>
              <w:t>33657,0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C531D2">
              <w:rPr>
                <w:rFonts w:ascii="Times New Roman" w:hAnsi="Times New Roman"/>
                <w:sz w:val="28"/>
                <w:szCs w:val="28"/>
              </w:rPr>
              <w:t>30 914,8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</w:t>
      </w:r>
      <w:r w:rsidR="00E2104C">
        <w:rPr>
          <w:rFonts w:ascii="Times New Roman" w:hAnsi="Times New Roman" w:cs="Times New Roman"/>
          <w:sz w:val="28"/>
          <w:szCs w:val="28"/>
        </w:rPr>
        <w:t>7</w:t>
      </w:r>
      <w:r w:rsidR="004E35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31D3">
        <w:rPr>
          <w:rFonts w:ascii="Times New Roman" w:hAnsi="Times New Roman" w:cs="Times New Roman"/>
          <w:sz w:val="28"/>
          <w:szCs w:val="28"/>
        </w:rPr>
        <w:t>467,3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proofErr w:type="spellStart"/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</w:t>
        </w:r>
        <w:proofErr w:type="spellEnd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целевые показатели подпрограммы " 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03ABC">
            <w:pPr>
              <w:pStyle w:val="1"/>
              <w:rPr>
                <w:b w:val="0"/>
              </w:rPr>
            </w:pPr>
            <w:hyperlink r:id="rId14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850"/>
        <w:gridCol w:w="1104"/>
        <w:gridCol w:w="1448"/>
        <w:gridCol w:w="1842"/>
        <w:gridCol w:w="1843"/>
      </w:tblGrid>
      <w:tr w:rsidR="00C531D2" w:rsidRPr="00C531D2" w:rsidTr="00C531D2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C531D2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C531D2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C531D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№1 «Ремонт автотранспортных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выездов  детей для участия в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C531D2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C531D2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25 230,2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C531D2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7040,,5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(капитальный ремонт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ремонт автомобильных дорог общего пользования местного значения)»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C531D2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C531D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автобусного парка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C531D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C531D2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C531D2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30 914,8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C531D2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C531D2">
        <w:trPr>
          <w:trHeight w:val="36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C531D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D2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64571,8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7" w:name="RANGE!G9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30914,8</w:t>
            </w:r>
            <w:bookmarkEnd w:id="47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4933,5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1744,9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2824,0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        1186,8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51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51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2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F464C">
        <w:rPr>
          <w:rStyle w:val="a4"/>
          <w:b w:val="0"/>
          <w:color w:val="auto"/>
          <w:sz w:val="28"/>
          <w:szCs w:val="28"/>
        </w:rPr>
        <w:t>приложении № 3</w:t>
      </w:r>
      <w:r w:rsidRPr="009F464C">
        <w:rPr>
          <w:rFonts w:ascii="Times New Roman" w:hAnsi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F464C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-                 1496,5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3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53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Кавказский район             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64C" w:rsidRPr="009F464C" w:rsidSect="009F464C">
      <w:pgSz w:w="16838" w:h="11906" w:orient="landscape"/>
      <w:pgMar w:top="851" w:right="1134" w:bottom="85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0129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7284D"/>
    <w:rsid w:val="00184BF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539C"/>
    <w:rsid w:val="002201E3"/>
    <w:rsid w:val="002215CD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6935"/>
    <w:rsid w:val="003D0BF2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2BA"/>
    <w:rsid w:val="004426D2"/>
    <w:rsid w:val="00442D29"/>
    <w:rsid w:val="004432FF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674E"/>
    <w:rsid w:val="004C6D0E"/>
    <w:rsid w:val="004D105A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1FE4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40E6"/>
    <w:rsid w:val="00897FBF"/>
    <w:rsid w:val="008A58E8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44DC1"/>
    <w:rsid w:val="009455BF"/>
    <w:rsid w:val="00954383"/>
    <w:rsid w:val="00983381"/>
    <w:rsid w:val="00985502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E0958"/>
    <w:rsid w:val="009E263C"/>
    <w:rsid w:val="009F464C"/>
    <w:rsid w:val="00A05BE1"/>
    <w:rsid w:val="00A1021D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547D"/>
    <w:rsid w:val="00B20433"/>
    <w:rsid w:val="00B212E0"/>
    <w:rsid w:val="00B22925"/>
    <w:rsid w:val="00B22927"/>
    <w:rsid w:val="00B373D8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31D2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E4BF2"/>
    <w:rsid w:val="00CF02CD"/>
    <w:rsid w:val="00CF144D"/>
    <w:rsid w:val="00D0402A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A0297"/>
    <w:rsid w:val="00DA225D"/>
    <w:rsid w:val="00DA42C8"/>
    <w:rsid w:val="00DB0B6C"/>
    <w:rsid w:val="00DB2368"/>
    <w:rsid w:val="00DB5AD9"/>
    <w:rsid w:val="00DB71DF"/>
    <w:rsid w:val="00DC27F9"/>
    <w:rsid w:val="00DD51D0"/>
    <w:rsid w:val="00DD69AD"/>
    <w:rsid w:val="00DE11AA"/>
    <w:rsid w:val="00E1209C"/>
    <w:rsid w:val="00E16D91"/>
    <w:rsid w:val="00E17C37"/>
    <w:rsid w:val="00E2104C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04B9"/>
    <w:rsid w:val="00EB2BC7"/>
    <w:rsid w:val="00EC0157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F004B7"/>
    <w:rsid w:val="00F03ABC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C67E6"/>
    <w:rsid w:val="00FD0CEC"/>
    <w:rsid w:val="00FD11CD"/>
    <w:rsid w:val="00FD67FC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054D-5DD8-4429-8DD6-1A3EAA10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116</Pages>
  <Words>27583</Words>
  <Characters>157224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7</cp:revision>
  <cp:lastPrinted>2019-06-28T06:40:00Z</cp:lastPrinted>
  <dcterms:created xsi:type="dcterms:W3CDTF">2019-12-27T07:19:00Z</dcterms:created>
  <dcterms:modified xsi:type="dcterms:W3CDTF">2019-12-30T09:09:00Z</dcterms:modified>
</cp:coreProperties>
</file>