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</w:t>
      </w:r>
      <w:proofErr w:type="gramEnd"/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2018г.</w:t>
      </w:r>
      <w:r w:rsidR="00D035C3">
        <w:rPr>
          <w:rFonts w:ascii="Times New Roman" w:hAnsi="Times New Roman"/>
          <w:bCs/>
          <w:sz w:val="28"/>
          <w:szCs w:val="28"/>
          <w:lang w:val="ru-RU"/>
        </w:rPr>
        <w:t>, 19 апреля 2019г.</w:t>
      </w:r>
      <w:r w:rsidR="009E3D84">
        <w:rPr>
          <w:rFonts w:ascii="Times New Roman" w:hAnsi="Times New Roman"/>
          <w:bCs/>
          <w:sz w:val="28"/>
          <w:szCs w:val="28"/>
          <w:lang w:val="ru-RU"/>
        </w:rPr>
        <w:t>,21 июня 2019г.</w:t>
      </w:r>
      <w:r w:rsidR="00B67DE9">
        <w:rPr>
          <w:rFonts w:ascii="Times New Roman" w:hAnsi="Times New Roman"/>
          <w:bCs/>
          <w:sz w:val="28"/>
          <w:szCs w:val="28"/>
          <w:lang w:val="ru-RU"/>
        </w:rPr>
        <w:t>,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 xml:space="preserve"> 12декабря 2019г.</w:t>
      </w:r>
      <w:r w:rsidR="00BE7DDF">
        <w:rPr>
          <w:rFonts w:ascii="Times New Roman" w:hAnsi="Times New Roman"/>
          <w:bCs/>
          <w:sz w:val="28"/>
          <w:szCs w:val="28"/>
          <w:lang w:val="ru-RU"/>
        </w:rPr>
        <w:t>, 26.августа</w:t>
      </w:r>
      <w:r w:rsidR="00B40BA9">
        <w:rPr>
          <w:rFonts w:ascii="Times New Roman" w:hAnsi="Times New Roman"/>
          <w:bCs/>
          <w:sz w:val="28"/>
          <w:szCs w:val="28"/>
          <w:lang w:val="ru-RU"/>
        </w:rPr>
        <w:t>.2020г.</w:t>
      </w:r>
      <w:r w:rsidR="005D5B47">
        <w:rPr>
          <w:rFonts w:ascii="Times New Roman" w:hAnsi="Times New Roman"/>
          <w:bCs/>
          <w:sz w:val="28"/>
          <w:szCs w:val="28"/>
          <w:lang w:val="ru-RU"/>
        </w:rPr>
        <w:t>, 21</w:t>
      </w:r>
      <w:r w:rsidR="00BD3918">
        <w:rPr>
          <w:rFonts w:ascii="Times New Roman" w:hAnsi="Times New Roman"/>
          <w:bCs/>
          <w:sz w:val="28"/>
          <w:szCs w:val="28"/>
          <w:lang w:val="ru-RU"/>
        </w:rPr>
        <w:t xml:space="preserve"> декабря </w:t>
      </w:r>
      <w:r w:rsidR="00177122">
        <w:rPr>
          <w:rFonts w:ascii="Times New Roman" w:hAnsi="Times New Roman"/>
          <w:bCs/>
          <w:sz w:val="28"/>
          <w:szCs w:val="28"/>
          <w:lang w:val="ru-RU"/>
        </w:rPr>
        <w:t>2020г.</w:t>
      </w:r>
      <w:r w:rsidR="00BD3918">
        <w:rPr>
          <w:rFonts w:ascii="Times New Roman" w:hAnsi="Times New Roman"/>
          <w:bCs/>
          <w:sz w:val="28"/>
          <w:szCs w:val="28"/>
          <w:lang w:val="ru-RU"/>
        </w:rPr>
        <w:t>, 19 февраля</w:t>
      </w:r>
      <w:r w:rsidR="00D77E3E">
        <w:rPr>
          <w:rFonts w:ascii="Times New Roman" w:hAnsi="Times New Roman"/>
          <w:bCs/>
          <w:sz w:val="28"/>
          <w:szCs w:val="28"/>
          <w:lang w:val="ru-RU"/>
        </w:rPr>
        <w:t>2021г</w:t>
      </w:r>
      <w:proofErr w:type="gramStart"/>
      <w:r w:rsidR="00D77E3E">
        <w:rPr>
          <w:rFonts w:ascii="Times New Roman" w:hAnsi="Times New Roman"/>
          <w:bCs/>
          <w:sz w:val="28"/>
          <w:szCs w:val="28"/>
          <w:lang w:val="ru-RU"/>
        </w:rPr>
        <w:t>..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0B4CEF" w:rsidRPr="007F0DAA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7F0DAA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7F0DAA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7F0DAA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7F0DAA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7F0DAA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7F0DAA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2020-2024 годы</w:t>
            </w:r>
          </w:p>
        </w:tc>
      </w:tr>
      <w:tr w:rsidR="00545903" w:rsidRPr="007F0DAA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Объемы и источники финансирования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Общий объем финансирования муниципальной программы -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D77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45 665,5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числе: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бюджета</w:t>
            </w:r>
            <w:r w:rsidR="00816D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–4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065,0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рублей,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счет сре</w:t>
            </w:r>
            <w:proofErr w:type="gramStart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аевого бюджета – </w:t>
            </w:r>
            <w:r w:rsidR="001771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</w:t>
            </w:r>
            <w:r w:rsidR="007F0D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1771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543</w:t>
            </w:r>
            <w:r w:rsidR="007F0D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1771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D77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7 857,3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рублей;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 внебюджетных источников – 1 200,0 тыс. рублей. </w:t>
            </w:r>
          </w:p>
          <w:p w:rsidR="004A773F" w:rsidRPr="004A773F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2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2024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этап: 2020-2024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7F0DAA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7F0DAA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7E358F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D77E3E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145665,6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7E358F" w:rsidRPr="00466099" w:rsidRDefault="00B40B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</w:t>
            </w:r>
            <w:r w:rsidR="00177122">
              <w:rPr>
                <w:rFonts w:ascii="Times New Roman" w:hAnsi="Times New Roman"/>
                <w:b/>
                <w:bCs/>
                <w:kern w:val="32"/>
                <w:lang w:val="ru-RU"/>
              </w:rPr>
              <w:t>2543,2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D77E3E">
              <w:rPr>
                <w:rFonts w:ascii="Times New Roman" w:hAnsi="Times New Roman"/>
                <w:b/>
                <w:bCs/>
                <w:kern w:val="32"/>
                <w:lang w:val="ru-RU"/>
              </w:rPr>
              <w:t>7857,3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1200,0</w:t>
            </w:r>
          </w:p>
        </w:tc>
      </w:tr>
      <w:tr w:rsidR="007E358F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7E358F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7E358F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13966,5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7E358F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13261,5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4657,0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 w:rsidR="00177122">
              <w:rPr>
                <w:rFonts w:ascii="Times New Roman" w:hAnsi="Times New Roman"/>
                <w:lang w:val="ru-RU"/>
              </w:rPr>
              <w:t>4323,4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177122" w:rsidP="000717C9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7E358F">
              <w:rPr>
                <w:rFonts w:ascii="Times New Roman" w:hAnsi="Times New Roman"/>
                <w:bCs/>
                <w:kern w:val="32"/>
                <w:lang w:val="ru-RU"/>
              </w:rPr>
              <w:t>4827,7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D77E3E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12074,7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B2CDA">
              <w:rPr>
                <w:rFonts w:ascii="Times New Roman" w:hAnsi="Times New Roman"/>
                <w:lang w:val="ru-RU"/>
              </w:rPr>
              <w:t>818,5</w:t>
            </w:r>
          </w:p>
        </w:tc>
        <w:tc>
          <w:tcPr>
            <w:tcW w:w="1134" w:type="dxa"/>
          </w:tcPr>
          <w:p w:rsidR="007E358F" w:rsidRPr="00466099" w:rsidRDefault="00D77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4256,2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495E3E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52873,6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59</w:t>
            </w:r>
            <w:r w:rsidR="00EB2CDA">
              <w:rPr>
                <w:rFonts w:ascii="Times New Roman" w:hAnsi="Times New Roman"/>
                <w:b/>
                <w:bCs/>
                <w:kern w:val="32"/>
                <w:lang w:val="ru-RU"/>
              </w:rPr>
              <w:t>09,5</w:t>
            </w:r>
          </w:p>
        </w:tc>
        <w:tc>
          <w:tcPr>
            <w:tcW w:w="1134" w:type="dxa"/>
          </w:tcPr>
          <w:p w:rsidR="00543F15" w:rsidRPr="00466099" w:rsidRDefault="00495E3E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45764,0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43F15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4F81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4692,9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EB2CDA"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4056,2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86679,2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</w:t>
            </w:r>
            <w:r w:rsidR="00EB2CDA">
              <w:rPr>
                <w:rFonts w:ascii="Times New Roman" w:hAnsi="Times New Roman"/>
                <w:b/>
                <w:bCs/>
                <w:kern w:val="32"/>
                <w:lang w:val="ru-RU"/>
              </w:rPr>
              <w:t>2614,2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tabs>
                <w:tab w:val="center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EB2CDA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</w:t>
            </w: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риска заноса, рас-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 w:val="restart"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4019,5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4019,5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2000,0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 xml:space="preserve">в сфере реализации муниципальной программы «Развитие сельского хозяйства и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7F0DAA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7F0DA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Управление 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>-рации</w:t>
            </w:r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140E13" w:rsidRPr="007F0DA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7F0DA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7F0DA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7F0DA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малым формам хозяйствования в агропромышленном комплексе субсидий на возмещение части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7F0DAA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7F0DAA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0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4"/>
      <w:bookmarkEnd w:id="14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3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организует информационную и разъяснительную работу, направленную на освещение целей и задач муниципальной программы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897967" w:rsidRPr="00563D73" w:rsidTr="008F3D00">
        <w:tc>
          <w:tcPr>
            <w:tcW w:w="851" w:type="dxa"/>
            <w:vMerge w:val="restart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89796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89796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897967" w:rsidRPr="007F0DAA" w:rsidTr="008F3D00">
        <w:tc>
          <w:tcPr>
            <w:tcW w:w="851" w:type="dxa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897967" w:rsidRPr="007F0DAA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897967" w:rsidRPr="007F0DAA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897967" w:rsidRPr="007F0DAA" w:rsidTr="008F3D00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897967" w:rsidRPr="00563D73" w:rsidTr="008F3D00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E517A5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340A5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участие в семинарах, форумах,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4373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897967" w:rsidRPr="007F0DAA" w:rsidTr="008F3D00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2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897967" w:rsidRPr="007F0DAA" w:rsidTr="008F3D00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897967" w:rsidRPr="00563D73" w:rsidTr="008F3D00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833815" w:rsidRDefault="00897967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</w:tr>
      <w:tr w:rsidR="00897967" w:rsidRPr="007F0DAA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897967" w:rsidRPr="007F0DAA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897967" w:rsidRPr="007F0DAA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897967" w:rsidRPr="007F0DAA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ких мероприятий против особо опасных заболеваний, общих для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897967" w:rsidRPr="007F0DAA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5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897967" w:rsidRPr="007F0DAA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897967" w:rsidRPr="007F0DAA" w:rsidTr="008F3D00">
        <w:trPr>
          <w:trHeight w:val="573"/>
        </w:trPr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D44B3F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60577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</w:t>
            </w:r>
            <w:r w:rsidR="00AD7DE6">
              <w:rPr>
                <w:rFonts w:ascii="Times New Roman" w:hAnsi="Times New Roman"/>
                <w:lang w:val="ru-RU"/>
              </w:rPr>
              <w:t>873,6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457</w:t>
            </w:r>
            <w:r w:rsidR="00AD7DE6">
              <w:rPr>
                <w:rFonts w:ascii="Times New Roman" w:hAnsi="Times New Roman"/>
                <w:lang w:val="ru-RU"/>
              </w:rPr>
              <w:t>64,0</w:t>
            </w:r>
          </w:p>
        </w:tc>
        <w:tc>
          <w:tcPr>
            <w:tcW w:w="1276" w:type="dxa"/>
          </w:tcPr>
          <w:p w:rsidR="0081172B" w:rsidRPr="00570165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57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65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AD7D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4692,9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 w:rsidR="00D74AA9"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81172B" w:rsidRPr="00026177" w:rsidRDefault="00901DF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4056,2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с\х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rPr>
          <w:trHeight w:val="372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026177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44265,0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E34F40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44265,0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74AA9" w:rsidRPr="00026177" w:rsidRDefault="00E34F4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4056,2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E34F40" w:rsidP="00D74AA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4056,2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44798E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</w:tcPr>
          <w:p w:rsidR="00D74AA9" w:rsidRDefault="00D74AA9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44798E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</w:tcPr>
          <w:p w:rsidR="00D74AA9" w:rsidRDefault="00D74AA9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44798E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</w:tcPr>
          <w:p w:rsidR="00D74AA9" w:rsidRDefault="00D74AA9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7F0DAA" w:rsidTr="008F3D00">
        <w:tc>
          <w:tcPr>
            <w:tcW w:w="534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1DF4" w:rsidRPr="00026177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026177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026177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5909,5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FE0E52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AF15C5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1DF4" w:rsidRPr="009C09CD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1DF4" w:rsidRDefault="00901DF4" w:rsidP="00E95C49">
            <w:pPr>
              <w:jc w:val="center"/>
            </w:pPr>
            <w:r w:rsidRPr="0026038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AF15C5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1DF4" w:rsidRPr="009C09CD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1DF4" w:rsidRDefault="00901DF4" w:rsidP="00E95C49">
            <w:pPr>
              <w:jc w:val="center"/>
            </w:pPr>
            <w:r w:rsidRPr="0026038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AF15C5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1DF4" w:rsidRPr="009C09CD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1DF4" w:rsidRDefault="00901DF4" w:rsidP="00E95C49">
            <w:pPr>
              <w:jc w:val="center"/>
            </w:pPr>
            <w:r w:rsidRPr="0026038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AF15C5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86679,2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82614,2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сельского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7F0DAA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7F0DAA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вам, индивидуальным предпринимателям ведущим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DA51CF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81938,2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81938,2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с/х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дации очагов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итории  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распростра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-нения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7F0DAA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>, 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4019,5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болезней общих для 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4019,5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Итого по основным направлениям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143665,6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92543,2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45857,3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11874,7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4056,2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7F0DAA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7F0DAA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7F0DAA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7F0DAA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7F0DAA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7F0DAA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7F0DAA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7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7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7F0DA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7F0DA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7F0DA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7F0DA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-этап 2020-2024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7F0DAA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7F0D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</w:t>
            </w:r>
            <w:r w:rsidR="007F0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39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9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</w:t>
      </w:r>
      <w:bookmarkStart w:id="40" w:name="_GoBack"/>
      <w:bookmarkEnd w:id="40"/>
      <w:r w:rsidRPr="00A22C24">
        <w:rPr>
          <w:rFonts w:ascii="Times New Roman" w:hAnsi="Times New Roman"/>
          <w:sz w:val="28"/>
          <w:szCs w:val="28"/>
          <w:lang w:val="ru-RU"/>
        </w:rPr>
        <w:t>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2024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–этап: 2020-2024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7F0DAA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E30DB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C12DE7" w:rsidRPr="00563D73" w:rsidTr="008F3D00">
        <w:tc>
          <w:tcPr>
            <w:tcW w:w="851" w:type="dxa"/>
            <w:vMerge w:val="restart"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12DE7" w:rsidRPr="0043337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C12DE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C12DE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C12DE7" w:rsidRPr="007F0DAA" w:rsidTr="008F3D00">
        <w:tc>
          <w:tcPr>
            <w:tcW w:w="851" w:type="dxa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:rsidR="00C12DE7" w:rsidRPr="006334C7" w:rsidRDefault="00C12DE7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C12DE7" w:rsidRPr="007F0DAA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4175" w:type="dxa"/>
            <w:gridSpan w:val="13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C12DE7" w:rsidRPr="00D44B3F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B169C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C12DE7" w:rsidRPr="00563D73" w:rsidTr="00D56E13">
        <w:trPr>
          <w:trHeight w:val="32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C12DE7" w:rsidRPr="00563D73" w:rsidTr="00D56E13">
        <w:trPr>
          <w:trHeight w:val="331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C12DE7" w:rsidRPr="00563D73" w:rsidTr="00D56E13">
        <w:trPr>
          <w:trHeight w:val="33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7F0DAA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7F0DAA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-кой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57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65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победителей по подготовке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к полевым работам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72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7F0DAA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84"/>
        </w:trPr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C7641" w:rsidRPr="00F529EB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сельхоз-товаропроизводителей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Увеличение </w:t>
            </w:r>
            <w:r>
              <w:rPr>
                <w:rFonts w:ascii="Times New Roman" w:hAnsi="Times New Roman"/>
                <w:lang w:val="ru-RU"/>
              </w:rPr>
              <w:lastRenderedPageBreak/>
              <w:t>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7326"/>
    <w:rsid w:val="00010F0F"/>
    <w:rsid w:val="00011CF9"/>
    <w:rsid w:val="00014750"/>
    <w:rsid w:val="0002215B"/>
    <w:rsid w:val="00027626"/>
    <w:rsid w:val="00027F10"/>
    <w:rsid w:val="000316DF"/>
    <w:rsid w:val="0004621C"/>
    <w:rsid w:val="00047DD0"/>
    <w:rsid w:val="00052245"/>
    <w:rsid w:val="000717C9"/>
    <w:rsid w:val="000867A6"/>
    <w:rsid w:val="00092B69"/>
    <w:rsid w:val="000955CA"/>
    <w:rsid w:val="000970F5"/>
    <w:rsid w:val="000A19BC"/>
    <w:rsid w:val="000A2071"/>
    <w:rsid w:val="000B4CEF"/>
    <w:rsid w:val="000B6AB2"/>
    <w:rsid w:val="000C0BB4"/>
    <w:rsid w:val="000C0FE2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7122"/>
    <w:rsid w:val="00185BD5"/>
    <w:rsid w:val="00192B1E"/>
    <w:rsid w:val="001A6CE5"/>
    <w:rsid w:val="001C1FEF"/>
    <w:rsid w:val="001D3FDB"/>
    <w:rsid w:val="001E63BD"/>
    <w:rsid w:val="00201F4C"/>
    <w:rsid w:val="00206C8A"/>
    <w:rsid w:val="002105B8"/>
    <w:rsid w:val="00213E03"/>
    <w:rsid w:val="00231D78"/>
    <w:rsid w:val="00235624"/>
    <w:rsid w:val="00250B38"/>
    <w:rsid w:val="002648CF"/>
    <w:rsid w:val="00272B25"/>
    <w:rsid w:val="0028089F"/>
    <w:rsid w:val="00290632"/>
    <w:rsid w:val="00291006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85563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9423C"/>
    <w:rsid w:val="00495E3E"/>
    <w:rsid w:val="004A39E6"/>
    <w:rsid w:val="004A3BF3"/>
    <w:rsid w:val="004A773F"/>
    <w:rsid w:val="004C25C8"/>
    <w:rsid w:val="004E3B75"/>
    <w:rsid w:val="004F24FF"/>
    <w:rsid w:val="004F4AE5"/>
    <w:rsid w:val="004F4B7D"/>
    <w:rsid w:val="004F503F"/>
    <w:rsid w:val="00505F40"/>
    <w:rsid w:val="005205D3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81913"/>
    <w:rsid w:val="00583360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D5B47"/>
    <w:rsid w:val="005E09DD"/>
    <w:rsid w:val="005F0625"/>
    <w:rsid w:val="006024D6"/>
    <w:rsid w:val="00605633"/>
    <w:rsid w:val="00605779"/>
    <w:rsid w:val="00612D4F"/>
    <w:rsid w:val="00617EFE"/>
    <w:rsid w:val="00620448"/>
    <w:rsid w:val="006308A3"/>
    <w:rsid w:val="00632153"/>
    <w:rsid w:val="006450F0"/>
    <w:rsid w:val="006455F5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D0CA8"/>
    <w:rsid w:val="006E1A26"/>
    <w:rsid w:val="006F51C4"/>
    <w:rsid w:val="0071008E"/>
    <w:rsid w:val="0073769B"/>
    <w:rsid w:val="00744806"/>
    <w:rsid w:val="00747F6A"/>
    <w:rsid w:val="007620DC"/>
    <w:rsid w:val="00763FAB"/>
    <w:rsid w:val="0076571B"/>
    <w:rsid w:val="0077279F"/>
    <w:rsid w:val="007757AA"/>
    <w:rsid w:val="007925A5"/>
    <w:rsid w:val="00797EA6"/>
    <w:rsid w:val="007B711A"/>
    <w:rsid w:val="007E30DB"/>
    <w:rsid w:val="007E358F"/>
    <w:rsid w:val="007F0DAA"/>
    <w:rsid w:val="007F4027"/>
    <w:rsid w:val="0081172B"/>
    <w:rsid w:val="00814B40"/>
    <w:rsid w:val="00816D6D"/>
    <w:rsid w:val="00817C8C"/>
    <w:rsid w:val="0084710A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D09F1"/>
    <w:rsid w:val="008D1238"/>
    <w:rsid w:val="008E4247"/>
    <w:rsid w:val="008F3D00"/>
    <w:rsid w:val="008F44F6"/>
    <w:rsid w:val="00901DF4"/>
    <w:rsid w:val="00914D96"/>
    <w:rsid w:val="00916840"/>
    <w:rsid w:val="0091739D"/>
    <w:rsid w:val="00935E99"/>
    <w:rsid w:val="00936147"/>
    <w:rsid w:val="0093770D"/>
    <w:rsid w:val="009556F7"/>
    <w:rsid w:val="00963F35"/>
    <w:rsid w:val="00965402"/>
    <w:rsid w:val="00971C08"/>
    <w:rsid w:val="009910F7"/>
    <w:rsid w:val="009B3E06"/>
    <w:rsid w:val="009D40DB"/>
    <w:rsid w:val="009D5145"/>
    <w:rsid w:val="009D553E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41718"/>
    <w:rsid w:val="00A6322F"/>
    <w:rsid w:val="00A638EB"/>
    <w:rsid w:val="00A6622E"/>
    <w:rsid w:val="00A73B77"/>
    <w:rsid w:val="00A73BEB"/>
    <w:rsid w:val="00A9793D"/>
    <w:rsid w:val="00AB0F0E"/>
    <w:rsid w:val="00AB65D5"/>
    <w:rsid w:val="00AD5F64"/>
    <w:rsid w:val="00AD7DE6"/>
    <w:rsid w:val="00AE21DF"/>
    <w:rsid w:val="00AE7403"/>
    <w:rsid w:val="00B04E02"/>
    <w:rsid w:val="00B169CD"/>
    <w:rsid w:val="00B350CA"/>
    <w:rsid w:val="00B40BA9"/>
    <w:rsid w:val="00B538E5"/>
    <w:rsid w:val="00B54F4C"/>
    <w:rsid w:val="00B553C7"/>
    <w:rsid w:val="00B67DE9"/>
    <w:rsid w:val="00B75E9D"/>
    <w:rsid w:val="00B83F3A"/>
    <w:rsid w:val="00B8625A"/>
    <w:rsid w:val="00B9730C"/>
    <w:rsid w:val="00BA425A"/>
    <w:rsid w:val="00BB3189"/>
    <w:rsid w:val="00BC74B9"/>
    <w:rsid w:val="00BD018D"/>
    <w:rsid w:val="00BD3918"/>
    <w:rsid w:val="00BE7DDF"/>
    <w:rsid w:val="00BF321F"/>
    <w:rsid w:val="00C12DE7"/>
    <w:rsid w:val="00C175C0"/>
    <w:rsid w:val="00C27336"/>
    <w:rsid w:val="00C276BC"/>
    <w:rsid w:val="00C31F2D"/>
    <w:rsid w:val="00C62337"/>
    <w:rsid w:val="00C63D54"/>
    <w:rsid w:val="00C71E84"/>
    <w:rsid w:val="00C720DA"/>
    <w:rsid w:val="00C75D7B"/>
    <w:rsid w:val="00C90E4B"/>
    <w:rsid w:val="00C92F0E"/>
    <w:rsid w:val="00CA2318"/>
    <w:rsid w:val="00CA78F0"/>
    <w:rsid w:val="00CC0417"/>
    <w:rsid w:val="00CC649D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2664E"/>
    <w:rsid w:val="00D30A7B"/>
    <w:rsid w:val="00D37C61"/>
    <w:rsid w:val="00D56E13"/>
    <w:rsid w:val="00D71775"/>
    <w:rsid w:val="00D74AA9"/>
    <w:rsid w:val="00D77E3E"/>
    <w:rsid w:val="00D97AFC"/>
    <w:rsid w:val="00DA3053"/>
    <w:rsid w:val="00DA51CF"/>
    <w:rsid w:val="00DA6D1C"/>
    <w:rsid w:val="00DB0F1F"/>
    <w:rsid w:val="00DB1F38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17229"/>
    <w:rsid w:val="00E200C2"/>
    <w:rsid w:val="00E30688"/>
    <w:rsid w:val="00E34F40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95C49"/>
    <w:rsid w:val="00EB2CD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A3E03"/>
    <w:rsid w:val="00FB3CC5"/>
    <w:rsid w:val="00FD207A"/>
    <w:rsid w:val="00FD4984"/>
    <w:rsid w:val="00FE56C5"/>
    <w:rsid w:val="00FF0AAD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787.0" TargetMode="External"/><Relationship Id="rId13" Type="http://schemas.openxmlformats.org/officeDocument/2006/relationships/hyperlink" Target="garantF1://23840725.0" TargetMode="External"/><Relationship Id="rId18" Type="http://schemas.openxmlformats.org/officeDocument/2006/relationships/hyperlink" Target="garantF1://36891601.0" TargetMode="External"/><Relationship Id="rId26" Type="http://schemas.openxmlformats.org/officeDocument/2006/relationships/image" Target="media/image6.emf"/><Relationship Id="rId39" Type="http://schemas.openxmlformats.org/officeDocument/2006/relationships/hyperlink" Target="garantF1://70273192.0" TargetMode="Externa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34" Type="http://schemas.openxmlformats.org/officeDocument/2006/relationships/image" Target="media/image14.emf"/><Relationship Id="rId7" Type="http://schemas.openxmlformats.org/officeDocument/2006/relationships/hyperlink" Target="garantF1://12017177.0" TargetMode="External"/><Relationship Id="rId12" Type="http://schemas.openxmlformats.org/officeDocument/2006/relationships/hyperlink" Target="garantF1://23840721.0" TargetMode="External"/><Relationship Id="rId17" Type="http://schemas.openxmlformats.org/officeDocument/2006/relationships/hyperlink" Target="garantF1://36804984.0" TargetMode="External"/><Relationship Id="rId25" Type="http://schemas.openxmlformats.org/officeDocument/2006/relationships/image" Target="media/image5.emf"/><Relationship Id="rId33" Type="http://schemas.openxmlformats.org/officeDocument/2006/relationships/image" Target="media/image13.emf"/><Relationship Id="rId38" Type="http://schemas.openxmlformats.org/officeDocument/2006/relationships/hyperlink" Target="garantF1://2384135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2400.0" TargetMode="External"/><Relationship Id="rId20" Type="http://schemas.openxmlformats.org/officeDocument/2006/relationships/hyperlink" Target="garantF1://36892200.0" TargetMode="External"/><Relationship Id="rId29" Type="http://schemas.openxmlformats.org/officeDocument/2006/relationships/image" Target="media/image9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142.0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2.emf"/><Relationship Id="rId37" Type="http://schemas.openxmlformats.org/officeDocument/2006/relationships/hyperlink" Target="garantF1://2062858.0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23841690.0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36" Type="http://schemas.openxmlformats.org/officeDocument/2006/relationships/hyperlink" Target="garantF1://12051309.0" TargetMode="External"/><Relationship Id="rId10" Type="http://schemas.openxmlformats.org/officeDocument/2006/relationships/hyperlink" Target="garantF1://23801120.0" TargetMode="External"/><Relationship Id="rId19" Type="http://schemas.openxmlformats.org/officeDocument/2006/relationships/hyperlink" Target="garantF1://36891691.0" TargetMode="External"/><Relationship Id="rId31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hyperlink" Target="garantF1://12051309.0" TargetMode="External"/><Relationship Id="rId14" Type="http://schemas.openxmlformats.org/officeDocument/2006/relationships/hyperlink" Target="garantF1://23840884.0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image" Target="media/image10.e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2F35-D99A-44E9-A330-AF0CF68A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44</Pages>
  <Words>11872</Words>
  <Characters>67674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8</cp:revision>
  <cp:lastPrinted>2018-06-28T05:22:00Z</cp:lastPrinted>
  <dcterms:created xsi:type="dcterms:W3CDTF">2021-03-24T12:26:00Z</dcterms:created>
  <dcterms:modified xsi:type="dcterms:W3CDTF">2021-03-31T12:28:00Z</dcterms:modified>
</cp:coreProperties>
</file>