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C796E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C796E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C796E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007E6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007E6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007E6A">
        <w:rPr>
          <w:rFonts w:ascii="Times New Roman" w:hAnsi="Times New Roman"/>
          <w:sz w:val="28"/>
          <w:szCs w:val="28"/>
        </w:rPr>
        <w:t>образования</w:t>
      </w:r>
      <w:r w:rsidRPr="00007E6A">
        <w:rPr>
          <w:rFonts w:ascii="Times New Roman" w:hAnsi="Times New Roman"/>
          <w:sz w:val="28"/>
          <w:szCs w:val="28"/>
        </w:rPr>
        <w:t xml:space="preserve"> </w:t>
      </w:r>
      <w:r w:rsidR="00E07F47" w:rsidRPr="00007E6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007E6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007E6A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07E6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007E6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07E6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с изменениями и дополнениями от 16 февраля, 23 июня, 9 ноября,  11 декабря, 29 декабря 2015 г., 20 апреля 2016 года</w:t>
      </w:r>
      <w:r w:rsidR="00C71FCC" w:rsidRPr="00007E6A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 w:rsidRPr="00007E6A">
        <w:rPr>
          <w:rFonts w:ascii="Times New Roman" w:hAnsi="Times New Roman"/>
          <w:bCs/>
          <w:sz w:val="28"/>
          <w:szCs w:val="28"/>
        </w:rPr>
        <w:t>, 24 ноября 2016 г.</w:t>
      </w:r>
      <w:r w:rsidR="00130266" w:rsidRPr="00007E6A">
        <w:rPr>
          <w:rFonts w:ascii="Times New Roman" w:hAnsi="Times New Roman"/>
          <w:bCs/>
          <w:sz w:val="28"/>
          <w:szCs w:val="28"/>
        </w:rPr>
        <w:t xml:space="preserve">, </w:t>
      </w:r>
      <w:r w:rsidR="00804EED" w:rsidRPr="00007E6A">
        <w:rPr>
          <w:rFonts w:ascii="Times New Roman" w:hAnsi="Times New Roman"/>
          <w:bCs/>
          <w:sz w:val="28"/>
          <w:szCs w:val="28"/>
        </w:rPr>
        <w:t>21.08.2017г.</w:t>
      </w:r>
      <w:r w:rsidR="00130266" w:rsidRPr="00007E6A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 w:rsidRPr="00007E6A">
        <w:rPr>
          <w:rFonts w:ascii="Times New Roman" w:hAnsi="Times New Roman"/>
          <w:bCs/>
          <w:sz w:val="28"/>
          <w:szCs w:val="28"/>
        </w:rPr>
        <w:t>, 22.11.2017г</w:t>
      </w:r>
      <w:r w:rsidR="00C44526" w:rsidRPr="00007E6A">
        <w:rPr>
          <w:rFonts w:ascii="Times New Roman" w:hAnsi="Times New Roman"/>
          <w:bCs/>
          <w:sz w:val="28"/>
          <w:szCs w:val="28"/>
        </w:rPr>
        <w:t>, 19.02.2018 г</w:t>
      </w:r>
      <w:r w:rsidR="00B354EA" w:rsidRPr="00007E6A">
        <w:rPr>
          <w:rFonts w:ascii="Times New Roman" w:hAnsi="Times New Roman"/>
          <w:bCs/>
          <w:sz w:val="28"/>
          <w:szCs w:val="28"/>
        </w:rPr>
        <w:t>.</w:t>
      </w:r>
      <w:r w:rsidR="00AB1C64" w:rsidRPr="00007E6A">
        <w:rPr>
          <w:rFonts w:ascii="Times New Roman" w:hAnsi="Times New Roman"/>
          <w:bCs/>
          <w:sz w:val="28"/>
          <w:szCs w:val="28"/>
        </w:rPr>
        <w:t>, 24.05.2018 г.</w:t>
      </w:r>
      <w:r w:rsidR="00AA1B90" w:rsidRPr="00007E6A">
        <w:rPr>
          <w:rFonts w:ascii="Times New Roman" w:hAnsi="Times New Roman"/>
          <w:bCs/>
          <w:sz w:val="28"/>
          <w:szCs w:val="28"/>
        </w:rPr>
        <w:t>, 13.08.2018 г.</w:t>
      </w:r>
      <w:r w:rsidR="00B9036C" w:rsidRPr="00007E6A">
        <w:rPr>
          <w:rFonts w:ascii="Times New Roman" w:hAnsi="Times New Roman"/>
          <w:bCs/>
          <w:sz w:val="28"/>
          <w:szCs w:val="28"/>
        </w:rPr>
        <w:t>, 21.11.2018 г.</w:t>
      </w:r>
      <w:r w:rsidR="00EC6F2D" w:rsidRPr="00007E6A">
        <w:rPr>
          <w:rFonts w:ascii="Times New Roman" w:hAnsi="Times New Roman"/>
          <w:bCs/>
          <w:sz w:val="28"/>
          <w:szCs w:val="28"/>
        </w:rPr>
        <w:t xml:space="preserve">,          11.02.2019 г. </w:t>
      </w:r>
      <w:r w:rsidR="00C576A2" w:rsidRPr="00007E6A">
        <w:rPr>
          <w:rFonts w:ascii="Times New Roman" w:hAnsi="Times New Roman"/>
          <w:bCs/>
          <w:sz w:val="28"/>
          <w:szCs w:val="28"/>
        </w:rPr>
        <w:t>, 23.09.2019 г.</w:t>
      </w:r>
      <w:r w:rsidR="006D6BFA" w:rsidRPr="00007E6A">
        <w:rPr>
          <w:rFonts w:ascii="Times New Roman" w:hAnsi="Times New Roman"/>
          <w:bCs/>
          <w:sz w:val="28"/>
          <w:szCs w:val="28"/>
        </w:rPr>
        <w:t>, 12.12.2019</w:t>
      </w:r>
      <w:r w:rsidR="007E3D73" w:rsidRPr="00007E6A">
        <w:rPr>
          <w:rFonts w:ascii="Times New Roman" w:hAnsi="Times New Roman"/>
          <w:bCs/>
          <w:sz w:val="28"/>
          <w:szCs w:val="28"/>
        </w:rPr>
        <w:t>, 30.03.2020, 11.08.2020, 19.11.2020, 21.12.2020</w:t>
      </w:r>
      <w:r w:rsidR="00427F7D" w:rsidRPr="00007E6A">
        <w:rPr>
          <w:rFonts w:ascii="Times New Roman" w:hAnsi="Times New Roman"/>
          <w:bCs/>
          <w:sz w:val="28"/>
          <w:szCs w:val="28"/>
        </w:rPr>
        <w:t>,  19.02.2021</w:t>
      </w:r>
      <w:r w:rsidRPr="00007E6A">
        <w:rPr>
          <w:rFonts w:ascii="Times New Roman" w:hAnsi="Times New Roman"/>
          <w:bCs/>
          <w:sz w:val="28"/>
          <w:szCs w:val="28"/>
        </w:rPr>
        <w:t>)</w:t>
      </w:r>
    </w:p>
    <w:p w:rsidR="00415CBC" w:rsidRPr="00007E6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007E6A" w:rsidRPr="00007E6A" w:rsidTr="00014B57">
        <w:trPr>
          <w:trHeight w:val="128"/>
        </w:trPr>
        <w:tc>
          <w:tcPr>
            <w:tcW w:w="3626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007E6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007E6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007E6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</w:t>
            </w:r>
            <w:r w:rsidRPr="00007E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молодежи и создание условий для её  физического развития;</w:t>
            </w:r>
          </w:p>
          <w:p w:rsidR="00617CF2" w:rsidRPr="00007E6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007E6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007E6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007E6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007E6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007E6A" w:rsidRDefault="00617CF2" w:rsidP="00617CF2">
            <w:pPr>
              <w:spacing w:after="0"/>
              <w:rPr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007E6A" w:rsidRPr="00007E6A" w:rsidTr="00014B57">
        <w:trPr>
          <w:trHeight w:val="71"/>
        </w:trPr>
        <w:tc>
          <w:tcPr>
            <w:tcW w:w="3626" w:type="dxa"/>
          </w:tcPr>
          <w:p w:rsidR="002A124F" w:rsidRPr="00007E6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007E6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00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общественно-политической активности молодежи;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007E6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007E6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совещаний со специалистами сферы </w:t>
            </w:r>
            <w:r w:rsidRPr="0000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государственной молодежной политики;</w:t>
            </w:r>
          </w:p>
          <w:p w:rsidR="002A124F" w:rsidRPr="00007E6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007E6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007E6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007E6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007E6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014B57" w:rsidRPr="00007E6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007E6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007E6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007E6A">
              <w:rPr>
                <w:sz w:val="27"/>
                <w:szCs w:val="27"/>
              </w:rPr>
              <w:t>не предусмотрены</w:t>
            </w: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014B57" w:rsidRPr="00007E6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007E6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014B57" w:rsidRPr="00007E6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007E6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007E6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007E6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007E6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014B57" w:rsidRPr="00007E6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007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4E3CDF" w:rsidRPr="00007E6A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4E3CDF" w:rsidRPr="00007E6A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64</w:t>
            </w:r>
            <w:r w:rsidR="00427F7D" w:rsidRPr="00007E6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27F7D" w:rsidRPr="00007E6A">
              <w:rPr>
                <w:rFonts w:ascii="Times New Roman" w:hAnsi="Times New Roman"/>
                <w:sz w:val="28"/>
                <w:szCs w:val="28"/>
              </w:rPr>
              <w:t>284,7</w:t>
            </w:r>
            <w:r w:rsidRPr="00007E6A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числе:</w:t>
            </w:r>
          </w:p>
          <w:p w:rsidR="004E3CDF" w:rsidRPr="00007E6A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:rsidR="004E3CDF" w:rsidRPr="00007E6A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007E6A" w:rsidRDefault="00427F7D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64</w:t>
            </w:r>
            <w:r w:rsidR="004E3CDF" w:rsidRPr="00007E6A">
              <w:rPr>
                <w:rFonts w:ascii="Times New Roman" w:hAnsi="Times New Roman"/>
                <w:sz w:val="28"/>
                <w:szCs w:val="28"/>
              </w:rPr>
              <w:t> </w:t>
            </w:r>
            <w:r w:rsidRPr="00007E6A">
              <w:rPr>
                <w:rFonts w:ascii="Times New Roman" w:hAnsi="Times New Roman"/>
                <w:sz w:val="28"/>
                <w:szCs w:val="28"/>
              </w:rPr>
              <w:t>011,1</w:t>
            </w:r>
            <w:r w:rsidR="004E3CDF" w:rsidRPr="00007E6A">
              <w:rPr>
                <w:rFonts w:ascii="Times New Roman" w:hAnsi="Times New Roman"/>
                <w:sz w:val="28"/>
                <w:szCs w:val="28"/>
              </w:rPr>
              <w:t xml:space="preserve"> тысячи рублей</w:t>
            </w:r>
          </w:p>
          <w:p w:rsidR="00014B57" w:rsidRPr="00007E6A" w:rsidRDefault="00014B57" w:rsidP="008C3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E6A" w:rsidRPr="00007E6A" w:rsidTr="00014B57">
        <w:trPr>
          <w:trHeight w:val="128"/>
        </w:trPr>
        <w:tc>
          <w:tcPr>
            <w:tcW w:w="3626" w:type="dxa"/>
          </w:tcPr>
          <w:p w:rsidR="00014B57" w:rsidRPr="00007E6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007E6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014B57" w:rsidRPr="00007E6A" w:rsidTr="00014B57">
        <w:trPr>
          <w:trHeight w:val="128"/>
        </w:trPr>
        <w:tc>
          <w:tcPr>
            <w:tcW w:w="3626" w:type="dxa"/>
          </w:tcPr>
          <w:p w:rsidR="00014B57" w:rsidRPr="00007E6A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18" w:type="dxa"/>
          </w:tcPr>
          <w:p w:rsidR="00014B57" w:rsidRPr="00007E6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:rsidR="00415CBC" w:rsidRPr="00007E6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007E6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E6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007E6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:rsidR="00415CBC" w:rsidRPr="00007E6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007E6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007E6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007E6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007E6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007E6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007E6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007E6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007E6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</w:t>
      </w:r>
      <w:r w:rsidRPr="00007E6A">
        <w:rPr>
          <w:rFonts w:ascii="Times New Roman" w:hAnsi="Times New Roman"/>
          <w:b w:val="0"/>
          <w:sz w:val="28"/>
          <w:szCs w:val="28"/>
        </w:rPr>
        <w:lastRenderedPageBreak/>
        <w:t xml:space="preserve">Кубани» (утверждена </w:t>
      </w:r>
      <w:hyperlink w:anchor="sub_0" w:history="1">
        <w:r w:rsidRPr="00007E6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007E6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007E6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007E6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007E6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007E6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007E6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7E6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007E6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7E6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007E6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7E6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007E6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7E6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007E6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007E6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</w:t>
      </w:r>
      <w:r w:rsidRPr="00007E6A">
        <w:rPr>
          <w:rFonts w:ascii="Times New Roman" w:hAnsi="Times New Roman"/>
          <w:sz w:val="28"/>
          <w:szCs w:val="28"/>
        </w:rPr>
        <w:lastRenderedPageBreak/>
        <w:t>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ab/>
      </w:r>
      <w:r w:rsidR="00415CBC" w:rsidRPr="00007E6A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ab/>
      </w:r>
      <w:r w:rsidR="00415CBC" w:rsidRPr="00007E6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007E6A">
        <w:rPr>
          <w:rFonts w:ascii="Times New Roman" w:hAnsi="Times New Roman"/>
          <w:sz w:val="28"/>
          <w:szCs w:val="28"/>
        </w:rPr>
        <w:t xml:space="preserve"> </w:t>
      </w:r>
      <w:r w:rsidR="00415CBC" w:rsidRPr="00007E6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007E6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007E6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007E6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B20392" w:rsidRPr="00007E6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</w:t>
      </w:r>
      <w:r w:rsidR="0001256C" w:rsidRPr="00007E6A">
        <w:rPr>
          <w:rFonts w:ascii="Times New Roman" w:hAnsi="Times New Roman"/>
          <w:sz w:val="28"/>
          <w:szCs w:val="28"/>
        </w:rPr>
        <w:t>»</w:t>
      </w:r>
      <w:r w:rsidRPr="00007E6A">
        <w:rPr>
          <w:rFonts w:ascii="Times New Roman" w:hAnsi="Times New Roman"/>
          <w:sz w:val="28"/>
          <w:szCs w:val="28"/>
        </w:rPr>
        <w:t xml:space="preserve">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007E6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позволяет </w:t>
      </w:r>
      <w:r w:rsidRPr="00007E6A">
        <w:rPr>
          <w:rFonts w:ascii="Times New Roman" w:hAnsi="Times New Roman"/>
          <w:sz w:val="28"/>
          <w:szCs w:val="28"/>
        </w:rPr>
        <w:lastRenderedPageBreak/>
        <w:t>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007E6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ab/>
      </w:r>
      <w:r w:rsidR="00415CBC" w:rsidRPr="00007E6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ab/>
      </w:r>
      <w:r w:rsidR="00415CBC" w:rsidRPr="00007E6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ab/>
      </w:r>
      <w:r w:rsidR="00415CBC" w:rsidRPr="00007E6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007E6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ab/>
      </w:r>
      <w:r w:rsidR="00415CBC" w:rsidRPr="00007E6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007E6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007E6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007E6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007E6A">
        <w:rPr>
          <w:rFonts w:ascii="Times New Roman" w:hAnsi="Times New Roman"/>
          <w:b w:val="0"/>
          <w:sz w:val="28"/>
          <w:szCs w:val="28"/>
        </w:rPr>
        <w:t>п</w:t>
      </w:r>
      <w:r w:rsidRPr="00007E6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:rsidR="006D6BFA" w:rsidRPr="00007E6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007E6A">
        <w:rPr>
          <w:rFonts w:ascii="Times New Roman" w:hAnsi="Times New Roman"/>
          <w:b w:val="0"/>
          <w:sz w:val="28"/>
          <w:szCs w:val="28"/>
        </w:rPr>
        <w:t>24</w:t>
      </w:r>
      <w:r w:rsidRPr="00007E6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007E6A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007E6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007E6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007E6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007E6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007E6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007E6A" w:rsidRDefault="002A124F" w:rsidP="002A124F">
      <w:pPr>
        <w:rPr>
          <w:lang w:eastAsia="x-none"/>
        </w:rPr>
      </w:pPr>
    </w:p>
    <w:bookmarkEnd w:id="5"/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</w:t>
      </w:r>
      <w:r w:rsidRPr="00007E6A">
        <w:rPr>
          <w:rFonts w:ascii="Times New Roman" w:hAnsi="Times New Roman"/>
          <w:sz w:val="28"/>
          <w:szCs w:val="28"/>
        </w:rPr>
        <w:lastRenderedPageBreak/>
        <w:t>предполагается осуществлять за счет средств местного  и краевого бюджетов.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007E6A">
        <w:rPr>
          <w:rFonts w:ascii="Times New Roman" w:hAnsi="Times New Roman"/>
          <w:sz w:val="28"/>
          <w:szCs w:val="28"/>
        </w:rPr>
        <w:t xml:space="preserve"> </w:t>
      </w:r>
      <w:r w:rsidRPr="00007E6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007E6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          </w:t>
      </w:r>
      <w:r w:rsidR="002A124F" w:rsidRPr="00007E6A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007E6A">
        <w:rPr>
          <w:rFonts w:ascii="Times New Roman" w:hAnsi="Times New Roman"/>
          <w:sz w:val="28"/>
          <w:szCs w:val="28"/>
        </w:rPr>
        <w:t>К</w:t>
      </w:r>
      <w:r w:rsidRPr="00007E6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007E6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007E6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6. Меры </w:t>
      </w:r>
      <w:r w:rsidRPr="00007E6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007E6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007E6A">
        <w:rPr>
          <w:rFonts w:ascii="Times New Roman" w:hAnsi="Times New Roman"/>
          <w:sz w:val="28"/>
          <w:szCs w:val="28"/>
        </w:rPr>
        <w:t xml:space="preserve"> </w:t>
      </w:r>
      <w:r w:rsidRPr="00007E6A">
        <w:rPr>
          <w:rFonts w:ascii="Times New Roman" w:hAnsi="Times New Roman"/>
          <w:sz w:val="28"/>
          <w:szCs w:val="28"/>
        </w:rPr>
        <w:t xml:space="preserve"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</w:t>
      </w:r>
      <w:r w:rsidRPr="00007E6A">
        <w:rPr>
          <w:rFonts w:ascii="Times New Roman" w:hAnsi="Times New Roman"/>
          <w:sz w:val="28"/>
          <w:szCs w:val="28"/>
        </w:rPr>
        <w:lastRenderedPageBreak/>
        <w:t>последствий техногенных или экологических катастроф.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007E6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007E6A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007E6A" w:rsidRDefault="0098616C" w:rsidP="006D6B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 </w:t>
      </w:r>
      <w:r w:rsidR="006D6BFA" w:rsidRPr="00007E6A">
        <w:rPr>
          <w:rFonts w:ascii="Times New Roman" w:hAnsi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«Молодежь Кавказского района»  приведены в </w:t>
      </w:r>
      <w:hyperlink w:anchor="sub_701" w:history="1">
        <w:r w:rsidR="006D6BFA" w:rsidRPr="00007E6A">
          <w:rPr>
            <w:rFonts w:ascii="Times New Roman" w:hAnsi="Times New Roman"/>
            <w:sz w:val="28"/>
            <w:szCs w:val="28"/>
          </w:rPr>
          <w:t>таблице</w:t>
        </w:r>
      </w:hyperlink>
      <w:r w:rsidR="006D6BFA" w:rsidRPr="00007E6A">
        <w:rPr>
          <w:rFonts w:ascii="Times New Roman" w:hAnsi="Times New Roman"/>
          <w:sz w:val="28"/>
          <w:szCs w:val="28"/>
        </w:rPr>
        <w:t>:</w:t>
      </w:r>
    </w:p>
    <w:p w:rsidR="006D6BFA" w:rsidRPr="00007E6A" w:rsidRDefault="006D6BFA" w:rsidP="006D6B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007E6A" w:rsidRPr="00007E6A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sub_701"/>
            <w:r w:rsidRPr="00007E6A">
              <w:rPr>
                <w:rFonts w:ascii="Times New Roman" w:hAnsi="Times New Roman"/>
                <w:sz w:val="28"/>
                <w:szCs w:val="28"/>
              </w:rPr>
              <w:t>Нормативно-правовой акт</w:t>
            </w:r>
            <w:bookmarkEnd w:id="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07E6A" w:rsidRPr="00007E6A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6BFA" w:rsidRPr="00007E6A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 от 04.06.2019 г. №717 «Об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муниципального образования Кавказский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реализации волонтерского движения на территории Кавказского района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007E6A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6A">
              <w:rPr>
                <w:rFonts w:ascii="Times New Roman" w:hAnsi="Times New Roman"/>
                <w:sz w:val="28"/>
                <w:szCs w:val="28"/>
              </w:rPr>
              <w:t>отдел молодежной политики муниципального образования Кавказский район</w:t>
            </w:r>
          </w:p>
        </w:tc>
      </w:tr>
    </w:tbl>
    <w:p w:rsidR="006D6BFA" w:rsidRPr="00007E6A" w:rsidRDefault="006D6BFA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007E6A" w:rsidRDefault="006D6BFA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  <w:r w:rsidRPr="00007E6A">
        <w:rPr>
          <w:rFonts w:ascii="Times New Roman" w:hAnsi="Times New Roman"/>
          <w:bCs/>
          <w:kern w:val="36"/>
          <w:sz w:val="28"/>
          <w:szCs w:val="28"/>
        </w:rPr>
        <w:br w:type="page"/>
      </w:r>
      <w:r w:rsidR="00415CBC" w:rsidRPr="00007E6A">
        <w:rPr>
          <w:rFonts w:ascii="Times New Roman" w:hAnsi="Times New Roman"/>
          <w:bCs/>
          <w:kern w:val="36"/>
          <w:sz w:val="28"/>
          <w:szCs w:val="28"/>
        </w:rPr>
        <w:lastRenderedPageBreak/>
        <w:t>8. М</w:t>
      </w:r>
      <w:r w:rsidR="00D5555B" w:rsidRPr="00007E6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007E6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5CBC" w:rsidRPr="00007E6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="00415CBC" w:rsidRPr="00007E6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7E6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007E6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FC3E32" w:rsidRPr="00007E6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007E6A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7"/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007E6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007E6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007E6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007E6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007E6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007E6A">
        <w:rPr>
          <w:rFonts w:ascii="Times New Roman" w:hAnsi="Times New Roman"/>
          <w:sz w:val="28"/>
          <w:szCs w:val="28"/>
        </w:rPr>
        <w:t xml:space="preserve">                        </w:t>
      </w:r>
      <w:r w:rsidRPr="00007E6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  <w:r w:rsidRPr="00007E6A">
        <w:rPr>
          <w:rFonts w:ascii="Times New Roman" w:hAnsi="Times New Roman"/>
          <w:sz w:val="28"/>
          <w:szCs w:val="28"/>
        </w:rPr>
        <w:t xml:space="preserve"> 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007E6A">
        <w:rPr>
          <w:rFonts w:ascii="Times New Roman" w:hAnsi="Times New Roman"/>
          <w:sz w:val="28"/>
          <w:szCs w:val="28"/>
        </w:rPr>
        <w:t xml:space="preserve">                  </w:t>
      </w:r>
      <w:r w:rsidRPr="00007E6A">
        <w:rPr>
          <w:rFonts w:ascii="Times New Roman" w:hAnsi="Times New Roman"/>
          <w:sz w:val="28"/>
          <w:szCs w:val="28"/>
        </w:rPr>
        <w:t xml:space="preserve">позднее 31 декабря текущего финансового года, разрабатывает и утверждает </w:t>
      </w:r>
      <w:r w:rsidRPr="00007E6A">
        <w:rPr>
          <w:rFonts w:ascii="Times New Roman" w:hAnsi="Times New Roman"/>
          <w:sz w:val="28"/>
          <w:szCs w:val="28"/>
        </w:rPr>
        <w:lastRenderedPageBreak/>
        <w:t>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1" w:name="sub_46"/>
      <w:bookmarkEnd w:id="10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2" w:name="sub_47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007E6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4" w:name="sub_49"/>
      <w:bookmarkEnd w:id="13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К докладу о ходе реализации муниципальной программы прилагаются </w:t>
      </w:r>
      <w:r w:rsidRPr="00007E6A">
        <w:rPr>
          <w:rFonts w:ascii="Times New Roman" w:hAnsi="Times New Roman"/>
          <w:sz w:val="28"/>
          <w:szCs w:val="28"/>
        </w:rPr>
        <w:lastRenderedPageBreak/>
        <w:t>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007E6A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007E6A">
        <w:rPr>
          <w:rFonts w:ascii="Times New Roman" w:hAnsi="Times New Roman"/>
          <w:sz w:val="28"/>
          <w:szCs w:val="28"/>
        </w:rPr>
        <w:t xml:space="preserve">                   </w:t>
      </w:r>
      <w:r w:rsidRPr="00007E6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9" w:name="sub_414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9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- обеспечивает соблюдение получателями субсидий и бюджетных </w:t>
      </w:r>
      <w:r w:rsidRPr="00007E6A">
        <w:rPr>
          <w:rFonts w:ascii="Times New Roman" w:hAnsi="Times New Roman"/>
          <w:sz w:val="28"/>
          <w:szCs w:val="28"/>
        </w:rPr>
        <w:lastRenderedPageBreak/>
        <w:t>инвестиций условий, целей и порядка, установленных при их предоставлении;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007E6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007E6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007E6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007E6A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007E6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007E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007E6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007E6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6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007E6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6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007E6A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007E6A" w:rsidRPr="00007E6A" w:rsidTr="006D6BFA">
        <w:tc>
          <w:tcPr>
            <w:tcW w:w="817" w:type="dxa"/>
            <w:vMerge w:val="restart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Еди-ницаизме-рения</w:t>
            </w:r>
          </w:p>
        </w:tc>
        <w:tc>
          <w:tcPr>
            <w:tcW w:w="567" w:type="dxa"/>
            <w:vMerge w:val="restart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7778" w:type="dxa"/>
            <w:gridSpan w:val="10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007E6A" w:rsidRPr="00007E6A" w:rsidTr="006D6BFA">
        <w:trPr>
          <w:cantSplit/>
          <w:trHeight w:val="1134"/>
        </w:trPr>
        <w:tc>
          <w:tcPr>
            <w:tcW w:w="817" w:type="dxa"/>
            <w:vMerge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007E6A" w:rsidRPr="00007E6A" w:rsidTr="006D6BFA">
        <w:trPr>
          <w:trHeight w:val="1136"/>
        </w:trPr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007E6A" w:rsidRPr="00007E6A" w:rsidTr="006D6BFA">
        <w:trPr>
          <w:trHeight w:val="395"/>
        </w:trPr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32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занятости молодых граждан и снижение темпов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7E6A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3D5C3B" w:rsidRPr="00007E6A" w:rsidTr="006D6BFA">
        <w:tc>
          <w:tcPr>
            <w:tcW w:w="817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007E6A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3D5C3B" w:rsidRPr="00007E6A" w:rsidRDefault="003D5C3B" w:rsidP="006D6BFA"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007E6A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007E6A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007E6A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E6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007E6A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</w:t>
      </w:r>
      <w:r w:rsidR="00954180" w:rsidRPr="00007E6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007E6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:rsidR="0004418A" w:rsidRPr="00007E6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007E6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007E6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07E6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007E6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07E6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007E6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07E6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007E6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3348"/>
        <w:gridCol w:w="709"/>
        <w:gridCol w:w="73"/>
        <w:gridCol w:w="68"/>
        <w:gridCol w:w="993"/>
        <w:gridCol w:w="992"/>
        <w:gridCol w:w="992"/>
        <w:gridCol w:w="851"/>
        <w:gridCol w:w="992"/>
        <w:gridCol w:w="992"/>
        <w:gridCol w:w="1985"/>
        <w:gridCol w:w="1984"/>
      </w:tblGrid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07E6A" w:rsidRPr="00007E6A" w:rsidTr="00E858C7">
        <w:trPr>
          <w:trHeight w:val="85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12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007E6A" w:rsidRPr="00007E6A" w:rsidTr="00E858C7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политики, МКУ МЦ «Эдельвейс», управление образования администрации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48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1.2.Формирование здорового образа жизни молодежи МОКавказский район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молодежи к занятиям спортом и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туризмом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молодежной политики администрации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51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политической грамотности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 администрации 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6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45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007E6A" w:rsidRPr="00007E6A" w:rsidTr="00E858C7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291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54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5846AB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5846AB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A33DDA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A33DDA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E858C7">
        <w:trPr>
          <w:trHeight w:val="105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№3: Обеспечение деятельности координаторов работы с молодежью по Кавказскому району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мероприятии №4: Обеспечение функций органов  местного самоуправления (отдел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в области  молодежной 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молодежной политики администрации </w:t>
            </w: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 Кавказский район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5846AB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5846AB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A33DDA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A33DDA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E6A" w:rsidRPr="00007E6A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007E6A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418A" w:rsidRPr="00007E6A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E07F47" w:rsidRPr="00007E6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007E6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007E6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007E6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E07F47" w:rsidRPr="00007E6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007E6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007E6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007E6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ПРОГНОЗ</w:t>
      </w:r>
    </w:p>
    <w:p w:rsidR="00415CBC" w:rsidRPr="00007E6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007E6A">
        <w:rPr>
          <w:rFonts w:ascii="Times New Roman" w:hAnsi="Times New Roman"/>
          <w:sz w:val="28"/>
          <w:szCs w:val="28"/>
        </w:rPr>
        <w:t>«</w:t>
      </w:r>
      <w:r w:rsidRPr="00007E6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007E6A">
        <w:rPr>
          <w:rFonts w:ascii="Times New Roman" w:hAnsi="Times New Roman"/>
          <w:sz w:val="28"/>
          <w:szCs w:val="28"/>
        </w:rPr>
        <w:t>»</w:t>
      </w:r>
    </w:p>
    <w:p w:rsidR="0000791F" w:rsidRPr="00007E6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007E6A">
        <w:rPr>
          <w:rFonts w:ascii="Times New Roman" w:hAnsi="Times New Roman"/>
          <w:sz w:val="24"/>
          <w:szCs w:val="28"/>
        </w:rPr>
        <w:t>Таблица 1.</w:t>
      </w:r>
    </w:p>
    <w:p w:rsidR="000F58C7" w:rsidRPr="00007E6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E6A" w:rsidRPr="00007E6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E6A" w:rsidRPr="00007E6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E6A" w:rsidRPr="00007E6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E6A" w:rsidRPr="00007E6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E6A" w:rsidRPr="00007E6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007E6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007E6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007E6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007E6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E6A" w:rsidRPr="00007E6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E6A" w:rsidRPr="00007E6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007E6A" w:rsidRPr="00007E6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007E6A" w:rsidRPr="00007E6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007E6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007E6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7E6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007E6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007E6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007E6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007E6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007E6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007E6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007E6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2A124F" w:rsidRPr="00007E6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007E6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br w:type="page"/>
      </w:r>
    </w:p>
    <w:p w:rsidR="002A124F" w:rsidRPr="00007E6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007E6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к </w:t>
      </w:r>
      <w:r w:rsidR="002A124F" w:rsidRPr="00007E6A">
        <w:rPr>
          <w:rFonts w:ascii="Times New Roman" w:hAnsi="Times New Roman"/>
          <w:sz w:val="28"/>
          <w:szCs w:val="28"/>
        </w:rPr>
        <w:t>муниципальной программ</w:t>
      </w:r>
      <w:r w:rsidRPr="00007E6A">
        <w:rPr>
          <w:rFonts w:ascii="Times New Roman" w:hAnsi="Times New Roman"/>
          <w:sz w:val="28"/>
          <w:szCs w:val="28"/>
        </w:rPr>
        <w:t>е</w:t>
      </w:r>
    </w:p>
    <w:p w:rsidR="002A124F" w:rsidRPr="00007E6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007E6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007E6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5312"/>
        <w:gridCol w:w="1275"/>
        <w:gridCol w:w="1701"/>
        <w:gridCol w:w="1418"/>
        <w:gridCol w:w="1559"/>
        <w:gridCol w:w="1559"/>
        <w:gridCol w:w="1560"/>
      </w:tblGrid>
      <w:tr w:rsidR="00007E6A" w:rsidRPr="00007E6A" w:rsidTr="0018552C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реали-зации прог-раммы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007E6A" w:rsidRPr="00007E6A" w:rsidTr="0018552C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007E6A" w:rsidRPr="00007E6A" w:rsidTr="0018552C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07E6A" w:rsidRPr="00007E6A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5846AB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№4. Обеспечение функций органов  местного самоуправления (отдел молодежной политики)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954180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7E6A" w:rsidRPr="00007E6A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007E6A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007E6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007E6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007E6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З</w:t>
      </w:r>
      <w:r w:rsidR="002A124F" w:rsidRPr="00007E6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007E6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07E6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007E6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28497F" w:rsidRPr="00007E6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007E6A">
        <w:rPr>
          <w:rFonts w:ascii="Times New Roman" w:hAnsi="Times New Roman"/>
          <w:sz w:val="24"/>
        </w:rPr>
        <w:br w:type="page"/>
      </w:r>
    </w:p>
    <w:p w:rsidR="001F2936" w:rsidRPr="00007E6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007E6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007E6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007E6A">
        <w:rPr>
          <w:rFonts w:ascii="Times New Roman" w:hAnsi="Times New Roman"/>
          <w:sz w:val="24"/>
        </w:rPr>
        <w:t>к муниципальной программе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007E6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007E6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ПЛАН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007E6A" w:rsidRPr="00007E6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N п/п</w:t>
            </w:r>
            <w:r w:rsidRPr="00007E6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007E6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007E6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007E6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07E6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007E6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07E6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007E6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007E6A" w:rsidRPr="00007E6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IV кв.</w:t>
            </w: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10</w:t>
            </w: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007E6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07E6A" w:rsidRPr="00007E6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007E6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  <w:vertAlign w:val="superscript"/>
        </w:rPr>
        <w:t>1)</w:t>
      </w:r>
      <w:r w:rsidRPr="00007E6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  <w:vertAlign w:val="superscript"/>
        </w:rPr>
        <w:t xml:space="preserve">2) </w:t>
      </w:r>
      <w:r w:rsidRPr="00007E6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  <w:vertAlign w:val="superscript"/>
        </w:rPr>
        <w:t xml:space="preserve">3) </w:t>
      </w:r>
      <w:r w:rsidRPr="00007E6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  <w:vertAlign w:val="superscript"/>
        </w:rPr>
        <w:t xml:space="preserve">4) </w:t>
      </w:r>
      <w:r w:rsidRPr="00007E6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007E6A">
        <w:rPr>
          <w:rFonts w:ascii="Times New Roman" w:hAnsi="Times New Roman"/>
          <w:vertAlign w:val="superscript"/>
        </w:rPr>
        <w:t xml:space="preserve">5) </w:t>
      </w:r>
      <w:r w:rsidRPr="00007E6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007E6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6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007E6A">
        <w:rPr>
          <w:rFonts w:ascii="Times New Roman" w:hAnsi="Times New Roman"/>
          <w:sz w:val="28"/>
          <w:szCs w:val="28"/>
        </w:rPr>
        <w:t xml:space="preserve">                    А.В.Филатов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22" w:name="_GoBack"/>
      <w:bookmarkEnd w:id="22"/>
    </w:p>
    <w:sectPr w:rsidR="001F2936" w:rsidRPr="00EC796E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A4" w:rsidRDefault="00F76BA4" w:rsidP="004E1DAA">
      <w:pPr>
        <w:spacing w:after="0" w:line="240" w:lineRule="auto"/>
      </w:pPr>
      <w:r>
        <w:separator/>
      </w:r>
    </w:p>
  </w:endnote>
  <w:end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A4" w:rsidRDefault="00F76BA4" w:rsidP="004E1DAA">
      <w:pPr>
        <w:spacing w:after="0" w:line="240" w:lineRule="auto"/>
      </w:pPr>
      <w:r>
        <w:separator/>
      </w:r>
    </w:p>
  </w:footnote>
  <w:foot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C" w:rsidRDefault="00E4251C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E6A">
      <w:rPr>
        <w:noProof/>
      </w:rPr>
      <w:t>2</w:t>
    </w:r>
    <w:r>
      <w:fldChar w:fldCharType="end"/>
    </w:r>
  </w:p>
  <w:p w:rsidR="00E4251C" w:rsidRDefault="00E4251C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34C6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56E3D"/>
    <w:rsid w:val="00470C2D"/>
    <w:rsid w:val="00485145"/>
    <w:rsid w:val="00493C9B"/>
    <w:rsid w:val="004C19FF"/>
    <w:rsid w:val="004E1DAA"/>
    <w:rsid w:val="004E3819"/>
    <w:rsid w:val="004E3CDF"/>
    <w:rsid w:val="0054148A"/>
    <w:rsid w:val="00553D75"/>
    <w:rsid w:val="00580FAF"/>
    <w:rsid w:val="005846AB"/>
    <w:rsid w:val="00585075"/>
    <w:rsid w:val="00596498"/>
    <w:rsid w:val="005A29ED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4436"/>
    <w:rsid w:val="00880D75"/>
    <w:rsid w:val="008C3C7A"/>
    <w:rsid w:val="008D424A"/>
    <w:rsid w:val="008E36C2"/>
    <w:rsid w:val="008F0606"/>
    <w:rsid w:val="00910D6D"/>
    <w:rsid w:val="00920E18"/>
    <w:rsid w:val="00954180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4251C"/>
    <w:rsid w:val="00E50981"/>
    <w:rsid w:val="00E745B2"/>
    <w:rsid w:val="00E81C42"/>
    <w:rsid w:val="00E858C7"/>
    <w:rsid w:val="00EB7B18"/>
    <w:rsid w:val="00EC6B2E"/>
    <w:rsid w:val="00EC6F2D"/>
    <w:rsid w:val="00EC796E"/>
    <w:rsid w:val="00EF757F"/>
    <w:rsid w:val="00F00E53"/>
    <w:rsid w:val="00F15839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F2366-6BCB-47E0-AA73-148F199A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33</Pages>
  <Words>7662</Words>
  <Characters>43677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51237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Matyshova</cp:lastModifiedBy>
  <cp:revision>5</cp:revision>
  <cp:lastPrinted>2014-11-20T14:43:00Z</cp:lastPrinted>
  <dcterms:created xsi:type="dcterms:W3CDTF">2021-03-22T13:46:00Z</dcterms:created>
  <dcterms:modified xsi:type="dcterms:W3CDTF">2021-03-23T07:01:00Z</dcterms:modified>
</cp:coreProperties>
</file>