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r>
        <w:rPr>
          <w:rFonts w:cs="Times New Roman" w:ascii="Times New Roman" w:hAnsi="Times New Roman"/>
          <w:sz w:val="28"/>
          <w:szCs w:val="28"/>
        </w:rPr>
        <w:t>Муниципальная программа</w:t>
        <w:br/>
        <w:t>муниципального образования Кавказский район "Развитие образования"</w:t>
      </w:r>
      <w:r>
        <w:rPr>
          <w:rFonts w:cs="Times New Roman" w:ascii="Times New Roman" w:hAnsi="Times New Roman"/>
          <w:b w:val="false"/>
          <w:sz w:val="28"/>
          <w:szCs w:val="28"/>
        </w:rPr>
        <w:br/>
        <w:t xml:space="preserve">(утв. </w:t>
      </w:r>
      <w:hyperlink w:anchor="sub_0">
        <w:r>
          <w:rPr>
            <w:rStyle w:val="Style10"/>
            <w:rFonts w:cs="Times New Roman" w:ascii="Times New Roman" w:hAnsi="Times New Roman"/>
            <w:b w:val="false"/>
            <w:bCs w:val="false"/>
            <w:color w:val="auto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ад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министрации муниципального образования Кавказский район от 31 октября 2014 г. N 1733, с изменениями и дополнениями от 28 января, 24 марта, 17 июня, 29 июля, 29 октября, 14 декабря, 30 декабря 2015 г.,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20 февраля .2016г., 20 апреля 2016, 25 мая 2016 г., 23 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21 ноября 2018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1293, 23 сентября 2019 № 1445, </w:t>
      </w:r>
      <w:r>
        <w:rPr>
          <w:rFonts w:cs="Times New Roman" w:ascii="Times New Roman" w:hAnsi="Times New Roman"/>
          <w:b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12 декабря 2019 года № 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1967, 27 декабря 2019 года №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2095, </w:t>
      </w:r>
      <w:r>
        <w:rPr>
          <w:rFonts w:eastAsia="Segoe U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февраля 2020 года № 178, 20 апреля 2020 года № 451, 19 июня 2020 г. № 647, 15 июля 2020 года № 777, 26 августа 2020 года № 1061, 22 сентября 2020 года № 1208, 19 ноября 2020 года № 1573, 21 декабря 2020 года № 1796,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 xml:space="preserve"> февраля2021 года №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182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  <w:br/>
        <w:t>муниципальной программы муниципального образования Кавказский район "Развитие образования"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969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/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0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образования дошкольников с ограниченными возможностями;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>
            <w:pPr>
              <w:pStyle w:val="Style37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общеобразовательных организаций;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школ, в том числе учителей;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аттестации в форме ОГЭ, ЕГЭ и ГВЭ в муниципальном образовании Кавказский район;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физкультурно – спортивного  назначения, физкультурно – оздоровительных  комплексов;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>
            <w:pPr>
              <w:pStyle w:val="Normal"/>
              <w:spacing w:lineRule="auto" w:line="240" w:before="0" w:after="143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информационное и методическое сопровождение деятельности учреждений отрасли образования»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;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создание и обеспечение условий для проведения и участия в олимпиадах, конкурсах и иных мероприятиях различного уровня для одаренных детей.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по программам общего образования в расчете на 1 учителя;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капитальный и текущий ремонт;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>
            <w:pPr>
              <w:pStyle w:val="Normal"/>
              <w:spacing w:lineRule="auto" w:line="240" w:before="0" w:after="29"/>
              <w:ind w:left="0" w:right="92" w:hanging="0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общеобразовательных организаций;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приобретение движимого имущества для оснащения вновь созданных мест в муниципальных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 - оздоровительных комплексов;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охваченных горячим питанием;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горячим питанием школьников;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получающих молоко и молочную продукцию 2 раза в неделю;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количество муниципальных образовательных организаций дополнительного образования, в которых проведены работы по текущему и капитальному  ремонту зданий и сооружений и благоустройству территорий, прилегающих к  ним;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ч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исленность лиц, занимающихся физической культурой и спортом, прошедших медицинские осмотры по углубленной программе медицинского обследования;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8"/>
                <w:szCs w:val="28"/>
                <w:u w:val="none"/>
                <w:em w:val="none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в планах прохождения курсовой подготовки, от численности нуждающихся в повышении квалификации;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отдохнувших детей;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число педагогов, получающих выплату за работу  с детьми  в спортивных клубах муниципальных организаций дополнительного образования детей системы образования Краснодарского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введение ставок педагогов дополнительного образования для работы с детьми в спортивных клубах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- 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оличество общеобразовательных учреждений, в которых обновлена материально-техническая база;</w:t>
            </w:r>
          </w:p>
          <w:p>
            <w:pPr>
              <w:pStyle w:val="Normal"/>
              <w:spacing w:lineRule="auto" w:line="240" w:before="0" w:after="29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 количество 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людей.</w:t>
            </w:r>
          </w:p>
          <w:p>
            <w:pPr>
              <w:pStyle w:val="Normal"/>
              <w:spacing w:lineRule="auto" w:line="240" w:before="0" w:after="29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д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>
            <w:pPr>
              <w:pStyle w:val="Style3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2015-2019 годы;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этап: 2020-2024 годы.</w:t>
            </w:r>
          </w:p>
        </w:tc>
      </w:tr>
      <w:tr>
        <w:trPr>
          <w:trHeight w:val="3261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Style3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spacing w:lineRule="auto" w:line="24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Объём финансирования муниципальной программы   составляет – 12 927 144,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тыс. руб., в том числе: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14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из средств краевого бюджета – 8 410 759,0 тыс.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14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из средств краевого бюджета, источником финансового обеспечения которого являются средства федерального бюджета – 335 360,6 тыс.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14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из средств местного бюджета – 3 465 335,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тыс. руб.;   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14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из внебюджетных источников –  715 689,0 тыс. руб.,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ru-RU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32 дошкольных образовательных учреждения;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25 общеобразовательных учреждений,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 них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- 1 школа основного общего образования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открытое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(сменное) общеобразовательное учреждение;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учреждения дополнительного образования детей.</w:t>
      </w:r>
    </w:p>
    <w:p>
      <w:pPr>
        <w:pStyle w:val="Normal"/>
        <w:spacing w:before="0" w:after="0"/>
        <w:ind w:left="0" w:right="0"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них обучается 12961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0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>
      <w:pPr>
        <w:pStyle w:val="Normal"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доступность дошкольного образования. Для изменения сложившейся ситуации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в станице Кавказской,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 города Кропоткин на 233 места, в  МБДОУ ЦРР- д/с № 21 посёлка им.М.Горького построена пристройка на 60 мест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>
      <w:pPr>
        <w:pStyle w:val="Normal"/>
        <w:widowControl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>
      <w:pPr>
        <w:pStyle w:val="Normal"/>
        <w:spacing w:lineRule="auto" w:line="276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>
      <w:pPr>
        <w:pStyle w:val="Normal"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100% кабинетов начальных классов. </w:t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ю</w:t>
      </w:r>
      <w:r>
        <w:rPr>
          <w:rFonts w:ascii="Times New Roman" w:hAnsi="Times New Roman"/>
          <w:sz w:val="28"/>
          <w:szCs w:val="28"/>
        </w:rPr>
        <w:t xml:space="preserve">. 100% школ имеют в пищеблоках новое высокотехнологическое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охвачены 100% учащихся.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творческих конкурсах.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  <w:tab/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уровнем достатка.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>
      <w:pPr>
        <w:pStyle w:val="1"/>
        <w:widowControl w:val="false"/>
        <w:numPr>
          <w:ilvl w:val="0"/>
          <w:numId w:val="0"/>
        </w:numPr>
        <w:shd w:val="clear" w:fill="auto"/>
        <w:tabs>
          <w:tab w:val="clear" w:pos="408"/>
          <w:tab w:val="left" w:pos="142" w:leader="none"/>
          <w:tab w:val="left" w:pos="709" w:leader="none"/>
        </w:tabs>
        <w:suppressAutoHyphens w:val="true"/>
        <w:overflowPunct w:val="true"/>
        <w:bidi w:val="0"/>
        <w:spacing w:lineRule="auto" w:line="276" w:before="0" w:after="0"/>
        <w:ind w:left="113" w:right="0" w:firstLine="510"/>
        <w:jc w:val="both"/>
        <w:outlineLvl w:val="0"/>
        <w:rPr>
          <w:i w:val="false"/>
          <w:i w:val="false"/>
          <w:iCs w:val="false"/>
          <w:highlight w:val="yellow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управление  образовани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ar-SA"/>
        </w:rPr>
        <w:t>я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администрации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муниципального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iCs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C9211E"/>
          <w:sz w:val="28"/>
          <w:szCs w:val="28"/>
          <w:lang w:eastAsia="ru-RU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получат возможность бесплатного обучения по программам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408"/>
          <w:tab w:val="left" w:pos="709" w:leader="none"/>
        </w:tabs>
        <w:spacing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районе введена новая система оплаты труда, стимулирующая качество результатов деятельности педагогов и мотивацию профессионального развития.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</w:r>
    </w:p>
    <w:p>
      <w:pPr>
        <w:pStyle w:val="1"/>
        <w:spacing w:before="0" w:after="0"/>
        <w:rPr/>
      </w:pPr>
      <w:r>
        <w:rPr>
          <w:rFonts w:eastAsia="Times New Roman"/>
          <w:b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>
      <w:pPr>
        <w:pStyle w:val="Normal"/>
        <w:ind w:left="0" w:right="0" w:firstLine="851"/>
        <w:jc w:val="both"/>
        <w:rPr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>
      <w:pPr>
        <w:pStyle w:val="Style37"/>
        <w:spacing w:before="0" w:after="0"/>
        <w:ind w:left="0" w:right="0"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Сроки реализации муниципальной программы: 2015-2021 годы, этапы реализации: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2015-2019 годы;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2020-2024 годы.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7" w:name="sub_208"/>
      <w:bookmarkStart w:id="8" w:name="sub_20811"/>
      <w:bookmarkStart w:id="9" w:name="sub_208"/>
      <w:bookmarkStart w:id="10" w:name="sub_20811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основных мероприятий муниципальной программы</w:t>
      </w:r>
      <w:bookmarkStart w:id="11" w:name="sub_300"/>
      <w:bookmarkEnd w:id="1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Приложении N 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 Обоснование ресурсного обеспечения Программы</w:t>
      </w:r>
    </w:p>
    <w:p>
      <w:pPr>
        <w:pStyle w:val="Normal"/>
        <w:spacing w:before="0" w:after="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>
      <w:pPr>
        <w:pStyle w:val="Normal"/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Прогноз сводных показателей на оказание муниципальных услуг (выполнение работ) муниципальными учреждениями в сфере реализации программы "Развитие образования"</w:t>
      </w:r>
      <w:bookmarkStart w:id="12" w:name="sub_500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 в таблице в </w:t>
      </w:r>
      <w:hyperlink w:anchor="sub_1400">
        <w:r>
          <w:rPr>
            <w:rStyle w:val="Style10"/>
            <w:rFonts w:cs="Times New Roman" w:ascii="Times New Roman" w:hAnsi="Times New Roman"/>
            <w:sz w:val="28"/>
            <w:szCs w:val="28"/>
          </w:rPr>
          <w:t>Приложении N 4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финансово-экономические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3" w:name="sub_700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реализации муниципальной программы "Развитие образования" не планируется.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4" w:name="sub_800"/>
      <w:bookmarkEnd w:id="1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Механизм реализации муниципальной программы и контроль за ее выполнением</w:t>
      </w:r>
      <w:bookmarkStart w:id="15" w:name="sub_900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программы.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план реализации муниципальной программы) по форме согласно Приложению № 5 к муниципальной программе.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 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(ожидаемый) результат) реализации мероприятий;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следует вносить  не чаще 1 раза в квартал.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муниципальной программы).</w:t>
      </w:r>
      <w:bookmarkStart w:id="16" w:name="sub_4"/>
      <w:bookmarkEnd w:id="1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(приложение № </w:t>
      </w:r>
      <w:hyperlink w:anchor="sub_17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64"/>
        <w:gridCol w:w="3682"/>
        <w:gridCol w:w="5"/>
        <w:gridCol w:w="931"/>
        <w:gridCol w:w="7"/>
        <w:gridCol w:w="842"/>
        <w:gridCol w:w="9"/>
        <w:gridCol w:w="816"/>
        <w:gridCol w:w="7"/>
        <w:gridCol w:w="817"/>
        <w:gridCol w:w="11"/>
        <w:gridCol w:w="814"/>
        <w:gridCol w:w="13"/>
        <w:gridCol w:w="813"/>
        <w:gridCol w:w="10"/>
        <w:gridCol w:w="815"/>
        <w:gridCol w:w="825"/>
        <w:gridCol w:w="824"/>
        <w:gridCol w:w="826"/>
        <w:gridCol w:w="824"/>
        <w:gridCol w:w="69"/>
        <w:gridCol w:w="845"/>
      </w:tblGrid>
      <w:tr>
        <w:trPr>
          <w:trHeight w:val="731" w:hRule="atLeast"/>
        </w:trPr>
        <w:tc>
          <w:tcPr>
            <w:tcW w:w="76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60" w:type="dxa"/>
            <w:gridSpan w:val="20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ЦЕЛИ, ЗАДАЧИ И ЦЕЛЕВЫЕ ПОКАЗАТЕЛИ МУНИЦИПАЛЬНОЙ ПРОГРАММЫ</w:t>
              <w:br/>
              <w:t xml:space="preserve">«Развитие образования» </w:t>
            </w:r>
          </w:p>
        </w:tc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76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1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/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Ед.изм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Статус*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2018 год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rPr>
          <w:trHeight w:val="7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>
          <w:trHeight w:val="67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>
        <w:trPr>
          <w:trHeight w:val="137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85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</w:tr>
      <w:tr>
        <w:trPr>
          <w:trHeight w:val="27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4448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4710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4750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</w:tr>
      <w:tr>
        <w:trPr>
          <w:trHeight w:val="10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Обновление технологий дошкольного образования, обеспечивающих раннее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>
        <w:trPr>
          <w:trHeight w:val="326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</w:tr>
      <w:tr>
        <w:trPr>
          <w:trHeight w:val="10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</w:t>
            </w:r>
          </w:p>
        </w:tc>
      </w:tr>
      <w:tr>
        <w:trPr>
          <w:trHeight w:val="206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35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95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98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83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>
        <w:trPr>
          <w:trHeight w:val="25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>
        <w:trPr>
          <w:trHeight w:val="167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2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50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общего образования для всех уровней образования;</w:t>
            </w:r>
          </w:p>
        </w:tc>
      </w:tr>
      <w:tr>
        <w:trPr>
          <w:trHeight w:val="157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12021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12345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27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</w:tr>
      <w:tr>
        <w:trPr>
          <w:trHeight w:val="158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>
        <w:trPr>
          <w:trHeight w:val="349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кол. учр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2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3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>
        <w:trPr>
          <w:trHeight w:val="13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40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26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19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28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оснащенных мест в общеобразовательных организациях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4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>
        <w:trPr>
          <w:trHeight w:val="12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36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</w:tr>
      <w:tr>
        <w:trPr>
          <w:trHeight w:val="13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>
        <w:trPr>
          <w:trHeight w:val="21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 школ,</w:t>
              <w:br/>
              <w:t>в том числе учителей</w:t>
            </w:r>
          </w:p>
        </w:tc>
      </w:tr>
      <w:tr>
        <w:trPr>
          <w:trHeight w:val="205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281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 : 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>
        <w:trPr>
          <w:trHeight w:val="18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0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>
        <w:trPr>
          <w:trHeight w:val="16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назначения, физкультурно – оздоровительных комплексов</w:t>
            </w:r>
          </w:p>
        </w:tc>
      </w:tr>
      <w:tr>
        <w:trPr>
          <w:trHeight w:val="281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 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7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>
        <w:trPr>
          <w:trHeight w:val="110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</w:tr>
      <w:tr>
        <w:trPr>
          <w:trHeight w:val="9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горячим питанием школьников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4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>доля обучающихся, получающих начальное общее образование</w:t>
              <w:br/>
              <w:t>в муниципальных образовательных</w:t>
              <w:br/>
              <w:t>организациях, получающих</w:t>
              <w:br/>
              <w:t>Бесплатное горячее питание, к</w:t>
              <w:br/>
              <w:t xml:space="preserve">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>
        <w:trPr>
          <w:trHeight w:val="68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>
        <w:trPr>
          <w:trHeight w:val="9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 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Социальная поддержка многодетных семей путем предоставления учащимся из многодетных</w:t>
              <w:br/>
              <w:t>семей сбалансированного горячего питания за счет субсидий краевого бюджета</w:t>
            </w:r>
          </w:p>
        </w:tc>
      </w:tr>
      <w:tr>
        <w:trPr>
          <w:trHeight w:val="10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1441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1498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Обогащение пищи детей дополнительной витаминизацией</w:t>
            </w:r>
          </w:p>
        </w:tc>
      </w:tr>
      <w:tr>
        <w:trPr>
          <w:trHeight w:val="12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11377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9603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5080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</w:tr>
      <w:tr>
        <w:trPr>
          <w:trHeight w:val="6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113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>
        <w:trPr>
          <w:trHeight w:val="173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4019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7110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</w:tr>
      <w:tr>
        <w:trPr>
          <w:trHeight w:val="197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>
        <w:trPr>
          <w:trHeight w:val="12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Доля оснащенных организаций, в соответствии с требованиями ФГОС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0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bookmarkStart w:id="17" w:name="__DdeLink__28138_151968229"/>
            <w:r>
              <w:rPr>
                <w:sz w:val="24"/>
              </w:rPr>
              <w:t>-</w:t>
            </w:r>
            <w:bookmarkEnd w:id="17"/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68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>
        <w:trPr>
          <w:trHeight w:val="161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>
        <w:trPr>
          <w:trHeight w:val="18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39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>
        <w:trPr>
          <w:trHeight w:val="269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5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>
        <w:trPr>
          <w:trHeight w:val="59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>
        <w:trPr>
          <w:trHeight w:val="10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9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>
        <w:trPr>
          <w:trHeight w:val="80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>
        <w:trPr>
          <w:trHeight w:val="160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92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68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отдохнувших детей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7. Прочие мероприятия в области образования</w:t>
            </w:r>
          </w:p>
        </w:tc>
      </w:tr>
      <w:tr>
        <w:trPr>
          <w:trHeight w:val="35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>
        <w:trPr>
          <w:trHeight w:val="13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2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>
        <w:trPr>
          <w:trHeight w:val="238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0,98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</w:tr>
      <w:tr>
        <w:trPr>
          <w:trHeight w:val="9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88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ста-вок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33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18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</w:tr>
      <w:tr>
        <w:trPr>
          <w:trHeight w:val="19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ставок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1,5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</w:tr>
      <w:tr>
        <w:trPr>
          <w:trHeight w:val="22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1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9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5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9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Задача: Активизация спортивно-массовой работы в образовательных учреждениях муниципального образования, </w:t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84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Ставок 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69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9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</w:tr>
      <w:tr>
        <w:trPr>
          <w:trHeight w:val="284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</w:tr>
      <w:tr>
        <w:trPr>
          <w:trHeight w:val="806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</w:t>
            </w:r>
          </w:p>
        </w:tc>
        <w:tc>
          <w:tcPr>
            <w:tcW w:w="138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Задача: 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</w:tr>
      <w:tr>
        <w:trPr>
          <w:trHeight w:val="1931" w:hRule="atLeast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76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76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76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4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451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93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028" w:type="dxa"/>
            <w:gridSpan w:val="7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С.В. Филатова</w:t>
            </w:r>
          </w:p>
        </w:tc>
      </w:tr>
      <w:tr>
        <w:trPr/>
        <w:tc>
          <w:tcPr>
            <w:tcW w:w="4451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3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8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tbl>
      <w:tblPr>
        <w:tblW w:w="15124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6"/>
        <w:gridCol w:w="2620"/>
        <w:gridCol w:w="865"/>
        <w:gridCol w:w="1183"/>
        <w:gridCol w:w="1358"/>
        <w:gridCol w:w="1359"/>
        <w:gridCol w:w="1253"/>
        <w:gridCol w:w="1235"/>
        <w:gridCol w:w="1253"/>
        <w:gridCol w:w="1694"/>
        <w:gridCol w:w="1748"/>
      </w:tblGrid>
      <w:tr>
        <w:trPr>
          <w:trHeight w:val="1001" w:hRule="atLeast"/>
        </w:trPr>
        <w:tc>
          <w:tcPr>
            <w:tcW w:w="15124" w:type="dxa"/>
            <w:gridSpan w:val="11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ОСНОВНЫХ МЕРОПРИЯТИЙ МУНИЦИПАЛЬНОЙ ПРОГРАММЫ</w:t>
              <w:br/>
              <w:t>«РАЗВИТИЕ ОБРАЗОВАНИЯ»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auto" w:val="clea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 реализации </w:t>
            </w: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финансирования, всего (тыс. руб.)</w:t>
            </w:r>
          </w:p>
        </w:tc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 финансирования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tabs>
                <w:tab w:val="clear" w:pos="408"/>
                <w:tab w:val="left" w:pos="4041" w:leader="none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Непосредственный результат реализации мероприятия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12927144,3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335360,6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8410759,0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3465335,7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715689,0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1028597,4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723650,4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252041,0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52906,0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1129190,1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1140132,0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276955,6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1200176,3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1344167,2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1393772,9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911456,1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367673,0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1459955,6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884796,7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401828,9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1451359,7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885107,7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387086,9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1446870,2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884302,1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386863,4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1332922,9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869581,3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383341,6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5680095,5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3584037,7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1489451,8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606606,0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Дошкольные 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422237,4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285076,1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92255,3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44906,0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501466,3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346374,1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109092,2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503265,3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349735,2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104530,1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559284,3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334399,8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162684,5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62200,0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608839,6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370271,6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171568,0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606060,8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384775,1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153785,7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619954,2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378219,2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174235,0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619617,4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378350,4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619685,1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378418,1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619685,1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378418,1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 Реализация мероприятий в области образования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16842,4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16842,4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1.1.1 Наказы избирателей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6187,0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6187,0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900" w:hRule="atLeast"/>
        </w:trPr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1.1.2 Осуществление текущего ремонта, благоустройства территорий и материально- техническое обеспечение дошкольными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10655,4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10530,4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20685,4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20685,4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3112,3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2175,4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2199,1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2199,1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1808,7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2007,6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5468734,2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3403809,4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1458318,8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606606,0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395626,0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270787,1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79932,9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44906,0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462795,2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315223,2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101572,0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479475,0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327924,9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102550,1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529907,8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306518,3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161189,5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62200,0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588550,9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352170,3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169380,6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588571,7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369246,0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151825,7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603551,9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170567,0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606751,9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606751,9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606751,9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365484,9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173767,0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103023,0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103023,0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компенсационных выплат родителям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9207,4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8792,4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9662,6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9662,6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11087,8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11465,4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11465,4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9105,0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10925,6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спортивного инвентаря (детских тренажеров)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1.6 Осуществление муниципальными учреждениями капитального ремонта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12719,0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12719,0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Осуществление капитального ремонта учреждений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6019,0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6019,0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21576,7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21576,7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8041,7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3160,0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4225,0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12149,2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11513,0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мебели для оснащения дополнительно вводимых мест в дошкольных образовательных организациях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1895,5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10153,7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9617,5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22504,3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22504,3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8128,7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7722,3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6653,3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6653,3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1.10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1461,3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875,9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585,4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ограждения территории ДОУ № 16, № 21, № 30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875,9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1.11 Благоустройство территории дошкольных образованых учреждений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работ по благоустройству территории ДОУ № 2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 Развитие системы общего образования в муниципальном образовании Кавказский район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6289934,9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335360,6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4723624,2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1146667,1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84283,0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школа – интернат,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525136,7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430415,1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89221,6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545196,1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446173,2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92108,5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3533,0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548042,4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446646,2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92259,2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6150,0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547127,7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431172,8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106854,9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639559,1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500138,1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123272,4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681026,5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510537,2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125845,5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737440,2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493646,8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140463,4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729838,9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493797,0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126876,8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725257,3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492909,3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126643,3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611310,0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478188,5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123121,5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 Организация питания учащихся 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образования; обеспечение льготным питанием учащихся из многодетных семей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125739,7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21358,9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104380,8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питания учащихся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17326,5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2156,5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15552,9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12999,4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16221,5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16124,2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9706,4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2433,4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15314,8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13816,8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2.1.1 Частичная компенсация удорожания стоимости питания педагогических работников дневных муниципальных образовательных учреждений, реализующих общеобразовательные программы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Частичная компенсация удорожания стоимости питания педагогических работников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898" w:hRule="atLeast"/>
        </w:trPr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2.1.2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21051,3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21051,3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молоком учащихся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5907,1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5907,1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3929,7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2.1.3 Обеспечение льготным питанием учащихся из многодетных семей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21358,9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21358,9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питания учащихся из многодетных семей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2156,5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2186,9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2499,4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2966,5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3124,2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2433,4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2.1.4 Организация питания учащихся муниципальных общеобразовательных учреждений, реализующих общеобразовательные программы общеобразовательные программы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76478,8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76478,8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питания учащихся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8760,6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8760,6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8651,5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8651,5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9325,3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9325,3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6173,0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7468,4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7468,4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2.1.5 Организация бесплатного двухразового питания детей с ограниченными возможностями здоровья, обучающихся в общеобразовательных учреждениях МО Кавказский район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4833,4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4833,4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бесплатного двухразового питания детей с ограниченными возможностями здоровья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2.1.6 Предоставление денежной компенсации на обеспечение бесплатным двухразовым питанием обучающихся детей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1515,0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компенсационных выплат детям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562" w:hRule="atLeast"/>
        </w:trPr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31955,4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31955,4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946,1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5113,4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3666,4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4666,0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3220,7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3220,7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2353,4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2538,6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2626,9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 Реализация мероприятий в области образования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15613,0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15613,0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2761,0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2.3.1 Наказы избирателей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10113,0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10113,0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2.3.2 Реализация мероприятий по популяризации здорового образа жизни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2.3.3 Реализация мероприятий по правовому воспитанию учащихся, проведение творческих конкурсов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2.3.4 Осуществление текущего ремонта, благоустройства территорий и материально- техническое обеспечение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4924,0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4924,0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5504005,3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4485742,9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934462,4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83800,0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471159,6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416326,4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49333,2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486982,7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428354,6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55428,1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501518,5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430714,7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64803,8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512657,2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413779,2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89778,0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551989,6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441455,5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100534,1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592664,7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111642,2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592841,0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111818,5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117041,5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117041,5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598064,0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471022,5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117041,5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2.5 Финансовое обеспечение деятельности МБОУ ШИООО № 3 на реализацию программ основного образования (за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48167,8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47684,8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483,0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17535,0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19181,3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18848,3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333,0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11451,5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11301,5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2.6 Реализация мероприятий государственной программы Краснодарского края «Развитие образования» (поддержка массового спорта, оплата интернет-трафика, приобретение школьных автобусов)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8475,1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7641,1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834,0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8475,1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7641,1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2.7 Осуществление муниципальными учреждениями капитального ремонта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13011,4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13011,4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капитального ремонта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26100,2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26100,2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3345,0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7700,2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1995,0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2.9 Благоустройство территории учреждений образования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3223,0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3223,0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работ по благоустройству территории учреждений образования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  <w:br/>
              <w:t xml:space="preserve">по образовательным программам основного общего образования (выплата педагогическим работникам, </w:t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28532,1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28532,1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1880,8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2555,7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1887,8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3480,5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3480,5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6562,9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6562,9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3041,1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2.11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местности), помещений при них, других помещений физкультурно-спортивного назначения, физкультурно-оздоровительных комплексов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16512,7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6368,4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4559,1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5585,2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7859,7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2106,2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2372,1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6353,4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1280,2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2299,6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1172,7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2.12 Реализация мероприятий государственной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3806,2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3610,5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1739,3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1651,3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1959,2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2.13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23161,1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19825,6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3335,5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Капитальный ремонт ограждений территорий МБОУ СОШ № 12, № 21, № 16, № 17, МБОУ ШООО № 43, замена оконных блоков МБОУ СОШ № 7, МБОУ </w:t>
              <w:br/>
              <w:t>ШООО № 3, МБОУ СОШ № 17, МБОУ СОШ № 15 капитальный ремонт кровли МБОУ СОШ № 2, № 6, № 7, № 5, № 8, № 13, № 9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16760,7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15084,3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1676,4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5268,3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4741,3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7864" w:hRule="atLeast"/>
        </w:trPr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мероприятий, предусмотренных пунктами 1.1*)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19399,8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18429,8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Оснащение оборудованием МБОУ СОШ № 7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19399,8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18429,8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мероприятия, предусмотренного подпунктом 1.3.3 пункта 1.3*)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7814,6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7126,8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297,0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школа») МБОУ СОШ № 9, № 12, № 18, № 20, № 14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6741,9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978,2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2.16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образовательных организаций, помещений при них, других помещений физкультурно- спортивного назначения, физкультурно- оздоровительных комплексов)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7368,6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3488,7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3879,9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Капитальный ремонт спортивных залов </w:t>
              <w:br/>
              <w:t xml:space="preserve">лицея № 3, МБОУ </w:t>
              <w:br/>
              <w:t>ШООО № 3, МБОУ СОШ № 4, МБОУ СОШ № 44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6840,6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3351,9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2.17 Реализация мероприятий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«Современная школа» (обновление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20929,1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19882,6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1046,5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5697,8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5412,9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15231,3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14469,7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2.18 Реализация мероприятий государственной программы Краснодарского края «Развитие образования»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Краснодарского края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241077,1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176822,7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52200,3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12054,1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бесплатного горячего питания учащихся 1-4 классов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26539,2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19161,3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6050,9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68999,0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49817,2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15731,8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75104,4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55652,3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15696,8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3755,3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70434,5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52191,9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14720,8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2.19 Реализация мероприятий государственной программы Краснодарского края «Развитие образования»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145042,7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145042,7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14504,3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14504,3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43512,8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513039,1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16454,8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471784,3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24800,0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43757,1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6722,6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34534,5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43597,2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4780,2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46639,1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635,1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43404,0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49190,7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683,7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51952,3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1206,0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48446,3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53897,7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50620,5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56050,6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53167,5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55975,2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412,7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55989,6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55989,6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3.1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3988,2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3988,2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507,0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572,6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412,7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427,1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ремонта и укрепление материально-технической базы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3.3 Финансовое обеспечение деятельности муниципальных бюджетных и автономных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492462,7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3210,7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464452,0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24800,0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36931,5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34431,5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41952,7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3210,7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36342,0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43404,0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48507,0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50655,0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48355,0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46162,5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43662,5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55562,5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3.4 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4221,6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4221,6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4221,6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3.5 Социальная поддержка отдельной категории работников образовательных учреждений дополнительного образования детей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187,5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3.6 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2053,0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материально-технической базы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2063,7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363,7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3.8 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824,4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783,1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медицинских осмотров 210 чел. в МБОУ ДЮСШ «Совершенство»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МБОУ ДЮСШ «Совершенство»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824,4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783,1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3.9 Осуществление муниципальными учреждениями капитального ремонта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текущего и капитального ремонта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3.10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6843,0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дополнительного образования в рамках системы персонифицированного финансирования не менее 25% от общей численности детей в возрасте от 5 до 18 лет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69251,8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69251,8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образования администрации МО Кавказский район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308291,1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81021,9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227269,2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эффективности расходования средств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МКУ ЦБО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5399,2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22999,3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6206,6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24430,0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6621,8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26054,0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12603,9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22278,4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34653,1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22105,5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34104,4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21556,8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34104,4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21556,8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34104,4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12547,6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21556,8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6058,6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6058,6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отдыха детям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ЛТО Кубаночка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1601,5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1601,5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59523,3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5620,4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53902,9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7772,8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46896,2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46896,2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7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5735,0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3970,1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7.2 Реализация мероприятий государственной программы Краснодарского края «Развитие образования» Организация и проведение 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3715,7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1791,7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1924,0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получения доступного и качественного образования детей </w:t>
              <w:br/>
              <w:br/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2205,6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769,0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861,0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7.3 Реализация мероприятий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1123,6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1066,0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1123,6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1066,0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7.4 Реализация мероприятий в области образования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1222,4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7.5 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6565,4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2762,7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3802,7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Оснащение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6565,4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8.1 Организация и проведение предметных олимпиад, научно-практических конференций, конкурсов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канцелярских товаров, заправка картриджей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8.2 Доставка школьников на учебно-тренировочные сборы, очно-заочное и очное обучение, лектории, тренинги по подготовке к олимпиадам; доставка школьников для участия в профильных интеллектуальных и творческих сменах; доставка школьников для участия в зональных, краевых, всероссийских мероприятиях (олимпиады, конференции, конкурсы, фестивали, форумы и т. д.)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ГСМ, оплата аренды автотранспорта, оплата билетов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8.3 Чествование одаренных детей и их наставников (победителей и призеров творческих конкурсов и олимпиад, выпускников, получивших медали «За особые успехи в учении» и набравших 100 баллов при сдаче ЕГЭ и др.) 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грамот, дипломов, благодарственных писем, рамок, цветов, призов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21" w:hRule="atLeast"/>
        </w:trPr>
        <w:tc>
          <w:tcPr>
            <w:tcW w:w="15124" w:type="dxa"/>
            <w:gridSpan w:val="11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октября 2015 года.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20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224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76" w:hRule="atLeast"/>
        </w:trPr>
        <w:tc>
          <w:tcPr>
            <w:tcW w:w="5224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5930" w:type="dxa"/>
            <w:gridSpan w:val="4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</w:rPr>
              <w:t>С.В. Филатова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620" w:type="dxa"/>
            <w:tcBorders/>
            <w:shd w:fill="auto" w:val="clea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6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9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4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2.1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1"/>
        <w:gridCol w:w="4451"/>
        <w:gridCol w:w="1254"/>
        <w:gridCol w:w="1782"/>
        <w:gridCol w:w="1614"/>
        <w:gridCol w:w="1239"/>
        <w:gridCol w:w="1751"/>
        <w:gridCol w:w="1738"/>
      </w:tblGrid>
      <w:tr>
        <w:trPr>
          <w:trHeight w:val="1031" w:hRule="atLeast"/>
        </w:trPr>
        <w:tc>
          <w:tcPr>
            <w:tcW w:w="14570" w:type="dxa"/>
            <w:gridSpan w:val="8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реализации программы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финансирования всего</w:t>
            </w:r>
          </w:p>
        </w:tc>
        <w:tc>
          <w:tcPr>
            <w:tcW w:w="6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руб.)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</w:tr>
      <w:tr>
        <w:trPr>
          <w:trHeight w:val="401" w:hRule="atLeast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12927144,3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8410759,0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3465335,7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715689,0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1028597,4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723650,4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252041,0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52906,0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1129190,1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1140132,0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276955,6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1200176,3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1344167,2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1393772,9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911456,1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367673,0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1459955,6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884796,7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401828,9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1451359,7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885107,7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387086,9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1446870,2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884302,1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386863,4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1332922,9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869581,3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383341,6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1. Развитие системы дошкольного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5680095,5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3584037,7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1489451,8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422237,4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285076,1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92255,3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501466,3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346374,1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109092,2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503265,3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349735,2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104530,1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559284,3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334399,8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162684,5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608839,6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370271,6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171568,0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606060,8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384775,1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153785,7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619954,2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378219,2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174235,0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619617,4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378350,4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6289934,9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4723624,2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1146667,1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84283,0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525136,7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430415,1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89221,6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545196,1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446173,2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92108,5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548042,4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446646,2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92259,2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547127,7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431172,8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106854,9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639559,1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500138,1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123272,4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681026,5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34643,8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510537,2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125845,5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737440,2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93330,0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493646,8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140463,4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729838,9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99165,1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493797,0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126876,8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725257,3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95704,7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492909,3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126643,3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611310,0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478188,5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123121,5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513039,1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16454,8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471784,3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43757,1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6722,6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34534,5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43597,2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4780,2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36417,0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46639,1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43404,0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49190,7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46007,0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51952,3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1206,0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48446,3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53897,7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50620,5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56050,6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53167,5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55975,2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4. Финансовое обеспечение деятельности органов управления «Руководство и управление в сфере образования»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69251,8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69251,8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5. Обеспечение деятельности в области бухгалтерского и бюджетного учета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308291,1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81021,9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227269,2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5399,2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22999,3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6206,6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6621,8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26054,0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34882,3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12603,9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22278,4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34653,1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22105,5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59523,3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5620,4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53902,9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10535,5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7772,8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val="416" w:hRule="atLeast"/>
        </w:trPr>
        <w:tc>
          <w:tcPr>
            <w:tcW w:w="741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451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4" w:type="dxa"/>
            <w:tcBorders/>
            <w:shd w:fill="FFFFFF" w:val="clea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82" w:type="dxa"/>
            <w:tcBorders/>
            <w:shd w:fill="FFFFFF" w:val="clea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14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39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51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738" w:type="dxa"/>
            <w:tcBorders/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6446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главы муниципального</w:t>
            </w:r>
          </w:p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образования Кавказский район </w:t>
            </w:r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1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51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38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6446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8124" w:type="dxa"/>
            <w:gridSpan w:val="5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</w:rPr>
              <w:t>С.В. Филатова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Форма непосредственного контроля выполнения целевых показателей и периодичность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2D2D2D"/>
          <w:sz w:val="24"/>
          <w:szCs w:val="24"/>
          <w:highlight w:val="white"/>
        </w:rPr>
      </w:pPr>
      <w:r>
        <w:rPr>
          <w:rFonts w:eastAsia="Arial Unicode MS" w:cs="Times New Roman" w:ascii="Times New Roman" w:hAnsi="Times New Roman"/>
          <w:color w:val="2D2D2D"/>
          <w:sz w:val="24"/>
          <w:szCs w:val="24"/>
          <w:highlight w:val="white"/>
        </w:rPr>
      </w:r>
    </w:p>
    <w:p>
      <w:pPr>
        <w:pStyle w:val="Normal"/>
        <w:tabs>
          <w:tab w:val="clear" w:pos="408"/>
          <w:tab w:val="right" w:pos="9213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95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85"/>
        <w:gridCol w:w="5279"/>
        <w:gridCol w:w="5232"/>
        <w:gridCol w:w="3298"/>
      </w:tblGrid>
      <w:tr>
        <w:trPr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left"/>
              <w:rPr/>
            </w:pPr>
            <w:r>
              <w:rPr/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Наименование целевого показателя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Форма статистической отчетности (иной отчетности)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Периодичность сдачи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(форма 85-К)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до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15 января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года, следующего за отчетным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Информация предоставляется в МОНиМП КК о выполнении индикативного плана социально-экономического развития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ind w:left="0" w:right="45" w:hanging="0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в общеобразовательных учреждениях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Не предусмотрена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образовательных учреждений, в которых проведен текущий ремонт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создание и содержание сайта общеобразовательных учреждений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0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увеличение пропускной</w:t>
            </w:r>
          </w:p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способности и оплата Интернет – трафика до 10 М/б;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ФСН (формы ОО-2)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март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численности педагогических кадров, прошедших обучение по программам переподготовки и повышения квалификации педагогических работников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ГБОУ ДО КК «Центр развития одаренности»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1 раз в год, декабрь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охваченных горячим питанием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охват горячим питанием школьников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обучающихся, получающих начальное общее образование муниципальных образовательных организациях, получающих</w:t>
              <w:br/>
              <w:t>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Информация предоставляется по требованию МОНиМП ККК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получающих молоко и молочную продукцию 2 раза в неделю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детей, занимающихся в организациях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оснащенных организаций, в соответствии с требованиями ФГОС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педагогов дополнительного образовния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учреждений, подведомственных управлению образования и управление образования (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Мероприятие №4)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обслуживаемых учреждений, подведомственных управлению образования и управление образования (Мероприятие №5)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 обслуживаемых учреждений, подведомственных управлению образования (Мероприятие №7)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18" w:name="__DdeLink__27591_1488487457"/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  <w:bookmarkEnd w:id="18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Приложение № 4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образования»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tbl>
      <w:tblPr>
        <w:tblW w:w="15263" w:type="dxa"/>
        <w:jc w:val="left"/>
        <w:tblInd w:w="-1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1369"/>
        <w:gridCol w:w="35"/>
        <w:gridCol w:w="49"/>
        <w:gridCol w:w="1618"/>
        <w:gridCol w:w="2436"/>
        <w:gridCol w:w="3"/>
        <w:gridCol w:w="3"/>
        <w:gridCol w:w="6"/>
        <w:gridCol w:w="64"/>
        <w:gridCol w:w="4328"/>
      </w:tblGrid>
      <w:tr>
        <w:trPr>
          <w:trHeight w:val="386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>
        <w:trPr>
          <w:trHeight w:val="386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49333,2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,4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9401,2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8133,8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5617,0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u w:val="single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left="0" w:right="-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79932,9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1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270787,1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3.1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34431,5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1364,0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3048,5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педагогических 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психолого – медико – педагогической помощи.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№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2809"/>
        <w:gridCol w:w="2238"/>
        <w:gridCol w:w="3"/>
        <w:gridCol w:w="4761"/>
      </w:tblGrid>
      <w:tr>
        <w:trPr>
          <w:trHeight w:val="704" w:hRule="atLeast"/>
          <w:cantSplit w:val="true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услуги( работы)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местного бюджета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(работы)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Рублей</w:t>
            </w:r>
          </w:p>
        </w:tc>
      </w:tr>
      <w:tr>
        <w:trPr>
          <w:cantSplit w:val="true"/>
        </w:trPr>
        <w:tc>
          <w:tcPr>
            <w:tcW w:w="5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755, 0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61601,4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147225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320897,8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991575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204507,1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5762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228267,6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>
        <w:trPr>
          <w:trHeight w:val="628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 число обучающихся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48499,2</w:t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8691,8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1018828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39552,7</w:t>
            </w:r>
          </w:p>
        </w:tc>
      </w:tr>
      <w:tr>
        <w:trPr>
          <w:trHeight w:val="747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-эксплуатируемая площадь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3029,1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1601,5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2368,3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3131,7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мероприятий по поддержке одаренных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rPr>
          <w:rFonts w:ascii="Times New Roman" w:hAnsi="Times New Roman" w:eastAsia="Arial Unicode MS" w:cs="Times New Roman"/>
          <w:color w:val="000000"/>
          <w:lang w:val="en-US"/>
        </w:rPr>
      </w:pPr>
      <w:r>
        <w:rPr>
          <w:rFonts w:eastAsia="Arial Unicode MS" w:cs="Times New Roman" w:ascii="Times New Roman" w:hAnsi="Times New Roman"/>
          <w:color w:val="000000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«Развитие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tbl>
      <w:tblPr>
        <w:tblW w:w="15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33"/>
        <w:gridCol w:w="849"/>
        <w:gridCol w:w="2229"/>
        <w:gridCol w:w="1556"/>
        <w:gridCol w:w="1829"/>
        <w:gridCol w:w="65"/>
        <w:gridCol w:w="1488"/>
        <w:gridCol w:w="70"/>
        <w:gridCol w:w="1195"/>
        <w:gridCol w:w="56"/>
        <w:gridCol w:w="1054"/>
        <w:gridCol w:w="56"/>
        <w:gridCol w:w="1216"/>
      </w:tblGrid>
      <w:tr>
        <w:trPr/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п/п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Статус </w:t>
            </w:r>
            <w:r>
              <w:rPr>
                <w:rStyle w:val="Style10"/>
                <w:rFonts w:cs="Times New Roman"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Ответственный за реализацию мероприятия,выполнение контрольное событие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Срок реализации мероприятия, дата контрольного события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4)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Поквартальное распределение прогноза кассовых выплат, тыс.рублей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5)</w:t>
            </w:r>
          </w:p>
        </w:tc>
      </w:tr>
      <w:tr>
        <w:trPr/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 кв.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 кв.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III кв.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IV кв.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Основные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....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Подпрограмма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408"/>
          <w:tab w:val="left" w:pos="3600" w:leader="none"/>
          <w:tab w:val="left" w:pos="11460" w:leader="none"/>
        </w:tabs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140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65"/>
        <w:gridCol w:w="1505"/>
        <w:gridCol w:w="4159"/>
        <w:gridCol w:w="2810"/>
        <w:gridCol w:w="1783"/>
      </w:tblGrid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1"/>
              <w:widowControl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</w:t>
              <w:br/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программы: "Развитие образования"</w:t>
            </w:r>
          </w:p>
        </w:tc>
      </w:tr>
      <w:tr>
        <w:trPr/>
        <w:tc>
          <w:tcPr>
            <w:tcW w:w="14078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 значение показателя на отчетную дату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Приложение № 7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472"/>
        <w:gridCol w:w="1276"/>
        <w:gridCol w:w="757"/>
        <w:gridCol w:w="1115"/>
        <w:gridCol w:w="1117"/>
        <w:gridCol w:w="1124"/>
        <w:gridCol w:w="976"/>
        <w:gridCol w:w="849"/>
        <w:gridCol w:w="100"/>
        <w:gridCol w:w="878"/>
        <w:gridCol w:w="101"/>
        <w:gridCol w:w="715"/>
        <w:gridCol w:w="112"/>
        <w:gridCol w:w="876"/>
      </w:tblGrid>
      <w:tr>
        <w:trPr/>
        <w:tc>
          <w:tcPr>
            <w:tcW w:w="14947" w:type="dxa"/>
            <w:gridSpan w:val="15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  <w:br/>
              <w:t>об объекте капитального строительства</w:t>
            </w:r>
          </w:p>
        </w:tc>
      </w:tr>
      <w:tr>
        <w:trPr>
          <w:trHeight w:val="738" w:hRule="atLeast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>
        <w:trPr/>
        <w:tc>
          <w:tcPr>
            <w:tcW w:w="12265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8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д\с № 26 ст. Казанская муниципального образования Кавказский район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мест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2016 года</w:t>
            </w:r>
          </w:p>
        </w:tc>
      </w:tr>
      <w:tr>
        <w:trPr/>
        <w:tc>
          <w:tcPr>
            <w:tcW w:w="12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 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 в 2014 году – 267.4 тысячи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 Unicode MS">
    <w:charset w:val="cc"/>
    <w:family w:val="roman"/>
    <w:pitch w:val="variable"/>
  </w:font>
  <w:font w:name="Andale Sans UI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sz w:val="28"/>
        <w:b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lvl w:ilvl="0">
      <w:start w:val="1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lvl w:ilvl="0">
      <w:start w:val="1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lvl w:ilvl="0">
      <w:start w:val="1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lvl w:ilvl="0">
      <w:start w:val="1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lvl w:ilvl="0">
      <w:start w:val="1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lvl w:ilvl="0">
      <w:start w:val="1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lvl w:ilvl="0">
      <w:start w:val="2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lvl w:ilvl="0">
      <w:start w:val="2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lvl w:ilvl="0">
      <w:start w:val="2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lvl w:ilvl="0">
      <w:start w:val="2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lvl w:ilvl="0">
      <w:start w:val="2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lvl w:ilvl="0">
      <w:start w:val="2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lvl w:ilvl="0">
      <w:start w:val="2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lvl w:ilvl="0">
      <w:start w:val="3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lvl w:ilvl="0">
      <w:start w:val="3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lvl w:ilvl="0">
      <w:start w:val="3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lvl w:ilvl="0">
      <w:start w:val="3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lvl w:ilvl="0">
      <w:start w:val="3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lvl w:ilvl="0">
      <w:start w:val="3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lvl w:ilvl="0">
      <w:start w:val="3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lvl w:ilvl="0">
      <w:start w:val="3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lvl w:ilvl="0">
      <w:start w:val="3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lvl w:ilvl="0">
      <w:start w:val="3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lvl w:ilvl="0">
      <w:start w:val="4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lvl w:ilvl="0">
      <w:start w:val="4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lvl w:ilvl="0">
      <w:start w:val="4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8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576" w:right="0" w:hanging="576"/>
      <w:outlineLvl w:val="1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720" w:right="0" w:hanging="720"/>
      <w:outlineLvl w:val="2"/>
    </w:pPr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864" w:right="0" w:hanging="864"/>
      <w:outlineLvl w:val="3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0">
    <w:name w:val="Гипертекстовая ссылка"/>
    <w:basedOn w:val="DefaultParagraphFont"/>
    <w:qFormat/>
    <w:rPr>
      <w:color w:val="106BBE"/>
    </w:rPr>
  </w:style>
  <w:style w:type="character" w:styleId="Style11">
    <w:name w:val="Цветовое выделение"/>
    <w:qFormat/>
    <w:rPr>
      <w:b/>
      <w:bCs/>
      <w:color w:val="26282F"/>
    </w:rPr>
  </w:style>
  <w:style w:type="character" w:styleId="WW8Num1z1">
    <w:name w:val="WW8Num1z1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b/>
      <w:sz w:val="28"/>
      <w:szCs w:val="28"/>
    </w:rPr>
  </w:style>
  <w:style w:type="character" w:styleId="13">
    <w:name w:val="Основной шрифт абзаца13"/>
    <w:qFormat/>
    <w:rPr/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12">
    <w:name w:val="Основной шрифт абзаца1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0">
    <w:name w:val="WW8Num7z0"/>
    <w:qFormat/>
    <w:rPr>
      <w:rFonts w:ascii="Symbol" w:hAnsi="Symbol" w:cs="Symbol"/>
      <w:sz w:val="28"/>
      <w:szCs w:val="28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8">
    <w:name w:val="Основной шрифт абзаца8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Знак"/>
    <w:qFormat/>
    <w:rPr>
      <w:rFonts w:eastAsia="Andale Sans UI"/>
      <w:kern w:val="2"/>
      <w:sz w:val="24"/>
      <w:szCs w:val="24"/>
    </w:rPr>
  </w:style>
  <w:style w:type="character" w:styleId="WW">
    <w:name w:val="WW- Знак"/>
    <w:qFormat/>
    <w:rPr>
      <w:rFonts w:eastAsia="Andale Sans UI"/>
      <w:kern w:val="2"/>
      <w:sz w:val="24"/>
      <w:szCs w:val="24"/>
    </w:rPr>
  </w:style>
  <w:style w:type="character" w:styleId="WW1">
    <w:name w:val="WW- Знак1"/>
    <w:qFormat/>
    <w:rPr>
      <w:b/>
      <w:bCs/>
      <w:sz w:val="36"/>
      <w:szCs w:val="36"/>
    </w:rPr>
  </w:style>
  <w:style w:type="character" w:styleId="WW12">
    <w:name w:val="WW- Знак12"/>
    <w:qFormat/>
    <w:rPr>
      <w:b/>
      <w:bCs/>
      <w:sz w:val="27"/>
      <w:szCs w:val="27"/>
    </w:rPr>
  </w:style>
  <w:style w:type="character" w:styleId="WW123">
    <w:name w:val="WW- Знак123"/>
    <w:qFormat/>
    <w:rPr>
      <w:b/>
      <w:bCs/>
      <w:sz w:val="24"/>
      <w:szCs w:val="24"/>
    </w:rPr>
  </w:style>
  <w:style w:type="character" w:styleId="7">
    <w:name w:val="Основной шрифт абзаца7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32">
    <w:name w:val="Основной шрифт абзаца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14">
    <w:name w:val="Основной шрифт абзаца1"/>
    <w:qFormat/>
    <w:rPr/>
  </w:style>
  <w:style w:type="character" w:styleId="Appleconvertedspace">
    <w:name w:val="apple-converted-space"/>
    <w:qFormat/>
    <w:rPr/>
  </w:style>
  <w:style w:type="character" w:styleId="15">
    <w:name w:val="Знак примечания1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WW1234">
    <w:name w:val="WW- Знак1234"/>
    <w:qFormat/>
    <w:rPr>
      <w:rFonts w:ascii="Tahoma" w:hAnsi="Tahoma" w:eastAsia="Calibri" w:cs="Tahoma"/>
      <w:sz w:val="16"/>
      <w:szCs w:val="16"/>
    </w:rPr>
  </w:style>
  <w:style w:type="character" w:styleId="WW12345">
    <w:name w:val="WW- Знак12345"/>
    <w:qFormat/>
    <w:rPr>
      <w:rFonts w:eastAsia="Andale Sans UI"/>
      <w:kern w:val="2"/>
    </w:rPr>
  </w:style>
  <w:style w:type="character" w:styleId="WW123456">
    <w:name w:val="WW- Знак123456"/>
    <w:qFormat/>
    <w:rPr>
      <w:rFonts w:ascii="Calibri" w:hAnsi="Calibri" w:eastAsia="Calibri" w:cs="Calibri"/>
      <w:b/>
      <w:bCs/>
      <w:kern w:val="2"/>
    </w:rPr>
  </w:style>
  <w:style w:type="character" w:styleId="WW1234567">
    <w:name w:val="WW- Знак1234567"/>
    <w:qFormat/>
    <w:rPr>
      <w:rFonts w:ascii="Courier New" w:hAnsi="Courier New" w:cs="Courier New"/>
    </w:rPr>
  </w:style>
  <w:style w:type="character" w:styleId="51">
    <w:name w:val="Знак Знак5"/>
    <w:qFormat/>
    <w:rPr>
      <w:rFonts w:eastAsia="Andale Sans UI"/>
      <w:kern w:val="2"/>
      <w:sz w:val="24"/>
      <w:szCs w:val="24"/>
    </w:rPr>
  </w:style>
  <w:style w:type="character" w:styleId="16">
    <w:name w:val="Заголовок №1_ Знак"/>
    <w:qFormat/>
    <w:rPr>
      <w:sz w:val="22"/>
      <w:szCs w:val="22"/>
      <w:highlight w:val="white"/>
    </w:rPr>
  </w:style>
  <w:style w:type="character" w:styleId="Style19">
    <w:name w:val="Колонтитул_ Знак"/>
    <w:qFormat/>
    <w:rPr>
      <w:highlight w:val="white"/>
      <w:lang w:val="ru-RU" w:eastAsia="ru-RU"/>
    </w:rPr>
  </w:style>
  <w:style w:type="character" w:styleId="Style20">
    <w:name w:val="Колонтитул"/>
    <w:qFormat/>
    <w:rPr/>
  </w:style>
  <w:style w:type="character" w:styleId="61">
    <w:name w:val="Знак Знак6"/>
    <w:qFormat/>
    <w:rPr>
      <w:rFonts w:eastAsia="Andale Sans UI"/>
      <w:kern w:val="2"/>
      <w:sz w:val="24"/>
      <w:szCs w:val="24"/>
    </w:rPr>
  </w:style>
  <w:style w:type="character" w:styleId="Style21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styleId="Style22">
    <w:name w:val="Знак Знак"/>
    <w:qFormat/>
    <w:rPr>
      <w:rFonts w:ascii="Arial Unicode MS" w:hAnsi="Arial Unicode MS" w:eastAsia="Arial Unicode MS" w:cs="Arial Unicode MS"/>
      <w:color w:val="000000"/>
    </w:rPr>
  </w:style>
  <w:style w:type="character" w:styleId="9">
    <w:name w:val="Знак Знак9"/>
    <w:qFormat/>
    <w:rPr>
      <w:b/>
      <w:bCs/>
      <w:kern w:val="2"/>
      <w:sz w:val="36"/>
      <w:szCs w:val="36"/>
    </w:rPr>
  </w:style>
  <w:style w:type="character" w:styleId="81">
    <w:name w:val="Знак Знак8"/>
    <w:qFormat/>
    <w:rPr>
      <w:b/>
      <w:bCs/>
      <w:kern w:val="2"/>
      <w:sz w:val="27"/>
      <w:szCs w:val="27"/>
    </w:rPr>
  </w:style>
  <w:style w:type="character" w:styleId="71">
    <w:name w:val="Знак Знак7"/>
    <w:qFormat/>
    <w:rPr>
      <w:b/>
      <w:bCs/>
      <w:kern w:val="2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3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styleId="111">
    <w:name w:val="Основной шрифт абзаца11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10">
    <w:name w:val="Основной шрифт абзаца10"/>
    <w:qFormat/>
    <w:rPr/>
  </w:style>
  <w:style w:type="character" w:styleId="17">
    <w:name w:val="Верхний колонтитул Знак1"/>
    <w:qFormat/>
    <w:rPr>
      <w:rFonts w:ascii="Andale Sans UI" w:hAnsi="Andale Sans UI" w:eastAsia="Andale Sans UI" w:cs="Andale Sans UI"/>
      <w:kern w:val="2"/>
      <w:sz w:val="24"/>
      <w:szCs w:val="24"/>
    </w:rPr>
  </w:style>
  <w:style w:type="character" w:styleId="91">
    <w:name w:val="Основной шрифт абзаца9"/>
    <w:qFormat/>
    <w:rPr/>
  </w:style>
  <w:style w:type="character" w:styleId="18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styleId="23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styleId="43">
    <w:name w:val="Знак Знак4"/>
    <w:qFormat/>
    <w:rPr>
      <w:rFonts w:eastAsia="Andale Sans UI"/>
      <w:kern w:val="2"/>
      <w:sz w:val="24"/>
      <w:szCs w:val="24"/>
    </w:rPr>
  </w:style>
  <w:style w:type="character" w:styleId="34">
    <w:name w:val="Знак Знак3"/>
    <w:qFormat/>
    <w:rPr>
      <w:rFonts w:ascii="Tahoma" w:hAnsi="Tahoma" w:eastAsia="Calibri" w:cs="Tahoma"/>
      <w:kern w:val="2"/>
      <w:sz w:val="16"/>
      <w:szCs w:val="16"/>
    </w:rPr>
  </w:style>
  <w:style w:type="character" w:styleId="24">
    <w:name w:val="Текст примечания Знак2"/>
    <w:qFormat/>
    <w:rPr>
      <w:rFonts w:eastAsia="Andale Sans UI"/>
      <w:kern w:val="2"/>
      <w:lang w:eastAsia="zh-CN"/>
    </w:rPr>
  </w:style>
  <w:style w:type="character" w:styleId="25">
    <w:name w:val="Знак Знак2"/>
    <w:qFormat/>
    <w:rPr>
      <w:rFonts w:ascii="Calibri" w:hAnsi="Calibri" w:eastAsia="Calibri" w:cs="Calibri"/>
      <w:b/>
      <w:bCs/>
      <w:kern w:val="2"/>
    </w:rPr>
  </w:style>
  <w:style w:type="character" w:styleId="19">
    <w:name w:val="Знак Знак1"/>
    <w:qFormat/>
    <w:rPr>
      <w:rFonts w:ascii="Courier New" w:hAnsi="Courier New" w:cs="Courier New"/>
      <w:kern w:val="2"/>
    </w:rPr>
  </w:style>
  <w:style w:type="character" w:styleId="Style24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25">
    <w:name w:val="Верхний колонтитул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0">
    <w:name w:val="Нижний колонтитул Знак1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2">
    <w:name w:val="Текст выноски Знак1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113">
    <w:name w:val="Текст примечания Знак1"/>
    <w:basedOn w:val="DefaultParagraphFont"/>
    <w:qFormat/>
    <w:rPr>
      <w:sz w:val="20"/>
      <w:szCs w:val="20"/>
    </w:rPr>
  </w:style>
  <w:style w:type="character" w:styleId="114">
    <w:name w:val="Тема примечания Знак1"/>
    <w:basedOn w:val="113"/>
    <w:qFormat/>
    <w:rPr>
      <w:rFonts w:ascii="Calibri" w:hAnsi="Calibri" w:eastAsia="Calibri" w:cs="Times New Roman"/>
      <w:b/>
      <w:bCs/>
      <w:kern w:val="2"/>
      <w:sz w:val="20"/>
      <w:szCs w:val="20"/>
      <w:lang w:eastAsia="zh-CN"/>
    </w:rPr>
  </w:style>
  <w:style w:type="character" w:styleId="HTML1">
    <w:name w:val="Стандартный HTML Знак1"/>
    <w:basedOn w:val="DefaultParagraphFont"/>
    <w:qFormat/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character" w:styleId="141">
    <w:name w:val="Основной шрифт абзаца14"/>
    <w:qFormat/>
    <w:rPr/>
  </w:style>
  <w:style w:type="character" w:styleId="35">
    <w:name w:val="Верхний колонтитул Знак3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51">
    <w:name w:val="Основной шрифт абзаца15"/>
    <w:qFormat/>
    <w:rPr/>
  </w:style>
  <w:style w:type="character" w:styleId="26">
    <w:name w:val="Основной текст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44">
    <w:name w:val="Верхний колонтитул Знак4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7">
    <w:name w:val="Нижний колонтитул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8">
    <w:name w:val="Текст выноски Знак2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36">
    <w:name w:val="Текст примечания Знак3"/>
    <w:basedOn w:val="DefaultParagraphFont"/>
    <w:qFormat/>
    <w:rPr>
      <w:rFonts w:eastAsia="Andale Sans UI"/>
      <w:kern w:val="2"/>
      <w:lang w:eastAsia="zh-CN"/>
    </w:rPr>
  </w:style>
  <w:style w:type="character" w:styleId="29">
    <w:name w:val="Тема примечания Знак2"/>
    <w:basedOn w:val="36"/>
    <w:qFormat/>
    <w:rPr>
      <w:rFonts w:ascii="Calibri" w:hAnsi="Calibri" w:eastAsia="Calibri"/>
      <w:b/>
      <w:bCs/>
      <w:kern w:val="2"/>
      <w:lang w:eastAsia="zh-CN"/>
    </w:rPr>
  </w:style>
  <w:style w:type="character" w:styleId="HTML2">
    <w:name w:val="Стандартный HTML Знак2"/>
    <w:basedOn w:val="DefaultParagraphFont"/>
    <w:qFormat/>
    <w:rPr>
      <w:rFonts w:ascii="Courier New" w:hAnsi="Courier New" w:cs="Courier New"/>
      <w:kern w:val="2"/>
      <w:lang w:eastAsia="zh-CN"/>
    </w:rPr>
  </w:style>
  <w:style w:type="character" w:styleId="161">
    <w:name w:val="Основной шрифт абзаца16"/>
    <w:qFormat/>
    <w:rPr/>
  </w:style>
  <w:style w:type="character" w:styleId="171">
    <w:name w:val="Основной шрифт абзаца17"/>
    <w:qFormat/>
    <w:rPr/>
  </w:style>
  <w:style w:type="character" w:styleId="181">
    <w:name w:val="Основной шрифт абзаца18"/>
    <w:qFormat/>
    <w:rPr/>
  </w:style>
  <w:style w:type="character" w:styleId="20">
    <w:name w:val="Основной шрифт абзаца20"/>
    <w:qFormat/>
    <w:rPr/>
  </w:style>
  <w:style w:type="character" w:styleId="191">
    <w:name w:val="Основной шрифт абзаца19"/>
    <w:qFormat/>
    <w:rPr/>
  </w:style>
  <w:style w:type="character" w:styleId="211">
    <w:name w:val="Основной шрифт абзаца21"/>
    <w:qFormat/>
    <w:rPr/>
  </w:style>
  <w:style w:type="character" w:styleId="221">
    <w:name w:val="Основной шрифт абзаца22"/>
    <w:qFormat/>
    <w:rPr/>
  </w:style>
  <w:style w:type="character" w:styleId="Style26">
    <w:name w:val="Название Знак"/>
    <w:basedOn w:val="DefaultParagraphFont"/>
    <w:qFormat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Style27">
    <w:name w:val="Подзаголовок Знак"/>
    <w:basedOn w:val="DefaultParagraphFont"/>
    <w:qFormat/>
    <w:rPr>
      <w:rFonts w:ascii="Arial" w:hAnsi="Arial" w:eastAsia="Andale Sans UI" w:cs="Tahoma"/>
      <w:kern w:val="2"/>
      <w:sz w:val="36"/>
      <w:szCs w:val="36"/>
      <w:lang w:eastAsia="zh-CN"/>
    </w:rPr>
  </w:style>
  <w:style w:type="character" w:styleId="Style28">
    <w:name w:val="Посещённая гиперссылка"/>
    <w:rPr>
      <w:color w:val="800080"/>
      <w:u w:val="single"/>
    </w:rPr>
  </w:style>
  <w:style w:type="character" w:styleId="Style29">
    <w:name w:val="Символ сноски"/>
    <w:qFormat/>
    <w:rPr/>
  </w:style>
  <w:style w:type="character" w:styleId="Style30">
    <w:name w:val="Привязка сноски"/>
    <w:rPr>
      <w:vertAlign w:val="superscript"/>
    </w:rPr>
  </w:style>
  <w:style w:type="paragraph" w:styleId="Style31">
    <w:name w:val="Заголовок"/>
    <w:basedOn w:val="Normal"/>
    <w:next w:val="Style32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  <w:lang w:eastAsia="zh-CN"/>
    </w:rPr>
  </w:style>
  <w:style w:type="paragraph" w:styleId="Style32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33">
    <w:name w:val="List"/>
    <w:basedOn w:val="Style32"/>
    <w:pPr/>
    <w:rPr>
      <w:rFonts w:cs="Tahoma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Arial"/>
    </w:rPr>
  </w:style>
  <w:style w:type="paragraph" w:styleId="Style36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 w:hanging="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styleId="Style3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38">
    <w:name w:val="Подзаголовок для информации об изменениях"/>
    <w:basedOn w:val="Normal"/>
    <w:next w:val="Normal"/>
    <w:qFormat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9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40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right="0" w:hanging="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styleId="Style41">
    <w:name w:val="Информация об изменениях документа"/>
    <w:basedOn w:val="Style40"/>
    <w:next w:val="Normal"/>
    <w:qFormat/>
    <w:pPr/>
    <w:rPr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31">
    <w:name w:val="Указатель13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52">
    <w:name w:val="Название объекта5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21">
    <w:name w:val="Указатель1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2">
    <w:name w:val="Название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83">
    <w:name w:val="Указатель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5">
    <w:name w:val="Название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Tahoma"/>
      <w:i/>
      <w:iCs/>
      <w:kern w:val="2"/>
      <w:sz w:val="24"/>
      <w:szCs w:val="24"/>
      <w:lang w:eastAsia="zh-CN"/>
    </w:rPr>
  </w:style>
  <w:style w:type="paragraph" w:styleId="116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Style42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3">
    <w:name w:val="Заголовок таблицы"/>
    <w:basedOn w:val="Style42"/>
    <w:qFormat/>
    <w:pPr>
      <w:jc w:val="center"/>
    </w:pPr>
    <w:rPr>
      <w:b/>
      <w:bCs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6">
    <w:name w:val="Foot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72">
    <w:name w:val="Название7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73">
    <w:name w:val="Указатель7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62">
    <w:name w:val="Название6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63">
    <w:name w:val="Указатель6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53">
    <w:name w:val="Название5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54">
    <w:name w:val="Указатель5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45">
    <w:name w:val="Название4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46">
    <w:name w:val="Указатель4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37">
    <w:name w:val="Название3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38">
    <w:name w:val="Указатель3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210">
    <w:name w:val="Название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212">
    <w:name w:val="Указатель2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  <w:kern w:val="2"/>
      <w:lang w:eastAsia="zh-CN"/>
    </w:rPr>
  </w:style>
  <w:style w:type="paragraph" w:styleId="ConsPlusCell">
    <w:name w:val="ConsPlusCel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>
    <w:name w:val="Текст примечания1"/>
    <w:basedOn w:val="Normal"/>
    <w:qFormat/>
    <w:pPr>
      <w:suppressAutoHyphens w:val="true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213">
    <w:name w:val="Текст примечания2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9">
    <w:name w:val="Текст примечания3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117"/>
    <w:next w:val="117"/>
    <w:qFormat/>
    <w:pPr/>
    <w:rPr>
      <w:rFonts w:cs="Times New Roman"/>
      <w:b/>
      <w:bCs/>
    </w:rPr>
  </w:style>
  <w:style w:type="paragraph" w:styleId="ConsTitle">
    <w:name w:val="ConsTitle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uppressAutoHyphens w:val="true"/>
      <w:spacing w:lineRule="exact" w:line="240" w:before="0" w:after="16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uppressAutoHyphens w:val="true"/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kern w:val="2"/>
      <w:sz w:val="16"/>
      <w:szCs w:val="16"/>
      <w:lang w:val="en-US"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1">
    <w:name w:val="s_1"/>
    <w:basedOn w:val="Normal"/>
    <w:qFormat/>
    <w:pPr>
      <w:spacing w:lineRule="auto" w:line="240" w:before="0" w:after="0"/>
      <w:ind w:left="0" w:right="0" w:firstLine="720"/>
      <w:jc w:val="both"/>
    </w:pPr>
    <w:rPr>
      <w:rFonts w:ascii="Arial" w:hAnsi="Arial" w:eastAsia="Times New Roman" w:cs="Arial"/>
      <w:kern w:val="2"/>
      <w:sz w:val="26"/>
      <w:szCs w:val="26"/>
      <w:lang w:eastAsia="zh-CN"/>
    </w:rPr>
  </w:style>
  <w:style w:type="paragraph" w:styleId="118">
    <w:name w:val="Название объекта1"/>
    <w:basedOn w:val="Normal"/>
    <w:next w:val="Normal"/>
    <w:qFormat/>
    <w:pPr>
      <w:spacing w:lineRule="auto" w:line="240" w:before="0" w:after="0"/>
      <w:jc w:val="right"/>
    </w:pPr>
    <w:rPr>
      <w:rFonts w:ascii="Times New Roman" w:hAnsi="Times New Roman" w:eastAsia="Calibri" w:cs="Times New Roman"/>
      <w:kern w:val="2"/>
      <w:sz w:val="28"/>
      <w:szCs w:val="20"/>
      <w:lang w:eastAsia="zh-CN"/>
    </w:rPr>
  </w:style>
  <w:style w:type="paragraph" w:styleId="Style47">
    <w:name w:val="Содержимое врезки"/>
    <w:basedOn w:val="Style32"/>
    <w:qFormat/>
    <w:pPr/>
    <w:rPr/>
  </w:style>
  <w:style w:type="paragraph" w:styleId="119">
    <w:name w:val="Заголовок №1_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Style48">
    <w:name w:val="Колонтитул_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55">
    <w:name w:val="Текст примечания5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47">
    <w:name w:val="Название объекта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110">
    <w:name w:val="Указатель1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310">
    <w:name w:val="Название объекта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01">
    <w:name w:val="Указатель1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48">
    <w:name w:val="Текст примечания4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214">
    <w:name w:val="Название объекта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92">
    <w:name w:val="Указатель9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Formattexttopleveltext">
    <w:name w:val="formattext topleveltex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20">
    <w:name w:val="Заголовок №1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Andale Sans UI" w:cs="Times New Roman"/>
      <w:b/>
      <w:bCs/>
      <w:kern w:val="2"/>
      <w:lang w:eastAsia="zh-CN"/>
    </w:rPr>
  </w:style>
  <w:style w:type="paragraph" w:styleId="122">
    <w:name w:val="Колонтитул1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142">
    <w:name w:val="Указатель14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64">
    <w:name w:val="Название объекта6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52">
    <w:name w:val="Указатель15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74">
    <w:name w:val="Название объекта7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65">
    <w:name w:val="Текст примечания6"/>
    <w:basedOn w:val="Normal"/>
    <w:qFormat/>
    <w:pPr>
      <w:spacing w:lineRule="auto" w:line="240"/>
    </w:pPr>
    <w:rPr>
      <w:rFonts w:ascii="Calibri" w:hAnsi="Calibri" w:eastAsia="Times New Roman" w:cs="Times New Roman"/>
      <w:kern w:val="2"/>
      <w:sz w:val="20"/>
      <w:szCs w:val="20"/>
      <w:lang w:eastAsia="zh-CN"/>
    </w:rPr>
  </w:style>
  <w:style w:type="paragraph" w:styleId="Style49">
    <w:name w:val="Блочная цитата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162">
    <w:name w:val="Указатель16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72">
    <w:name w:val="Указатель17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93">
    <w:name w:val="Название объекта9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82">
    <w:name w:val="Указатель1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02">
    <w:name w:val="Название объекта10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01">
    <w:name w:val="Указатель2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23">
    <w:name w:val="Название объекта12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92">
    <w:name w:val="Указатель19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11">
    <w:name w:val="Название объекта1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15">
    <w:name w:val="Указатель2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32">
    <w:name w:val="Название объекта1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22">
    <w:name w:val="Указатель2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43">
    <w:name w:val="Название объекта1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Style50">
    <w:name w:val="Title"/>
    <w:basedOn w:val="Style31"/>
    <w:next w:val="Style32"/>
    <w:qFormat/>
    <w:pPr>
      <w:jc w:val="center"/>
    </w:pPr>
    <w:rPr>
      <w:b/>
      <w:bCs/>
      <w:sz w:val="56"/>
      <w:szCs w:val="56"/>
    </w:rPr>
  </w:style>
  <w:style w:type="paragraph" w:styleId="Style51">
    <w:name w:val="Subtitle"/>
    <w:basedOn w:val="Style31"/>
    <w:next w:val="Style32"/>
    <w:qFormat/>
    <w:pPr>
      <w:spacing w:before="60" w:after="120"/>
      <w:jc w:val="center"/>
    </w:pPr>
    <w:rPr>
      <w:sz w:val="36"/>
      <w:szCs w:val="36"/>
    </w:rPr>
  </w:style>
  <w:style w:type="paragraph" w:styleId="Style5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53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>
    <w:name w:val="No List"/>
    <w:qFormat/>
  </w:style>
  <w:style w:type="numbering" w:styleId="124">
    <w:name w:val="Нет списка1"/>
    <w:qFormat/>
  </w:style>
  <w:style w:type="numbering" w:styleId="216">
    <w:name w:val="Нет списка2"/>
    <w:qFormat/>
  </w:style>
  <w:style w:type="numbering" w:styleId="312">
    <w:name w:val="Нет списка3"/>
    <w:qFormat/>
  </w:style>
  <w:style w:type="numbering" w:styleId="49">
    <w:name w:val="Нет списка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070946.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Application>LibreOffice/6.3.2.2$Windows_x86 LibreOffice_project/98b30e735bda24bc04ab42594c85f7fd8be07b9c</Application>
  <Pages>91</Pages>
  <Words>17801</Words>
  <Characters>115423</Characters>
  <CharactersWithSpaces>128018</CharactersWithSpaces>
  <Paragraphs>7158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2018-12-10T11:05:00Z</dcterms:created>
  <dc:creator>skrebchova</dc:creator>
  <dc:description/>
  <dc:language>ru-RU</dc:language>
  <cp:lastModifiedBy/>
  <cp:lastPrinted>2020-12-15T12:17:00Z</cp:lastPrinted>
  <dcterms:modified xsi:type="dcterms:W3CDTF">2021-03-29T15:38:21Z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