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B3733F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</w:t>
      </w:r>
      <w:r w:rsidR="00B3733F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18 февраля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22 июня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B3733F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r w:rsidR="00B3733F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августа 2016</w:t>
      </w:r>
      <w:r w:rsidR="00B3733F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 октября 2018года</w:t>
      </w:r>
      <w:r w:rsidR="0066549E" w:rsidRPr="00BB48D8">
        <w:rPr>
          <w:b w:val="0"/>
          <w:szCs w:val="28"/>
        </w:rPr>
        <w:t xml:space="preserve">,25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F0675C">
        <w:rPr>
          <w:b w:val="0"/>
          <w:szCs w:val="28"/>
        </w:rPr>
        <w:t>,19 февраля 2020 года</w:t>
      </w:r>
      <w:r w:rsidR="003E08D1">
        <w:rPr>
          <w:b w:val="0"/>
          <w:szCs w:val="28"/>
        </w:rPr>
        <w:t>, 20 апреля 2020 года</w:t>
      </w:r>
      <w:r w:rsidR="00FC0204">
        <w:rPr>
          <w:b w:val="0"/>
          <w:szCs w:val="28"/>
        </w:rPr>
        <w:t>, 19 июня 2020 года</w:t>
      </w:r>
      <w:r w:rsidR="006E3A15">
        <w:rPr>
          <w:b w:val="0"/>
          <w:szCs w:val="28"/>
        </w:rPr>
        <w:t xml:space="preserve">, </w:t>
      </w:r>
      <w:r w:rsidR="006A7362">
        <w:rPr>
          <w:b w:val="0"/>
          <w:szCs w:val="28"/>
        </w:rPr>
        <w:t xml:space="preserve">19 </w:t>
      </w:r>
      <w:r w:rsidR="00B3733F">
        <w:rPr>
          <w:b w:val="0"/>
          <w:szCs w:val="28"/>
        </w:rPr>
        <w:t xml:space="preserve">ноября </w:t>
      </w:r>
      <w:r w:rsidR="006A7362">
        <w:rPr>
          <w:b w:val="0"/>
          <w:szCs w:val="28"/>
        </w:rPr>
        <w:t>2020</w:t>
      </w:r>
      <w:r w:rsidR="007042C7">
        <w:rPr>
          <w:b w:val="0"/>
          <w:szCs w:val="28"/>
        </w:rPr>
        <w:t xml:space="preserve"> года</w:t>
      </w:r>
      <w:r w:rsidR="006A7362">
        <w:rPr>
          <w:b w:val="0"/>
          <w:szCs w:val="28"/>
        </w:rPr>
        <w:t xml:space="preserve">, </w:t>
      </w:r>
      <w:r w:rsidR="00B3733F">
        <w:rPr>
          <w:b w:val="0"/>
          <w:szCs w:val="28"/>
        </w:rPr>
        <w:t xml:space="preserve"> </w:t>
      </w:r>
      <w:r w:rsidR="006A7362">
        <w:rPr>
          <w:b w:val="0"/>
          <w:szCs w:val="28"/>
        </w:rPr>
        <w:t>21 декабря 2020</w:t>
      </w:r>
      <w:r w:rsidR="007042C7">
        <w:rPr>
          <w:b w:val="0"/>
          <w:szCs w:val="28"/>
        </w:rPr>
        <w:t xml:space="preserve"> года</w:t>
      </w:r>
      <w:r w:rsidR="00D73EE9">
        <w:rPr>
          <w:b w:val="0"/>
          <w:szCs w:val="28"/>
        </w:rPr>
        <w:t>, 19 февраля 2021 года</w:t>
      </w:r>
      <w:r w:rsidRPr="00BB48D8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«Централизованная бухгалтерия образования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число детей-сирот, детей, оставшихся без попечения родителей, находящихся под опекой </w:t>
            </w:r>
            <w:r>
              <w:lastRenderedPageBreak/>
              <w:t>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lastRenderedPageBreak/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lastRenderedPageBreak/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3E08D1" w:rsidRPr="00E216EE" w:rsidTr="006D14CA">
        <w:trPr>
          <w:trHeight w:val="863"/>
        </w:trPr>
        <w:tc>
          <w:tcPr>
            <w:tcW w:w="3792" w:type="dxa"/>
          </w:tcPr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3E08D1" w:rsidRPr="008B634A" w:rsidRDefault="003E08D1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1674EE" w:rsidRPr="00BC3CAB" w:rsidRDefault="001674EE" w:rsidP="001674EE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Общий объем финансирования муниципальной программы составляет –1 745 412,9 тыс. руб., в том числе:</w:t>
            </w:r>
          </w:p>
          <w:p w:rsidR="001674EE" w:rsidRPr="00BC3CAB" w:rsidRDefault="001674EE" w:rsidP="001674EE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из средств федерального бюджета</w:t>
            </w:r>
            <w:r>
              <w:rPr>
                <w:szCs w:val="28"/>
              </w:rPr>
              <w:t xml:space="preserve"> </w:t>
            </w:r>
            <w:r w:rsidRPr="00BC3CAB">
              <w:rPr>
                <w:szCs w:val="28"/>
              </w:rPr>
              <w:t xml:space="preserve">– </w:t>
            </w:r>
            <w:r w:rsidRPr="00BC3CAB">
              <w:rPr>
                <w:bCs/>
              </w:rPr>
              <w:t>95 821,0</w:t>
            </w:r>
            <w:r>
              <w:rPr>
                <w:bCs/>
              </w:rPr>
              <w:t xml:space="preserve"> </w:t>
            </w:r>
            <w:r w:rsidRPr="00BC3CAB">
              <w:rPr>
                <w:szCs w:val="28"/>
              </w:rPr>
              <w:t>тыс. руб.;</w:t>
            </w:r>
          </w:p>
          <w:p w:rsidR="001674EE" w:rsidRPr="00BC3CAB" w:rsidRDefault="001674EE" w:rsidP="001674EE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из средств  краевого бюджета –</w:t>
            </w:r>
            <w:r w:rsidRPr="00BC3CAB">
              <w:rPr>
                <w:bCs/>
              </w:rPr>
              <w:t>1602 896,7</w:t>
            </w:r>
            <w:r>
              <w:rPr>
                <w:bCs/>
              </w:rPr>
              <w:t xml:space="preserve"> </w:t>
            </w:r>
            <w:r w:rsidRPr="00BC3CAB">
              <w:rPr>
                <w:szCs w:val="28"/>
              </w:rPr>
              <w:t xml:space="preserve">тыс. руб.; </w:t>
            </w:r>
          </w:p>
          <w:p w:rsidR="001674EE" w:rsidRPr="00BC3CAB" w:rsidRDefault="001674EE" w:rsidP="001674EE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из средств  местного бюджета – 46 657,1 тыс. руб.;</w:t>
            </w:r>
          </w:p>
          <w:p w:rsidR="003E08D1" w:rsidRPr="00E216EE" w:rsidRDefault="001674EE" w:rsidP="001674EE">
            <w:pPr>
              <w:widowControl w:val="0"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7042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733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</w:t>
      </w:r>
      <w:r w:rsidRPr="008B634A">
        <w:lastRenderedPageBreak/>
        <w:t xml:space="preserve">пенсионера; осуществляется индексация социальных выплат с учетом динамики инфляции и другое. 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</w:t>
      </w:r>
      <w:r w:rsidRPr="008B634A">
        <w:rPr>
          <w:szCs w:val="28"/>
        </w:rPr>
        <w:lastRenderedPageBreak/>
        <w:t xml:space="preserve">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</w:t>
      </w:r>
      <w:r w:rsidRPr="008B634A">
        <w:lastRenderedPageBreak/>
        <w:t xml:space="preserve">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="00B3733F">
        <w:rPr>
          <w:rStyle w:val="ab"/>
          <w:b w:val="0"/>
          <w:color w:val="auto"/>
        </w:rPr>
        <w:t xml:space="preserve"> </w:t>
      </w:r>
      <w:r w:rsidRPr="008B634A">
        <w:t>«Дополнительноематериальное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lastRenderedPageBreak/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B3733F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913BF7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913BF7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913BF7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lastRenderedPageBreak/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8B634A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556" w:rsidRPr="00C22556" w:rsidRDefault="00471F1B" w:rsidP="00C22556">
      <w:pPr>
        <w:ind w:firstLine="851"/>
        <w:jc w:val="center"/>
        <w:rPr>
          <w:b/>
          <w:szCs w:val="28"/>
        </w:rPr>
      </w:pPr>
      <w:r w:rsidRPr="00C22556">
        <w:rPr>
          <w:b/>
          <w:szCs w:val="28"/>
        </w:rPr>
        <w:t>4.</w:t>
      </w:r>
      <w:r w:rsidR="00C22556" w:rsidRPr="00C22556">
        <w:rPr>
          <w:b/>
          <w:szCs w:val="28"/>
        </w:rPr>
        <w:t xml:space="preserve"> Обоснование ресурсного обес</w:t>
      </w:r>
      <w:r w:rsidR="00C22556">
        <w:rPr>
          <w:b/>
          <w:szCs w:val="28"/>
        </w:rPr>
        <w:t>печения муниципальной программы</w:t>
      </w:r>
    </w:p>
    <w:p w:rsidR="00C22556" w:rsidRPr="00BC3CAB" w:rsidRDefault="00C22556" w:rsidP="00C22556">
      <w:pPr>
        <w:rPr>
          <w:szCs w:val="28"/>
        </w:rPr>
      </w:pPr>
      <w:r w:rsidRPr="00BC3CAB">
        <w:rPr>
          <w:szCs w:val="28"/>
        </w:rPr>
        <w:t>«</w:t>
      </w:r>
    </w:p>
    <w:tbl>
      <w:tblPr>
        <w:tblStyle w:val="a8"/>
        <w:tblW w:w="10138" w:type="dxa"/>
        <w:tblLayout w:type="fixed"/>
        <w:tblLook w:val="04A0"/>
      </w:tblPr>
      <w:tblGrid>
        <w:gridCol w:w="2372"/>
        <w:gridCol w:w="996"/>
        <w:gridCol w:w="1702"/>
        <w:gridCol w:w="1275"/>
        <w:gridCol w:w="1560"/>
        <w:gridCol w:w="1275"/>
        <w:gridCol w:w="958"/>
      </w:tblGrid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Объем финансирования, тыс. рублей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 разрезе источников финансирования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федеральный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краевой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внебюджетные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источники</w:t>
            </w:r>
          </w:p>
        </w:tc>
      </w:tr>
      <w:tr w:rsidR="00C22556" w:rsidRPr="00BC3CAB" w:rsidTr="00C22556">
        <w:tc>
          <w:tcPr>
            <w:tcW w:w="237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</w:t>
            </w:r>
          </w:p>
        </w:tc>
      </w:tr>
      <w:tr w:rsidR="00C22556" w:rsidRPr="00BC3CAB" w:rsidTr="00C22556">
        <w:trPr>
          <w:trHeight w:val="613"/>
        </w:trPr>
        <w:tc>
          <w:tcPr>
            <w:tcW w:w="10138" w:type="dxa"/>
            <w:gridSpan w:val="7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Общий объем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 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1 745 412,9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95 821,0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1602 896,7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46 657,1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38,1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99 906,3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1 703,0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95 769,5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2 395,7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38,1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112 636,1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540,0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109 205,6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2 890,5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143 793,9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9 379,7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131 327,2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3 087,0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159 777,4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154 656,4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5 121,0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194 471,1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10 946,0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175 600,1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7 925,0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207 171,2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9 375,7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192 863,6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4 931,9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201 935,6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12 899,4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183 700,2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5 336,0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206 171,5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16 992,4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183 609,1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5 570,0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209 774,9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16 992,4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188 082,5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4 700,0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209 774,9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16 992,4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188 082,5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4 700,0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rPr>
          <w:trHeight w:val="695"/>
        </w:trPr>
        <w:tc>
          <w:tcPr>
            <w:tcW w:w="10138" w:type="dxa"/>
            <w:gridSpan w:val="7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Общий объем 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513 591,7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91 329,3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422 262,4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2 247,2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5 753,3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8 248,9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22 696,5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45 182,8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9 828,1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59 883,5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9 375,7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70 503,0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68 035,3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12 899,4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55 135,9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69 581,6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16 992,4</w:t>
            </w:r>
          </w:p>
        </w:tc>
        <w:tc>
          <w:tcPr>
            <w:tcW w:w="1560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52 589,2</w:t>
            </w:r>
          </w:p>
        </w:tc>
        <w:tc>
          <w:tcPr>
            <w:tcW w:w="1275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71 127,9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16 992,4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54 135,5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71 127,9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16 992,4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54 135,5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10138" w:type="dxa"/>
            <w:gridSpan w:val="7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Общий объем 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4 460,0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4 460,0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10138" w:type="dxa"/>
            <w:gridSpan w:val="7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Общий объем 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1 178 251,2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1 178 251,2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92 622,3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92 622,3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103 220,3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103 220,3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107 732,6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107 732,6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109 473,6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109 473,6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115 363,6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115 363,6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122 360,6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122 360,6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128 564,3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128 564,3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131 019,9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131 019,9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133 947,0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10138" w:type="dxa"/>
            <w:gridSpan w:val="7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Общий объем 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подпрограмме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24 252,0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24 252,0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10138" w:type="dxa"/>
            <w:gridSpan w:val="7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1.5. В том числе по подпрограмме </w:t>
            </w:r>
            <w:r w:rsidRPr="00BC3CAB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Общий объем 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10 886,0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3 973,1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2556" w:rsidRPr="00BC3CAB" w:rsidRDefault="00C22556" w:rsidP="00C2255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3CA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10138" w:type="dxa"/>
            <w:gridSpan w:val="7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C22556" w:rsidRPr="00BC3CAB" w:rsidTr="00C22556">
        <w:tc>
          <w:tcPr>
            <w:tcW w:w="2372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Общий объем 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финансирования по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1 736,0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1 736,0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1 300,0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1 300,0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  <w:tr w:rsidR="00C22556" w:rsidRPr="00BC3CAB" w:rsidTr="00C22556">
        <w:tc>
          <w:tcPr>
            <w:tcW w:w="2372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1 300,0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1 300,0</w:t>
            </w:r>
          </w:p>
        </w:tc>
        <w:tc>
          <w:tcPr>
            <w:tcW w:w="958" w:type="dxa"/>
            <w:vAlign w:val="center"/>
          </w:tcPr>
          <w:p w:rsidR="00C22556" w:rsidRPr="00BC3CAB" w:rsidRDefault="00C22556" w:rsidP="00C22556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</w:tr>
    </w:tbl>
    <w:p w:rsidR="00E06192" w:rsidRPr="00E216EE" w:rsidRDefault="001674EE" w:rsidP="001674EE">
      <w:pPr>
        <w:ind w:firstLine="851"/>
        <w:jc w:val="center"/>
        <w:rPr>
          <w:szCs w:val="28"/>
        </w:rPr>
      </w:pPr>
      <w:r w:rsidRPr="00E216EE">
        <w:rPr>
          <w:szCs w:val="28"/>
        </w:rPr>
        <w:t xml:space="preserve"> </w:t>
      </w:r>
      <w:r w:rsidR="007B1B33" w:rsidRPr="00E216EE">
        <w:rPr>
          <w:szCs w:val="28"/>
        </w:rPr>
        <w:t xml:space="preserve">Распределение расходов из краевого </w:t>
      </w:r>
      <w:r w:rsidR="00564008" w:rsidRPr="00E216EE">
        <w:rPr>
          <w:szCs w:val="28"/>
        </w:rPr>
        <w:t xml:space="preserve">и муниципального </w:t>
      </w:r>
      <w:r w:rsidR="007B1B33" w:rsidRPr="00E216EE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E216EE">
        <w:rPr>
          <w:szCs w:val="28"/>
        </w:rPr>
        <w:t xml:space="preserve">и муниципального </w:t>
      </w:r>
      <w:r w:rsidR="007B1B33" w:rsidRPr="00E216EE">
        <w:rPr>
          <w:szCs w:val="28"/>
        </w:rPr>
        <w:t>бюджета.</w:t>
      </w:r>
    </w:p>
    <w:p w:rsidR="00397283" w:rsidRPr="00E216EE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E216EE">
        <w:rPr>
          <w:b/>
          <w:szCs w:val="28"/>
        </w:rPr>
        <w:t>5.</w:t>
      </w:r>
      <w:r w:rsidR="008A0958" w:rsidRPr="00E216EE">
        <w:rPr>
          <w:b/>
          <w:szCs w:val="28"/>
        </w:rPr>
        <w:t>Прогноз св</w:t>
      </w:r>
      <w:r w:rsidR="00A4022B" w:rsidRPr="00E216EE">
        <w:rPr>
          <w:b/>
          <w:szCs w:val="28"/>
        </w:rPr>
        <w:t>о</w:t>
      </w:r>
      <w:r w:rsidR="008A0958" w:rsidRPr="00E216EE">
        <w:rPr>
          <w:b/>
          <w:szCs w:val="28"/>
        </w:rPr>
        <w:t>дных показ</w:t>
      </w:r>
      <w:r w:rsidRPr="00E216EE">
        <w:rPr>
          <w:b/>
          <w:szCs w:val="28"/>
        </w:rPr>
        <w:t>а</w:t>
      </w:r>
      <w:r w:rsidR="008A0958" w:rsidRPr="00E216EE">
        <w:rPr>
          <w:b/>
          <w:szCs w:val="28"/>
        </w:rPr>
        <w:t>телей</w:t>
      </w:r>
      <w:r w:rsidR="00E06192" w:rsidRPr="00E216EE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</w:t>
      </w:r>
      <w:r w:rsidR="00E06192" w:rsidRPr="008B634A">
        <w:rPr>
          <w:b/>
          <w:szCs w:val="28"/>
        </w:rPr>
        <w:t xml:space="preserve">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lastRenderedPageBreak/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Проекты постановлений администрации МО Кавказский район о выплате ежемесячных </w:t>
            </w:r>
            <w:r w:rsidRPr="008B634A">
              <w:rPr>
                <w:sz w:val="24"/>
                <w:szCs w:val="24"/>
              </w:rPr>
              <w:lastRenderedPageBreak/>
              <w:t>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lastRenderedPageBreak/>
              <w:t xml:space="preserve">Согласно КЗ от 13 октября 2009 года N 1836-КЗ «О мерах государственной  поддержки семейных форм  </w:t>
            </w:r>
            <w:r w:rsidRPr="008B634A">
              <w:rPr>
                <w:sz w:val="22"/>
                <w:szCs w:val="22"/>
              </w:rPr>
              <w:lastRenderedPageBreak/>
              <w:t>жизнеустройства и воспитания детей-сирот и детей, оставшихся без попечения  родителей  в 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Управление по вопросам семьи и детства администрации </w:t>
            </w:r>
            <w:r w:rsidRPr="008B634A">
              <w:rPr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Подпрограмма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Кавказскийрайон</w:t>
            </w:r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</w:t>
            </w:r>
            <w:r w:rsidRPr="008B634A">
              <w:rPr>
                <w:sz w:val="22"/>
                <w:szCs w:val="22"/>
              </w:rPr>
              <w:lastRenderedPageBreak/>
              <w:t>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 мере 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эффективностиреализации муниципальной программы</w:t>
      </w:r>
    </w:p>
    <w:p w:rsidR="00DC7546" w:rsidRPr="008B634A" w:rsidRDefault="00DC7546" w:rsidP="00DC7546">
      <w:pPr>
        <w:jc w:val="both"/>
        <w:rPr>
          <w:szCs w:val="28"/>
        </w:rPr>
      </w:pPr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осуществляет подготовку предложений по объемам и источникам финансирования реализации муниципальной программы на основании </w:t>
      </w:r>
      <w:r w:rsidRPr="008B634A">
        <w:rPr>
          <w:szCs w:val="28"/>
        </w:rPr>
        <w:lastRenderedPageBreak/>
        <w:t>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</w:t>
      </w:r>
      <w:r w:rsidRPr="008B634A">
        <w:rPr>
          <w:szCs w:val="28"/>
        </w:rPr>
        <w:lastRenderedPageBreak/>
        <w:t>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B3733F">
        <w:rPr>
          <w:sz w:val="28"/>
          <w:szCs w:val="28"/>
        </w:rPr>
        <w:t xml:space="preserve">                       </w:t>
      </w:r>
      <w:r w:rsidRPr="008B634A">
        <w:rPr>
          <w:sz w:val="28"/>
          <w:szCs w:val="28"/>
        </w:rPr>
        <w:t>С.В.Филатова</w:t>
      </w: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A70350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«Социальная поддержка граждан»</w:t>
      </w:r>
    </w:p>
    <w:p w:rsidR="00A70350" w:rsidRPr="008B634A" w:rsidRDefault="00A70350" w:rsidP="00A70350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205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533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4"/>
      </w:tblGrid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п/п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</w:t>
            </w:r>
          </w:p>
        </w:tc>
      </w:tr>
      <w:tr w:rsidR="002312D9" w:rsidRPr="007B0340" w:rsidTr="002312D9">
        <w:trPr>
          <w:gridAfter w:val="1"/>
          <w:wAfter w:w="4984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Муниципальная программа «</w:t>
            </w:r>
            <w:r w:rsidRPr="007B0340">
              <w:rPr>
                <w:bCs/>
                <w:sz w:val="24"/>
                <w:szCs w:val="24"/>
              </w:rPr>
              <w:t>Социальная поддержка граждан</w:t>
            </w:r>
            <w:r w:rsidRPr="007B034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2312D9" w:rsidRPr="007B0340" w:rsidTr="002312D9">
        <w:trPr>
          <w:gridAfter w:val="1"/>
          <w:wAfter w:w="4984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№ </w:t>
            </w:r>
            <w:r w:rsidRPr="007B0340">
              <w:rPr>
                <w:sz w:val="24"/>
                <w:szCs w:val="24"/>
              </w:rPr>
              <w:t>1 «</w:t>
            </w:r>
            <w:r w:rsidRPr="007B0340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469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</w:t>
            </w:r>
            <w:r w:rsidRPr="007B0340">
              <w:rPr>
                <w:sz w:val="24"/>
                <w:szCs w:val="24"/>
              </w:rPr>
              <w:lastRenderedPageBreak/>
              <w:t>жилыми помещениями, по состоянию на конец финансового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248</w:t>
            </w:r>
          </w:p>
        </w:tc>
      </w:tr>
      <w:tr w:rsidR="002312D9" w:rsidRPr="007B0340" w:rsidTr="002312D9">
        <w:trPr>
          <w:gridAfter w:val="1"/>
          <w:wAfter w:w="4984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2</w:t>
            </w:r>
            <w:r w:rsidRPr="007B0340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7B034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7B034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312D9" w:rsidRPr="007B0340" w:rsidTr="00231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2D9" w:rsidRPr="007B0340" w:rsidTr="00231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  <w:r w:rsidR="001959F5">
              <w:rPr>
                <w:sz w:val="24"/>
                <w:szCs w:val="24"/>
              </w:rPr>
              <w:t>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3</w:t>
            </w:r>
            <w:r w:rsidRPr="007B0340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175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</w:t>
            </w:r>
            <w:r w:rsidRPr="007B0340">
              <w:rPr>
                <w:sz w:val="24"/>
                <w:szCs w:val="24"/>
              </w:rPr>
              <w:lastRenderedPageBreak/>
              <w:t>воспитание, получающих ежемесячные денежные выплаты на содержание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</w:t>
            </w:r>
            <w:r w:rsidR="00A75781">
              <w:rPr>
                <w:sz w:val="24"/>
                <w:szCs w:val="24"/>
              </w:rPr>
              <w:t xml:space="preserve"> </w:t>
            </w:r>
            <w:r w:rsidRPr="007B0340">
              <w:rPr>
                <w:sz w:val="24"/>
                <w:szCs w:val="24"/>
              </w:rPr>
              <w:t>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4</w:t>
            </w:r>
            <w:r w:rsidRPr="007B0340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15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B034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Подпрограмма N 5</w:t>
            </w:r>
            <w:r w:rsidRPr="007B0340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5.2</w:t>
            </w:r>
          </w:p>
        </w:tc>
        <w:tc>
          <w:tcPr>
            <w:tcW w:w="12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30,0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55,0</w:t>
            </w:r>
          </w:p>
        </w:tc>
      </w:tr>
      <w:tr w:rsidR="002312D9" w:rsidRPr="007B0340" w:rsidTr="002312D9">
        <w:trPr>
          <w:gridAfter w:val="1"/>
          <w:wAfter w:w="4984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</w:t>
            </w:r>
          </w:p>
        </w:tc>
      </w:tr>
      <w:tr w:rsidR="002312D9" w:rsidRPr="007B0340" w:rsidTr="002312D9">
        <w:trPr>
          <w:gridAfter w:val="1"/>
          <w:wAfter w:w="4984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шт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2312D9" w:rsidRPr="007B0340" w:rsidRDefault="002312D9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малоимущих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администрации муниципального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Кавказский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район в качестве нуждающихся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2312D9" w:rsidRPr="007B0340" w:rsidTr="002312D9">
        <w:trPr>
          <w:gridAfter w:val="1"/>
          <w:wAfter w:w="49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D9" w:rsidRPr="007B0340" w:rsidRDefault="002312D9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D9" w:rsidRPr="007B0340" w:rsidRDefault="002312D9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Заместитель главы муниципального</w:t>
      </w: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1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C22556" w:rsidRPr="00BC3CAB" w:rsidRDefault="00C22556" w:rsidP="00C22556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Общий объем финансирования подпрограммы составляет – 513 591,7</w:t>
            </w:r>
            <w:r>
              <w:rPr>
                <w:szCs w:val="28"/>
              </w:rPr>
              <w:t xml:space="preserve"> </w:t>
            </w:r>
            <w:r w:rsidRPr="00BC3CAB">
              <w:rPr>
                <w:szCs w:val="28"/>
              </w:rPr>
              <w:t>тыс. рублей, в том числе:</w:t>
            </w:r>
          </w:p>
          <w:p w:rsidR="00C22556" w:rsidRPr="00BC3CAB" w:rsidRDefault="00C22556" w:rsidP="00C22556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 xml:space="preserve">из средств федерального бюджета – 91 329,3 тыс. руб., </w:t>
            </w:r>
          </w:p>
          <w:p w:rsidR="00C22556" w:rsidRPr="00BC3CAB" w:rsidRDefault="00C22556" w:rsidP="00C22556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из  средств  краевого бюджета – 422 262,4</w:t>
            </w:r>
            <w:r>
              <w:rPr>
                <w:szCs w:val="28"/>
              </w:rPr>
              <w:t xml:space="preserve"> </w:t>
            </w:r>
            <w:r w:rsidRPr="00BC3CAB">
              <w:rPr>
                <w:szCs w:val="28"/>
              </w:rPr>
              <w:t>тыс. рублей, из них по годам:</w:t>
            </w:r>
          </w:p>
          <w:p w:rsidR="006D14CA" w:rsidRPr="008B634A" w:rsidRDefault="00C22556" w:rsidP="00C22556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 xml:space="preserve"> из средств  местного бюджета – 0,0 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2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70350" w:rsidRPr="003C532E" w:rsidRDefault="006420CC" w:rsidP="00A70350">
      <w:pPr>
        <w:ind w:firstLine="709"/>
        <w:jc w:val="both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="00A70350" w:rsidRPr="003C532E">
        <w:rPr>
          <w:b/>
          <w:szCs w:val="28"/>
        </w:rPr>
        <w:t xml:space="preserve">Обоснование  ресурсного обеспечения  подпрограммы </w:t>
      </w:r>
    </w:p>
    <w:p w:rsidR="00A70350" w:rsidRPr="003C532E" w:rsidRDefault="00A70350" w:rsidP="00A70350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C22556" w:rsidRPr="00BC3CAB" w:rsidTr="00C22556">
        <w:tc>
          <w:tcPr>
            <w:tcW w:w="2659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bookmarkStart w:id="15" w:name="sub_160"/>
            <w:r w:rsidRPr="00BC3CAB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Объем финансирования, тыс. рублей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 разрезе источников финансирования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федеральный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краевой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внебюджетные</w:t>
            </w:r>
          </w:p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источники</w:t>
            </w:r>
          </w:p>
        </w:tc>
      </w:tr>
      <w:tr w:rsidR="00C22556" w:rsidRPr="00BC3CAB" w:rsidTr="00C22556">
        <w:tc>
          <w:tcPr>
            <w:tcW w:w="265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</w:t>
            </w:r>
          </w:p>
        </w:tc>
      </w:tr>
      <w:tr w:rsidR="00C22556" w:rsidRPr="00BC3CAB" w:rsidTr="00C22556">
        <w:tc>
          <w:tcPr>
            <w:tcW w:w="2659" w:type="dxa"/>
            <w:vMerge w:val="restart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513 591,7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91 329,3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C22556">
              <w:rPr>
                <w:bCs/>
              </w:rPr>
              <w:t>422 262,4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2 247,2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5 753,3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8 248,9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22 696,5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45 182,8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9 828,1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59 883,5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9 375,7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70 503,0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68 035,3</w:t>
            </w:r>
          </w:p>
        </w:tc>
        <w:tc>
          <w:tcPr>
            <w:tcW w:w="1276" w:type="dxa"/>
            <w:vAlign w:val="center"/>
          </w:tcPr>
          <w:p w:rsidR="00C22556" w:rsidRPr="00C22556" w:rsidRDefault="00C22556" w:rsidP="00C22556">
            <w:pPr>
              <w:jc w:val="center"/>
              <w:rPr>
                <w:sz w:val="24"/>
                <w:szCs w:val="24"/>
              </w:rPr>
            </w:pPr>
            <w:r w:rsidRPr="00C22556">
              <w:t>12 899,4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55 135,9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69 581,6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16 992,4</w:t>
            </w:r>
          </w:p>
        </w:tc>
        <w:tc>
          <w:tcPr>
            <w:tcW w:w="141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52 589,2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71 127,9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16 992,4</w:t>
            </w:r>
          </w:p>
        </w:tc>
        <w:tc>
          <w:tcPr>
            <w:tcW w:w="141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54 135,5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  <w:tr w:rsidR="00C22556" w:rsidRPr="00BC3CAB" w:rsidTr="00C22556">
        <w:tc>
          <w:tcPr>
            <w:tcW w:w="2659" w:type="dxa"/>
            <w:vMerge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C22556" w:rsidRPr="00BC3CAB" w:rsidRDefault="00C22556" w:rsidP="00C22556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C22556" w:rsidRPr="00BC3CAB" w:rsidRDefault="00C22556" w:rsidP="00C22556">
            <w:pPr>
              <w:jc w:val="center"/>
              <w:rPr>
                <w:bCs/>
                <w:sz w:val="24"/>
                <w:szCs w:val="24"/>
              </w:rPr>
            </w:pPr>
            <w:r w:rsidRPr="00BC3CAB">
              <w:rPr>
                <w:bCs/>
              </w:rPr>
              <w:t>71 127,9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16 992,4</w:t>
            </w:r>
          </w:p>
        </w:tc>
        <w:tc>
          <w:tcPr>
            <w:tcW w:w="1418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54 135,5</w:t>
            </w:r>
          </w:p>
        </w:tc>
        <w:tc>
          <w:tcPr>
            <w:tcW w:w="1276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  <w:tc>
          <w:tcPr>
            <w:tcW w:w="1241" w:type="dxa"/>
            <w:vAlign w:val="center"/>
          </w:tcPr>
          <w:p w:rsidR="00C22556" w:rsidRPr="00BC3CAB" w:rsidRDefault="00C22556" w:rsidP="00C22556">
            <w:pPr>
              <w:jc w:val="center"/>
              <w:rPr>
                <w:sz w:val="24"/>
                <w:szCs w:val="24"/>
              </w:rPr>
            </w:pPr>
            <w:r w:rsidRPr="00BC3CAB">
              <w:t>0,0</w:t>
            </w:r>
          </w:p>
        </w:tc>
      </w:tr>
    </w:tbl>
    <w:p w:rsidR="00C22556" w:rsidRDefault="00C22556" w:rsidP="00427293">
      <w:pPr>
        <w:pStyle w:val="1"/>
        <w:jc w:val="center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8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8B634A" w:rsidRDefault="00A05B38" w:rsidP="00A05B38"/>
    <w:p w:rsidR="00A05B38" w:rsidRPr="008B634A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Pr="008B634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A70350" w:rsidRPr="008B634A" w:rsidRDefault="00A70350" w:rsidP="00A70350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A70350" w:rsidRPr="008B634A" w:rsidRDefault="00A70350" w:rsidP="00A70350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709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03E70" w:rsidRPr="00C03E70" w:rsidTr="00C03E7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C03E70" w:rsidRPr="00C03E70" w:rsidTr="00C03E7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>без попечения родителей, а также лиц изих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377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469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жилых помещений для детей-сирот, 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 детей, оставшихся без попечения родителей, </w:t>
            </w:r>
          </w:p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C03E70">
              <w:rPr>
                <w:szCs w:val="28"/>
              </w:rPr>
              <w:t xml:space="preserve">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46</w:t>
            </w:r>
          </w:p>
        </w:tc>
      </w:tr>
      <w:tr w:rsidR="00C03E70" w:rsidRPr="00C03E70" w:rsidTr="00C03E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 xml:space="preserve">Целевой показатель: число детей-сирот и детей, оставшихся без попечения родителей, а также лиц из их числа, </w:t>
            </w:r>
            <w:r w:rsidRPr="00C03E70">
              <w:rPr>
                <w:szCs w:val="28"/>
              </w:rPr>
              <w:lastRenderedPageBreak/>
              <w:t>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E70" w:rsidRPr="00C03E70" w:rsidRDefault="00C03E70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248</w:t>
            </w:r>
          </w:p>
        </w:tc>
      </w:tr>
    </w:tbl>
    <w:p w:rsidR="00C03E70" w:rsidRDefault="00C03E70" w:rsidP="006D14CA">
      <w:pPr>
        <w:widowControl w:val="0"/>
        <w:suppressAutoHyphens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  Л.В. Юрина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rPr>
          <w:sz w:val="24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8B634A" w:rsidRDefault="00DC7546" w:rsidP="00F639E4">
      <w:pPr>
        <w:widowControl w:val="0"/>
        <w:jc w:val="both"/>
        <w:rPr>
          <w:szCs w:val="28"/>
        </w:rPr>
      </w:pPr>
    </w:p>
    <w:p w:rsidR="00C22556" w:rsidRPr="00517F49" w:rsidRDefault="00C22556" w:rsidP="00C22556">
      <w:pPr>
        <w:jc w:val="center"/>
        <w:rPr>
          <w:szCs w:val="28"/>
        </w:rPr>
      </w:pPr>
      <w:r w:rsidRPr="00517F49">
        <w:rPr>
          <w:szCs w:val="28"/>
        </w:rPr>
        <w:t>Перечень</w:t>
      </w:r>
    </w:p>
    <w:p w:rsidR="00C22556" w:rsidRPr="00517F49" w:rsidRDefault="00C22556" w:rsidP="00C22556">
      <w:pPr>
        <w:jc w:val="center"/>
        <w:rPr>
          <w:szCs w:val="28"/>
        </w:rPr>
      </w:pPr>
      <w:r w:rsidRPr="00517F49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C22556" w:rsidRPr="00517F49" w:rsidRDefault="00C22556" w:rsidP="00C22556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67"/>
        <w:gridCol w:w="992"/>
        <w:gridCol w:w="1418"/>
        <w:gridCol w:w="1417"/>
        <w:gridCol w:w="1418"/>
        <w:gridCol w:w="992"/>
        <w:gridCol w:w="992"/>
        <w:gridCol w:w="1843"/>
        <w:gridCol w:w="1985"/>
      </w:tblGrid>
      <w:tr w:rsidR="00C22556" w:rsidRPr="00517F49" w:rsidTr="00C22556">
        <w:tc>
          <w:tcPr>
            <w:tcW w:w="568" w:type="dxa"/>
            <w:vMerge w:val="restart"/>
          </w:tcPr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 xml:space="preserve">Наименование </w:t>
            </w:r>
          </w:p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517F49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Годы</w:t>
            </w:r>
          </w:p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22556" w:rsidRPr="00517F49" w:rsidTr="00C22556">
        <w:tc>
          <w:tcPr>
            <w:tcW w:w="568" w:type="dxa"/>
            <w:vMerge/>
          </w:tcPr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всего</w:t>
            </w:r>
          </w:p>
        </w:tc>
        <w:tc>
          <w:tcPr>
            <w:tcW w:w="4819" w:type="dxa"/>
            <w:gridSpan w:val="4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517F49" w:rsidTr="00C22556">
        <w:tc>
          <w:tcPr>
            <w:tcW w:w="568" w:type="dxa"/>
            <w:vMerge/>
          </w:tcPr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C22556" w:rsidRPr="00517F49" w:rsidRDefault="00C22556" w:rsidP="00C22556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краевой бюджет</w:t>
            </w:r>
          </w:p>
        </w:tc>
        <w:tc>
          <w:tcPr>
            <w:tcW w:w="992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517F49" w:rsidTr="00C22556">
        <w:tc>
          <w:tcPr>
            <w:tcW w:w="568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6</w:t>
            </w:r>
          </w:p>
        </w:tc>
        <w:tc>
          <w:tcPr>
            <w:tcW w:w="1418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9</w:t>
            </w:r>
          </w:p>
        </w:tc>
        <w:tc>
          <w:tcPr>
            <w:tcW w:w="1843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10</w:t>
            </w:r>
          </w:p>
        </w:tc>
        <w:tc>
          <w:tcPr>
            <w:tcW w:w="1985" w:type="dxa"/>
          </w:tcPr>
          <w:p w:rsidR="00C22556" w:rsidRPr="00517F49" w:rsidRDefault="00C22556" w:rsidP="00C22556">
            <w:pPr>
              <w:jc w:val="center"/>
              <w:rPr>
                <w:szCs w:val="28"/>
              </w:rPr>
            </w:pPr>
            <w:r w:rsidRPr="00517F49">
              <w:rPr>
                <w:szCs w:val="28"/>
              </w:rPr>
              <w:t>11</w:t>
            </w:r>
          </w:p>
        </w:tc>
      </w:tr>
      <w:tr w:rsidR="00C22556" w:rsidRPr="00C22556" w:rsidTr="00C22556">
        <w:tc>
          <w:tcPr>
            <w:tcW w:w="568" w:type="dxa"/>
            <w:vMerge w:val="restart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C22556" w:rsidRPr="00C22556" w:rsidRDefault="00C22556" w:rsidP="00C225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Cs w:val="28"/>
              </w:rPr>
            </w:pPr>
            <w:r w:rsidRPr="00C22556">
              <w:rPr>
                <w:szCs w:val="28"/>
              </w:rPr>
              <w:t>Мероприятие № 1</w:t>
            </w:r>
          </w:p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513 591,7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91 329,3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422 262,4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ОКС,</w:t>
            </w:r>
          </w:p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управление имущественных отношений,</w:t>
            </w:r>
          </w:p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управление по вопросам семьи и</w:t>
            </w:r>
          </w:p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детства</w:t>
            </w:r>
          </w:p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администрации МО Кавказский район</w:t>
            </w:r>
          </w:p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2 247,2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2 247,2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5 753,3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5 753,3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30 945,4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8 248,9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22 696,5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45 182,8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45 182,8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69 711,6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9 828,1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59 883,5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79 878,7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9 375,7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70 503,0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68 035,3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12 899,4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55 135,9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69 581,6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52 589,2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71 127,9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54 135,5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71 127,9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54 135,5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 w:val="restart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513 591,7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91 329,3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422 262,4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2015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2 247,2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2 247,2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2016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5 753,3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5 753,3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2017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30 945,4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8 248,9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22 696,5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2018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45 182,8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45 182,8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2019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69 711,6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9 828,1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59 883,5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79 878,7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9 375,7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70 503,0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2021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68 035,3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12 899,4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55 135,9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69 581,6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52 589,2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2023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71 127,9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54 135,5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  <w:tr w:rsidR="00C22556" w:rsidRPr="00C22556" w:rsidTr="00C22556">
        <w:tc>
          <w:tcPr>
            <w:tcW w:w="568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C22556" w:rsidRPr="00C22556" w:rsidRDefault="00C22556" w:rsidP="00C22556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bCs/>
                <w:szCs w:val="28"/>
              </w:rPr>
            </w:pPr>
            <w:r w:rsidRPr="00C22556">
              <w:rPr>
                <w:bCs/>
                <w:szCs w:val="28"/>
              </w:rPr>
              <w:t>71 127,9</w:t>
            </w:r>
          </w:p>
        </w:tc>
        <w:tc>
          <w:tcPr>
            <w:tcW w:w="1417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16 992,4</w:t>
            </w:r>
          </w:p>
        </w:tc>
        <w:tc>
          <w:tcPr>
            <w:tcW w:w="1418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54 135,5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  <w:r w:rsidRPr="00C22556">
              <w:rPr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22556" w:rsidRPr="00C22556" w:rsidRDefault="00C22556" w:rsidP="00C22556">
            <w:pPr>
              <w:jc w:val="center"/>
              <w:rPr>
                <w:szCs w:val="28"/>
              </w:rPr>
            </w:pPr>
          </w:p>
        </w:tc>
      </w:tr>
    </w:tbl>
    <w:p w:rsidR="006420CC" w:rsidRPr="00C22556" w:rsidRDefault="006420CC" w:rsidP="006420CC">
      <w:pPr>
        <w:widowControl w:val="0"/>
        <w:rPr>
          <w:sz w:val="24"/>
          <w:szCs w:val="24"/>
        </w:rPr>
      </w:pPr>
    </w:p>
    <w:p w:rsidR="006420CC" w:rsidRPr="00C22556" w:rsidRDefault="006420CC" w:rsidP="006420CC">
      <w:pPr>
        <w:widowControl w:val="0"/>
        <w:rPr>
          <w:szCs w:val="28"/>
        </w:rPr>
      </w:pPr>
      <w:r w:rsidRPr="00C22556">
        <w:rPr>
          <w:szCs w:val="28"/>
        </w:rPr>
        <w:t>Начальник управления</w:t>
      </w:r>
    </w:p>
    <w:p w:rsidR="00DC7546" w:rsidRPr="00C22556" w:rsidRDefault="006420CC" w:rsidP="00C03E70">
      <w:pPr>
        <w:widowControl w:val="0"/>
        <w:rPr>
          <w:sz w:val="24"/>
          <w:szCs w:val="24"/>
        </w:rPr>
      </w:pPr>
      <w:r w:rsidRPr="00C22556">
        <w:rPr>
          <w:szCs w:val="28"/>
        </w:rPr>
        <w:t>имущественных отношений                                                                                                                                        Л.В.Юрина</w:t>
      </w:r>
    </w:p>
    <w:p w:rsidR="00DC7546" w:rsidRPr="00C22556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C22556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C22556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C22556" w:rsidRDefault="00650772" w:rsidP="005D6D08">
      <w:pPr>
        <w:widowControl w:val="0"/>
        <w:jc w:val="both"/>
        <w:rPr>
          <w:sz w:val="24"/>
          <w:szCs w:val="24"/>
        </w:rPr>
      </w:pPr>
    </w:p>
    <w:p w:rsidR="00DF05B4" w:rsidRPr="00C22556" w:rsidRDefault="00DF05B4" w:rsidP="005D6D08">
      <w:pPr>
        <w:widowControl w:val="0"/>
        <w:jc w:val="both"/>
        <w:rPr>
          <w:sz w:val="24"/>
          <w:szCs w:val="24"/>
        </w:rPr>
      </w:pPr>
    </w:p>
    <w:p w:rsidR="00D46924" w:rsidRPr="00C22556" w:rsidRDefault="00D46924" w:rsidP="005D6D08">
      <w:pPr>
        <w:widowControl w:val="0"/>
        <w:jc w:val="both"/>
        <w:rPr>
          <w:sz w:val="24"/>
          <w:szCs w:val="24"/>
        </w:rPr>
      </w:pPr>
    </w:p>
    <w:p w:rsidR="001D0A08" w:rsidRPr="00C22556" w:rsidRDefault="001D0A08" w:rsidP="005D6D08">
      <w:pPr>
        <w:rPr>
          <w:szCs w:val="28"/>
        </w:rPr>
      </w:pPr>
      <w:bookmarkStart w:id="17" w:name="sub_1200"/>
    </w:p>
    <w:p w:rsidR="00A52445" w:rsidRPr="00C22556" w:rsidRDefault="00A52445" w:rsidP="005D6D08">
      <w:pPr>
        <w:pStyle w:val="1"/>
      </w:pPr>
    </w:p>
    <w:p w:rsidR="00FD1399" w:rsidRPr="00C22556" w:rsidRDefault="00FD1399" w:rsidP="005D6D08"/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8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ветеранских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организаций, получивших финансовую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19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9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</w:t>
        </w:r>
        <w:r w:rsidR="00880A89">
          <w:rPr>
            <w:rStyle w:val="ab"/>
            <w:b w:val="0"/>
            <w:color w:val="auto"/>
            <w:szCs w:val="28"/>
          </w:rPr>
          <w:t xml:space="preserve"> </w:t>
        </w:r>
        <w:r w:rsidR="00A52445" w:rsidRPr="008B634A">
          <w:rPr>
            <w:rStyle w:val="ab"/>
            <w:b w:val="0"/>
            <w:color w:val="auto"/>
            <w:szCs w:val="28"/>
          </w:rPr>
          <w:t>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19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0" w:name="sub_703"/>
      <w:r w:rsidRPr="008B634A">
        <w:rPr>
          <w:szCs w:val="28"/>
        </w:rPr>
        <w:t>3. Перечень мероприятий подпрограммы</w:t>
      </w:r>
    </w:p>
    <w:bookmarkEnd w:id="20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5"/>
      <w:r w:rsidRPr="008B634A">
        <w:rPr>
          <w:szCs w:val="28"/>
        </w:rPr>
        <w:t>5. Механизм реализации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И.В.Гревцова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Цели, задачи и целевые  показатели подпрограммы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17CB2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17CB2" w:rsidRPr="008B634A" w:rsidTr="00982C55">
        <w:trPr>
          <w:trHeight w:val="521"/>
          <w:tblHeader/>
        </w:trPr>
        <w:tc>
          <w:tcPr>
            <w:tcW w:w="851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17CB2" w:rsidRPr="008B634A" w:rsidTr="00982C55">
        <w:trPr>
          <w:trHeight w:val="297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</w:t>
            </w:r>
            <w:r w:rsidRPr="008B634A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8B634A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И.В. Гревцова</w:t>
      </w: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8B634A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8B634A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Изготовление памятного знака в честь 75-и-летия освобождения Кубани и г.Кропоткин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  И.В. Гревцова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2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2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3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73"/>
            <w:r w:rsidRPr="008B634A">
              <w:rPr>
                <w:szCs w:val="28"/>
              </w:rPr>
              <w:t>Участники подпрограммы</w:t>
            </w:r>
            <w:bookmarkEnd w:id="24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переданных на </w:t>
            </w:r>
            <w:r w:rsidRPr="008B634A">
              <w:rPr>
                <w:szCs w:val="28"/>
              </w:rPr>
              <w:lastRenderedPageBreak/>
              <w:t>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lastRenderedPageBreak/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2E6686" w:rsidRPr="009C1D8B" w:rsidRDefault="002E6686" w:rsidP="002E6686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составляет – 1 178 251,2 тыс. рублей, </w:t>
            </w:r>
          </w:p>
          <w:p w:rsidR="002E6686" w:rsidRPr="009C1D8B" w:rsidRDefault="002E6686" w:rsidP="002E6686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в том числе: </w:t>
            </w:r>
          </w:p>
          <w:p w:rsidR="00A17CB2" w:rsidRPr="008B634A" w:rsidRDefault="002E6686" w:rsidP="002E6686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 из средств краевого бюджета 1 178 251,2 тыс. рублей</w:t>
            </w:r>
          </w:p>
        </w:tc>
      </w:tr>
    </w:tbl>
    <w:p w:rsidR="00A17CB2" w:rsidRPr="008B634A" w:rsidRDefault="00A17CB2" w:rsidP="005D6D08">
      <w:pPr>
        <w:pStyle w:val="1"/>
        <w:jc w:val="center"/>
        <w:rPr>
          <w:szCs w:val="28"/>
        </w:rPr>
      </w:pPr>
    </w:p>
    <w:bookmarkEnd w:id="23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</w:t>
      </w:r>
      <w:r w:rsidRPr="008B634A">
        <w:rPr>
          <w:szCs w:val="28"/>
        </w:rPr>
        <w:lastRenderedPageBreak/>
        <w:t>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5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5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 ресурсного обеспечения  подпрограммы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1031"/>
        <w:gridCol w:w="1804"/>
        <w:gridCol w:w="1134"/>
        <w:gridCol w:w="1560"/>
        <w:gridCol w:w="1134"/>
        <w:gridCol w:w="957"/>
      </w:tblGrid>
      <w:tr w:rsidR="00811B09" w:rsidRPr="009C1D8B" w:rsidTr="00811B09">
        <w:tc>
          <w:tcPr>
            <w:tcW w:w="2092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031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811B09" w:rsidRPr="009C1D8B" w:rsidTr="00811B09">
        <w:tc>
          <w:tcPr>
            <w:tcW w:w="2092" w:type="dxa"/>
            <w:vMerge w:val="restart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1 178 251,2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1 178 251,2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128 564,3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128 564,3</w:t>
            </w:r>
          </w:p>
        </w:tc>
        <w:tc>
          <w:tcPr>
            <w:tcW w:w="1134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131 019,9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131 019,9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811B09" w:rsidRPr="009C1D8B" w:rsidTr="00811B09">
        <w:tc>
          <w:tcPr>
            <w:tcW w:w="2092" w:type="dxa"/>
            <w:vMerge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bCs/>
                <w:szCs w:val="28"/>
              </w:rPr>
            </w:pPr>
            <w:r w:rsidRPr="009C1D8B">
              <w:rPr>
                <w:bCs/>
                <w:szCs w:val="28"/>
              </w:rPr>
              <w:t>133 947,0</w:t>
            </w:r>
          </w:p>
        </w:tc>
        <w:tc>
          <w:tcPr>
            <w:tcW w:w="1134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957" w:type="dxa"/>
            <w:vAlign w:val="center"/>
          </w:tcPr>
          <w:p w:rsidR="00811B09" w:rsidRPr="009C1D8B" w:rsidRDefault="00811B09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7F7B8D" w:rsidRPr="008B634A" w:rsidRDefault="007F7B8D" w:rsidP="00742D77">
      <w:pPr>
        <w:ind w:firstLine="709"/>
        <w:jc w:val="both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6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6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A70350" w:rsidRPr="008B634A" w:rsidRDefault="00A70350" w:rsidP="00A70350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70350" w:rsidRPr="008B634A" w:rsidTr="00A70350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70350" w:rsidRPr="008B634A" w:rsidTr="00A70350">
        <w:trPr>
          <w:trHeight w:val="775"/>
          <w:tblHeader/>
        </w:trPr>
        <w:tc>
          <w:tcPr>
            <w:tcW w:w="851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70350" w:rsidRPr="008B634A" w:rsidTr="00A70350">
        <w:trPr>
          <w:trHeight w:val="259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</w:t>
            </w:r>
            <w:r>
              <w:rPr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  <w:tc>
          <w:tcPr>
            <w:tcW w:w="850" w:type="dxa"/>
            <w:vAlign w:val="center"/>
          </w:tcPr>
          <w:p w:rsidR="00A70350" w:rsidRPr="00A637D3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A637D3">
              <w:rPr>
                <w:color w:val="00B050"/>
                <w:sz w:val="24"/>
                <w:szCs w:val="24"/>
              </w:rPr>
              <w:t>175</w:t>
            </w:r>
          </w:p>
        </w:tc>
      </w:tr>
      <w:tr w:rsidR="00A70350" w:rsidRPr="008B634A" w:rsidTr="00A70350">
        <w:trPr>
          <w:trHeight w:val="271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466124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B050"/>
                <w:sz w:val="24"/>
                <w:szCs w:val="24"/>
              </w:rPr>
            </w:pPr>
            <w:r w:rsidRPr="00466124">
              <w:rPr>
                <w:color w:val="00B050"/>
                <w:sz w:val="24"/>
                <w:szCs w:val="24"/>
              </w:rPr>
              <w:t>1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383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A70350" w:rsidRPr="008B634A" w:rsidTr="00A70350">
        <w:trPr>
          <w:trHeight w:val="674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A70350" w:rsidRPr="008B634A" w:rsidRDefault="00A70350" w:rsidP="00A70350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70350" w:rsidRPr="008B634A" w:rsidTr="00A70350">
        <w:trPr>
          <w:trHeight w:val="250"/>
          <w:tblHeader/>
        </w:trPr>
        <w:tc>
          <w:tcPr>
            <w:tcW w:w="851" w:type="dxa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70350" w:rsidRPr="008B634A" w:rsidRDefault="00A70350" w:rsidP="00A703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8B634A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8B634A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1843"/>
        <w:gridCol w:w="2126"/>
      </w:tblGrid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Наименование </w:t>
            </w:r>
          </w:p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221116,1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Управление по вопросам семьи и детства, МКУ «Централизованная </w:t>
            </w:r>
            <w:r w:rsidRPr="007B0340">
              <w:rPr>
                <w:sz w:val="24"/>
                <w:szCs w:val="24"/>
              </w:rPr>
              <w:lastRenderedPageBreak/>
              <w:t>бухгалтерия» администрации    МО  Кавказский район»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20097,1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20097,1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20901,0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20901,0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21737,3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2 Предоставление ежемесячных </w:t>
            </w:r>
            <w:r w:rsidRPr="007B0340">
              <w:rPr>
                <w:sz w:val="24"/>
                <w:szCs w:val="24"/>
              </w:rPr>
              <w:lastRenderedPageBreak/>
              <w:t>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364071,3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Ежемесячные денежные выплаты на </w:t>
            </w:r>
            <w:r w:rsidRPr="007B0340">
              <w:rPr>
                <w:sz w:val="24"/>
                <w:szCs w:val="24"/>
              </w:rPr>
              <w:lastRenderedPageBreak/>
              <w:t>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40986,0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40986,0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rPr>
          <w:trHeight w:val="998"/>
        </w:trPr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42626,1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3177,0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3177,0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363,5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363,5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378,0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393,2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4039,3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4039,3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126" w:type="dxa"/>
            <w:vMerge w:val="restart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511,7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5 </w:t>
            </w:r>
            <w:r w:rsidRPr="007B0340">
              <w:rPr>
                <w:sz w:val="24"/>
                <w:szCs w:val="24"/>
              </w:rPr>
              <w:lastRenderedPageBreak/>
              <w:t>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492435,5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Вознаграждени</w:t>
            </w:r>
            <w:r w:rsidRPr="007B0340">
              <w:rPr>
                <w:sz w:val="24"/>
                <w:szCs w:val="24"/>
              </w:rPr>
              <w:lastRenderedPageBreak/>
              <w:t>е приемных родителей за оказание услуг по воспитанию приемных детей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 xml:space="preserve">Управление по </w:t>
            </w:r>
            <w:r w:rsidRPr="007B0340">
              <w:rPr>
                <w:sz w:val="24"/>
                <w:szCs w:val="24"/>
              </w:rPr>
              <w:lastRenderedPageBreak/>
              <w:t>вопросам семьи и детства, МКУ «ЦБ» администрации    МО  Кавказский район»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56173,9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61620,6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126" w:type="dxa"/>
            <w:vMerge w:val="restart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8. Осуществление отдельных полномочий Краснодарского края  </w:t>
            </w:r>
            <w:r w:rsidRPr="007B0340">
              <w:rPr>
                <w:sz w:val="24"/>
                <w:szCs w:val="24"/>
              </w:rPr>
              <w:lastRenderedPageBreak/>
              <w:t>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5912,8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Организация и осуществление деятельности по организации отдыха и </w:t>
            </w:r>
            <w:r w:rsidRPr="007B0340"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 «Централизованна</w:t>
            </w:r>
            <w:r w:rsidRPr="007B0340">
              <w:rPr>
                <w:sz w:val="24"/>
                <w:szCs w:val="24"/>
              </w:rPr>
              <w:lastRenderedPageBreak/>
              <w:t>я бухгалтерия» администрации МО Кавказский район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</w:t>
            </w:r>
            <w:r w:rsidRPr="007B0340">
              <w:rPr>
                <w:sz w:val="24"/>
                <w:szCs w:val="24"/>
              </w:rPr>
              <w:lastRenderedPageBreak/>
              <w:t>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8949,3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1306,5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10.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7B0340">
              <w:rPr>
                <w:sz w:val="24"/>
                <w:szCs w:val="24"/>
              </w:rPr>
              <w:t>31,2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B034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детства,</w:t>
            </w:r>
          </w:p>
          <w:p w:rsidR="006C3998" w:rsidRPr="007B0340" w:rsidRDefault="006C3998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495,0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495,0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B0340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6C3998" w:rsidRPr="007B0340" w:rsidRDefault="006C3998" w:rsidP="000C77C9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по вопросам семьи и детства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МКУ, «Централизованная бухгалтерия» администрации МО Кавказский район</w:t>
            </w: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Мероприятие № 12. Создание и организация деятельности комиссий по делам </w:t>
            </w:r>
            <w:r w:rsidRPr="007B0340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13766,4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13766,4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Профилактика безнадзорности и правонарушений среди </w:t>
            </w:r>
            <w:r w:rsidRPr="007B0340">
              <w:rPr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Отдел по делам несовершеннолетних</w:t>
            </w:r>
          </w:p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rPr>
          <w:trHeight w:val="417"/>
        </w:trPr>
        <w:tc>
          <w:tcPr>
            <w:tcW w:w="567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1178251,2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1178251,2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92622,3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92622,3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103220,3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103220,3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107732,6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107732,6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109473,6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109473,6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115363,6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122360,6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122360,6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128564,3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128564,3</w:t>
            </w:r>
          </w:p>
        </w:tc>
        <w:tc>
          <w:tcPr>
            <w:tcW w:w="993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131019,9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131019,9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C3998" w:rsidRPr="007B0340" w:rsidTr="006C3998">
        <w:tc>
          <w:tcPr>
            <w:tcW w:w="567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133947,0</w:t>
            </w:r>
          </w:p>
        </w:tc>
        <w:tc>
          <w:tcPr>
            <w:tcW w:w="993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3998" w:rsidRPr="007B0340" w:rsidRDefault="006C3998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Начальник управления </w:t>
      </w: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8B634A" w:rsidRDefault="00DE7C48" w:rsidP="00DE7C48">
      <w:pPr>
        <w:widowControl w:val="0"/>
        <w:rPr>
          <w:szCs w:val="28"/>
        </w:rPr>
      </w:pPr>
    </w:p>
    <w:p w:rsidR="003B091A" w:rsidRPr="008B634A" w:rsidRDefault="003B091A" w:rsidP="005D6D08">
      <w:pPr>
        <w:widowControl w:val="0"/>
        <w:rPr>
          <w:sz w:val="24"/>
          <w:szCs w:val="24"/>
        </w:rPr>
      </w:pPr>
    </w:p>
    <w:p w:rsidR="00E94850" w:rsidRPr="008B634A" w:rsidRDefault="00E94850" w:rsidP="005D6D08">
      <w:pPr>
        <w:widowControl w:val="0"/>
        <w:rPr>
          <w:sz w:val="24"/>
          <w:szCs w:val="24"/>
        </w:rPr>
      </w:pPr>
    </w:p>
    <w:p w:rsidR="00760B4A" w:rsidRPr="008B634A" w:rsidRDefault="00760B4A" w:rsidP="005D6D08">
      <w:pPr>
        <w:widowControl w:val="0"/>
        <w:rPr>
          <w:szCs w:val="28"/>
        </w:rPr>
      </w:pPr>
    </w:p>
    <w:p w:rsidR="00873F8F" w:rsidRPr="008B634A" w:rsidRDefault="00873F8F" w:rsidP="005D6D08">
      <w:bookmarkStart w:id="27" w:name="sub_1400"/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7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8" w:name="sub_71"/>
            <w:r w:rsidRPr="008B634A">
              <w:rPr>
                <w:szCs w:val="28"/>
              </w:rPr>
              <w:t>Координатор подпрограммы</w:t>
            </w:r>
            <w:bookmarkEnd w:id="28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2"/>
            <w:r w:rsidRPr="008B634A">
              <w:rPr>
                <w:szCs w:val="28"/>
              </w:rPr>
              <w:t>Участники подпрограммы</w:t>
            </w:r>
            <w:bookmarkEnd w:id="29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6C3998" w:rsidRPr="008B634A" w:rsidTr="00982C55">
        <w:tc>
          <w:tcPr>
            <w:tcW w:w="2835" w:type="dxa"/>
          </w:tcPr>
          <w:p w:rsidR="006C3998" w:rsidRPr="008B634A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9C1D8B" w:rsidRDefault="006C3998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составляет – 24 252,0 тыс. руб. тыс. рублейиз средств местного бюджета </w:t>
            </w: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16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19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0" w:name="sub_413"/>
      <w:r w:rsidRPr="008B634A">
        <w:t>3. Перечень мероприятий подпрограммы</w:t>
      </w:r>
    </w:p>
    <w:bookmarkEnd w:id="30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FC0204" w:rsidRPr="008B634A" w:rsidRDefault="00DD69D1" w:rsidP="00FC0204">
      <w:pPr>
        <w:widowControl w:val="0"/>
        <w:suppressAutoHyphens/>
        <w:jc w:val="center"/>
        <w:rPr>
          <w:szCs w:val="28"/>
        </w:rPr>
      </w:pPr>
      <w:r w:rsidRPr="008B634A">
        <w:t xml:space="preserve">4. </w:t>
      </w:r>
      <w:r w:rsidR="00FC0204" w:rsidRPr="003C532E">
        <w:rPr>
          <w:b/>
          <w:szCs w:val="28"/>
        </w:rPr>
        <w:t>4</w:t>
      </w:r>
      <w:r w:rsidR="00FC0204" w:rsidRPr="00CD0DF5">
        <w:rPr>
          <w:b/>
          <w:szCs w:val="28"/>
        </w:rPr>
        <w:t>.</w:t>
      </w:r>
      <w:r w:rsidR="00FC0204" w:rsidRPr="00CD0DF5">
        <w:rPr>
          <w:b/>
        </w:rPr>
        <w:t xml:space="preserve"> Обоснование ресурсного обеспечения подпрограммы</w:t>
      </w:r>
    </w:p>
    <w:p w:rsidR="00FC0204" w:rsidRPr="008B634A" w:rsidRDefault="00FC0204" w:rsidP="00FC0204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1"/>
        <w:gridCol w:w="1418"/>
        <w:gridCol w:w="1277"/>
        <w:gridCol w:w="1276"/>
        <w:gridCol w:w="1277"/>
        <w:gridCol w:w="1418"/>
        <w:gridCol w:w="1280"/>
      </w:tblGrid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6C3998" w:rsidRPr="009C1D8B" w:rsidTr="006C3998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6C3998" w:rsidRPr="009C1D8B" w:rsidTr="006C3998"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24 252,0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1  040,5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1 970,5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2 135,0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2 321,0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2 685,0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6C3998" w:rsidRPr="009C1D8B" w:rsidTr="006C3998"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998" w:rsidRPr="009C1D8B" w:rsidRDefault="006C3998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998" w:rsidRPr="009C1D8B" w:rsidRDefault="006C3998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1" w:name="sub_415"/>
      <w:r w:rsidRPr="008B634A">
        <w:t>5. Механизм реализации подпрограммы</w:t>
      </w:r>
    </w:p>
    <w:bookmarkEnd w:id="31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4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B71D77" w:rsidRPr="007B0340" w:rsidTr="00B71D77">
        <w:trPr>
          <w:trHeight w:val="386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71D77" w:rsidRPr="007B0340" w:rsidTr="00B71D77">
        <w:trPr>
          <w:trHeight w:val="753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B71D77" w:rsidRPr="007B0340" w:rsidTr="00B71D77">
        <w:trPr>
          <w:trHeight w:val="31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71D77" w:rsidRPr="007B0340" w:rsidTr="00B71D77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lastRenderedPageBreak/>
              <w:t xml:space="preserve">1.1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71D77" w:rsidRPr="007B0340" w:rsidRDefault="00B71D77" w:rsidP="000C77C9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2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</w:r>
      <w:r w:rsidRPr="008B634A">
        <w:rPr>
          <w:rStyle w:val="af4"/>
          <w:b w:val="0"/>
          <w:bCs/>
          <w:color w:val="auto"/>
          <w:szCs w:val="28"/>
        </w:rPr>
        <w:lastRenderedPageBreak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FC0204" w:rsidRPr="008B634A" w:rsidRDefault="00FC0204" w:rsidP="00FC0204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851"/>
        <w:gridCol w:w="1275"/>
        <w:gridCol w:w="1134"/>
        <w:gridCol w:w="1134"/>
        <w:gridCol w:w="1276"/>
        <w:gridCol w:w="1134"/>
        <w:gridCol w:w="1134"/>
        <w:gridCol w:w="1984"/>
        <w:gridCol w:w="2552"/>
      </w:tblGrid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7B0340">
              <w:rPr>
                <w:sz w:val="24"/>
                <w:szCs w:val="24"/>
              </w:rPr>
              <w:t>лиц, замещавших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ные должности и должности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ной службы муниципаль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отсутствует</w:t>
            </w: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24 252,0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2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3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счет средств краевого бюджета –2383,1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3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>муниципального</w:t>
      </w:r>
      <w:r w:rsidRPr="008B634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4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4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5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982C55" w:rsidRPr="008B634A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8B634A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982C55" w:rsidRPr="008B634A" w:rsidTr="00982C55">
        <w:tc>
          <w:tcPr>
            <w:tcW w:w="180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Общий объем 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финансирования по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подпрограмме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6" w:name="sub_555"/>
      <w:r w:rsidRPr="008B634A">
        <w:rPr>
          <w:b/>
        </w:rPr>
        <w:t>5. Механизм реализации подпрограммы</w:t>
      </w:r>
      <w:bookmarkEnd w:id="36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0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5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B71D77" w:rsidRPr="008B634A" w:rsidTr="000C77C9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8B634A" w:rsidTr="000C77C9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10184E" w:rsidRDefault="00B71D77" w:rsidP="000C77C9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10184E" w:rsidRDefault="00B71D77" w:rsidP="000C77C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B71D77" w:rsidRPr="008B634A" w:rsidTr="000C77C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8B634A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8B634A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Default="00982C55" w:rsidP="00982C55">
      <w:pPr>
        <w:widowControl w:val="0"/>
        <w:suppressAutoHyphens/>
        <w:rPr>
          <w:sz w:val="24"/>
          <w:szCs w:val="24"/>
        </w:rPr>
      </w:pPr>
    </w:p>
    <w:p w:rsidR="007D3716" w:rsidRPr="008B634A" w:rsidRDefault="007D3716" w:rsidP="00982C55">
      <w:pPr>
        <w:widowControl w:val="0"/>
        <w:suppressAutoHyphens/>
        <w:rPr>
          <w:sz w:val="24"/>
          <w:szCs w:val="24"/>
        </w:rPr>
      </w:pPr>
    </w:p>
    <w:p w:rsidR="007D3716" w:rsidRDefault="007D3716" w:rsidP="00982C55">
      <w:pPr>
        <w:widowControl w:val="0"/>
        <w:suppressAutoHyphens/>
        <w:rPr>
          <w:sz w:val="24"/>
          <w:szCs w:val="24"/>
        </w:rPr>
      </w:pP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7D3716" w:rsidRPr="007D3716" w:rsidRDefault="00982C55" w:rsidP="007D3716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 </w:t>
      </w:r>
      <w:r w:rsidR="007D3716">
        <w:rPr>
          <w:szCs w:val="28"/>
        </w:rPr>
        <w:t xml:space="preserve">                          </w:t>
      </w:r>
      <w:r w:rsidRPr="007D3716">
        <w:rPr>
          <w:szCs w:val="28"/>
        </w:rPr>
        <w:t xml:space="preserve"> </w:t>
      </w:r>
      <w:r w:rsidR="007D3716" w:rsidRPr="007D3716">
        <w:rPr>
          <w:szCs w:val="28"/>
        </w:rPr>
        <w:t>А.А. Чукина</w:t>
      </w:r>
    </w:p>
    <w:p w:rsidR="00982C55" w:rsidRPr="007D3716" w:rsidRDefault="00982C55" w:rsidP="00982C55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 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1984"/>
        <w:gridCol w:w="1985"/>
      </w:tblGrid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Годы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98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1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8 330,5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2 322,2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№1.1</w:t>
            </w: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№1.2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1177,4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1177,4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 зданий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МБОУ СОШ № 18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70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pacing w:val="-3"/>
                <w:sz w:val="24"/>
                <w:szCs w:val="24"/>
              </w:rPr>
              <w:t>Мероприятие №1.3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маломобильных групп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маломобильных групп населения в МБОУ СОШ №12, МБОУ СОШ №15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№1.4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№1.5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B0340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672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№1.6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B0340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B0340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 г - в МАДОУ ЦРР д/с №18 г. Кропоткина,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г. - МБДОУ д/с к-в № 15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Обеспечение жителей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2.1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г.Кропоткина, ДМШ №1 им.Свиридоваг.Кропоткина,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33,5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4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1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1D77" w:rsidRPr="007B0340" w:rsidTr="00B71D77">
        <w:trPr>
          <w:trHeight w:val="449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4376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310"/>
        </w:trPr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2.2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«Оборудование санитарно-бытового помещения для 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Оборудование санитарно-бытового помещения 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2.3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дублированием рельефными знаками) для размещения в МБОУ ДОД ДХШ г.Кропоткина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3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ДЮСШ «Прометей» ст.Кавказская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rPr>
          <w:trHeight w:val="1390"/>
        </w:trPr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Мероприятия № 4 Обеспечение жителей услугами организаций пассажирского транспорта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 xml:space="preserve">общественного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</w:t>
            </w: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Мероприятие № 4.1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Оснащение  пассажирских автобусов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</w:t>
            </w:r>
            <w:r w:rsidRPr="007B0340">
              <w:rPr>
                <w:sz w:val="24"/>
                <w:szCs w:val="24"/>
              </w:rPr>
              <w:lastRenderedPageBreak/>
              <w:t>маршруте следования и остановках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Итого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10 886,0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4 491,7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2 383,1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3 973,1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38,1</w:t>
            </w:r>
          </w:p>
        </w:tc>
        <w:tc>
          <w:tcPr>
            <w:tcW w:w="1984" w:type="dxa"/>
            <w:vMerge w:val="restart"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vMerge w:val="restart"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3 596,3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1 703,0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955,2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38,1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1 292,0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2 580,9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1 130,8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2 285,9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430,9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B034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     А.А. Чукина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</w:t>
            </w:r>
            <w:bookmarkStart w:id="37" w:name="_GoBack"/>
            <w:bookmarkEnd w:id="37"/>
            <w:r w:rsidRPr="008B634A">
              <w:rPr>
                <w:bCs/>
                <w:szCs w:val="28"/>
              </w:rPr>
              <w:t xml:space="preserve">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71D77" w:rsidRPr="009C1D8B" w:rsidRDefault="00B71D77" w:rsidP="00B71D77">
            <w:pPr>
              <w:widowControl w:val="0"/>
              <w:suppressAutoHyphens/>
              <w:ind w:left="351"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 xml:space="preserve">Общий объем финансирования подпрограммы            из средств  местного бюджета составляет – 13 972,0 тыс. руб. из средств  местного бюджета 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7"/>
        <w:gridCol w:w="1277"/>
        <w:gridCol w:w="1277"/>
        <w:gridCol w:w="1418"/>
        <w:gridCol w:w="1419"/>
        <w:gridCol w:w="1418"/>
      </w:tblGrid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Годы реализации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Объем финансирования, тыс. рублей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 разрезе источников финансирования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федеральный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краевой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внебюджетные</w:t>
            </w:r>
          </w:p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источники</w:t>
            </w:r>
          </w:p>
        </w:tc>
      </w:tr>
      <w:tr w:rsidR="00B71D77" w:rsidRPr="009C1D8B" w:rsidTr="00B71D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7</w:t>
            </w:r>
          </w:p>
        </w:tc>
      </w:tr>
      <w:tr w:rsidR="00B71D77" w:rsidRPr="009C1D8B" w:rsidTr="00B71D77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bCs/>
                <w:szCs w:val="28"/>
              </w:rPr>
              <w:lastRenderedPageBreak/>
              <w:t xml:space="preserve">Подпрограмма </w:t>
            </w:r>
            <w:r w:rsidRPr="009C1D8B">
              <w:rPr>
                <w:szCs w:val="28"/>
              </w:rPr>
              <w:t>«Обеспечение жильем граждан, состоящих на учете в качестве нуждающихся в жилых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13 972,0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13 972,0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3 850,0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1 416,0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1 736,0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2 170,0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2 170,0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  <w:tr w:rsidR="00B71D77" w:rsidRPr="009C1D8B" w:rsidTr="00B71D77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D77" w:rsidRPr="009C1D8B" w:rsidRDefault="00B71D77" w:rsidP="000C77C9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1 300,0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77" w:rsidRPr="009C1D8B" w:rsidRDefault="00B71D77" w:rsidP="000C77C9">
            <w:pPr>
              <w:widowControl w:val="0"/>
              <w:suppressAutoHyphens/>
              <w:jc w:val="center"/>
              <w:rPr>
                <w:szCs w:val="28"/>
              </w:rPr>
            </w:pPr>
            <w:r w:rsidRPr="009C1D8B">
              <w:rPr>
                <w:szCs w:val="28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5"/>
        <w:gridCol w:w="996"/>
        <w:gridCol w:w="710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71D77" w:rsidRPr="007B0340" w:rsidTr="00B71D77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B71D77" w:rsidRPr="007B0340" w:rsidTr="00B71D77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B71D77" w:rsidRPr="007B0340" w:rsidRDefault="00B71D77" w:rsidP="000C77C9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малоимущих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администрации муниципального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Кавказский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район в качестве нуждающихся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</w:tr>
      <w:tr w:rsidR="00B71D77" w:rsidRPr="007B0340" w:rsidTr="00B71D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77" w:rsidRPr="007B0340" w:rsidRDefault="00B71D77" w:rsidP="000C77C9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</w:t>
            </w:r>
            <w:r w:rsidRPr="007B0340">
              <w:rPr>
                <w:sz w:val="24"/>
                <w:szCs w:val="24"/>
              </w:rPr>
              <w:lastRenderedPageBreak/>
              <w:t>договорам социального найма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77" w:rsidRPr="007B0340" w:rsidRDefault="00B71D77" w:rsidP="000C77C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6A2B70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6A2B70" w:rsidRPr="00BC3CAB" w:rsidRDefault="006A2B70" w:rsidP="006A2B70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BC3CAB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6A2B70" w:rsidRPr="00BC3CAB" w:rsidRDefault="006A2B70" w:rsidP="006A2B70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C3CAB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6A2B70" w:rsidRPr="00BC3CAB" w:rsidRDefault="006A2B70" w:rsidP="006A2B70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6A2B70" w:rsidRPr="00BC3CAB" w:rsidTr="008D7EA7">
        <w:tc>
          <w:tcPr>
            <w:tcW w:w="56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 xml:space="preserve">Наименование </w:t>
            </w:r>
          </w:p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C3CAB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Годы</w:t>
            </w:r>
          </w:p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11</w:t>
            </w:r>
          </w:p>
        </w:tc>
      </w:tr>
      <w:tr w:rsidR="006A2B70" w:rsidRPr="00BC3CAB" w:rsidTr="008D7EA7">
        <w:tc>
          <w:tcPr>
            <w:tcW w:w="56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</w:t>
            </w:r>
            <w:r w:rsidRPr="00BC3CAB">
              <w:rPr>
                <w:szCs w:val="28"/>
              </w:rPr>
              <w:lastRenderedPageBreak/>
              <w:t>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lastRenderedPageBreak/>
              <w:t>3</w:t>
            </w:r>
          </w:p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13 972,0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 xml:space="preserve">Приобретение жилых помещений </w:t>
            </w:r>
            <w:r w:rsidRPr="00BC3CAB">
              <w:rPr>
                <w:szCs w:val="28"/>
              </w:rPr>
              <w:lastRenderedPageBreak/>
              <w:t>для малоимущих граждан</w:t>
            </w:r>
          </w:p>
        </w:tc>
        <w:tc>
          <w:tcPr>
            <w:tcW w:w="212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lastRenderedPageBreak/>
              <w:t>не предусмотрены</w:t>
            </w: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2 200,0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2 200,0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3 850,0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1 416,0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1 416,0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1 736,0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1 736,0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2 170,0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both"/>
              <w:rPr>
                <w:szCs w:val="28"/>
              </w:rPr>
            </w:pPr>
            <w:r w:rsidRPr="00BC3CAB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13 972,0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13 972,0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2 200,0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2 200,0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3 850,0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3 850,0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1 416,0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1 416,0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1 736,0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1 736,0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2 170,0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2 170,0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  <w:vAlign w:val="center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6A2B70" w:rsidRPr="00BC3CAB" w:rsidTr="008D7EA7"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1 300,0</w:t>
            </w:r>
          </w:p>
        </w:tc>
        <w:tc>
          <w:tcPr>
            <w:tcW w:w="992" w:type="dxa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6A2B70" w:rsidRPr="00BC3CAB" w:rsidRDefault="006A2B70" w:rsidP="008D7EA7">
            <w:pPr>
              <w:jc w:val="center"/>
              <w:rPr>
                <w:szCs w:val="28"/>
              </w:rPr>
            </w:pPr>
            <w:r w:rsidRPr="00BC3CAB">
              <w:rPr>
                <w:szCs w:val="28"/>
              </w:rPr>
              <w:t>1 300,0</w:t>
            </w:r>
          </w:p>
        </w:tc>
        <w:tc>
          <w:tcPr>
            <w:tcW w:w="1134" w:type="dxa"/>
          </w:tcPr>
          <w:p w:rsidR="006A2B70" w:rsidRPr="00BC3CAB" w:rsidRDefault="006A2B70" w:rsidP="008D7EA7">
            <w:pPr>
              <w:jc w:val="center"/>
              <w:rPr>
                <w:bCs/>
                <w:szCs w:val="28"/>
              </w:rPr>
            </w:pPr>
            <w:r w:rsidRPr="00BC3CAB">
              <w:rPr>
                <w:bCs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6A2B70" w:rsidRPr="00BC3CAB" w:rsidRDefault="006A2B70" w:rsidP="008D7EA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</w:t>
      </w:r>
      <w:r w:rsidR="006A2B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34A">
        <w:rPr>
          <w:rFonts w:ascii="Times New Roman" w:hAnsi="Times New Roman" w:cs="Times New Roman"/>
          <w:sz w:val="28"/>
          <w:szCs w:val="28"/>
        </w:rPr>
        <w:t>Л.В. Юрина</w:t>
      </w:r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1"/>
      <w:headerReference w:type="default" r:id="rId22"/>
      <w:footerReference w:type="even" r:id="rId23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01" w:rsidRDefault="00160B01" w:rsidP="00367CD7">
      <w:r>
        <w:separator/>
      </w:r>
    </w:p>
  </w:endnote>
  <w:endnote w:type="continuationSeparator" w:id="1">
    <w:p w:rsidR="00160B01" w:rsidRDefault="00160B01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56" w:rsidRDefault="00913BF7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C2255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22556" w:rsidRDefault="00C22556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01" w:rsidRDefault="00160B01" w:rsidP="00367CD7">
      <w:r>
        <w:separator/>
      </w:r>
    </w:p>
  </w:footnote>
  <w:footnote w:type="continuationSeparator" w:id="1">
    <w:p w:rsidR="00160B01" w:rsidRDefault="00160B01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56" w:rsidRDefault="00913BF7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22556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22556" w:rsidRDefault="00C2255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556" w:rsidRPr="001B7EB9" w:rsidRDefault="00C22556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C77C9"/>
    <w:rsid w:val="000D120C"/>
    <w:rsid w:val="000D50A1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1F78C2"/>
    <w:rsid w:val="00200807"/>
    <w:rsid w:val="00205A34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312D9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08D1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14BD6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46AA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07C2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386D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0350"/>
    <w:rsid w:val="00A733D4"/>
    <w:rsid w:val="00A74432"/>
    <w:rsid w:val="00A75781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AE64AC"/>
    <w:rsid w:val="00AF7331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3733F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5000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7A4F"/>
    <w:rsid w:val="00C16654"/>
    <w:rsid w:val="00C20442"/>
    <w:rsid w:val="00C22556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16EE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C0337"/>
    <w:rsid w:val="00EC7D58"/>
    <w:rsid w:val="00ED77AD"/>
    <w:rsid w:val="00EE0671"/>
    <w:rsid w:val="00EE08E4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0204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23840627.0" TargetMode="External"/><Relationship Id="rId18" Type="http://schemas.openxmlformats.org/officeDocument/2006/relationships/hyperlink" Target="garantF1://12052272.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25128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10064186.0" TargetMode="External"/><Relationship Id="rId19" Type="http://schemas.openxmlformats.org/officeDocument/2006/relationships/hyperlink" Target="garantF1://2384124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548.0" TargetMode="External"/><Relationship Id="rId14" Type="http://schemas.openxmlformats.org/officeDocument/2006/relationships/hyperlink" Target="garantF1://23801384.0" TargetMode="External"/><Relationship Id="rId22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F69A-842B-426D-ADC2-437BF9B3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9</TotalTime>
  <Pages>1</Pages>
  <Words>25055</Words>
  <Characters>142816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updn3</cp:lastModifiedBy>
  <cp:revision>5</cp:revision>
  <cp:lastPrinted>2019-05-24T11:40:00Z</cp:lastPrinted>
  <dcterms:created xsi:type="dcterms:W3CDTF">2021-03-17T12:15:00Z</dcterms:created>
  <dcterms:modified xsi:type="dcterms:W3CDTF">2021-03-23T10:56:00Z</dcterms:modified>
</cp:coreProperties>
</file>