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29" w:rsidRDefault="00581F29" w:rsidP="0058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</w:t>
      </w:r>
    </w:p>
    <w:p w:rsidR="00581F29" w:rsidRDefault="00581F29" w:rsidP="0058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Кавказский район на долгосрочный период </w:t>
      </w:r>
    </w:p>
    <w:p w:rsidR="00581F29" w:rsidRDefault="00581F29" w:rsidP="0058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2028 года</w:t>
      </w:r>
    </w:p>
    <w:p w:rsidR="00581F29" w:rsidRPr="007F6077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077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постановлением администрации муниципального образования Кавказский район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F6077">
        <w:rPr>
          <w:rFonts w:ascii="Times New Roman" w:eastAsia="Times New Roman" w:hAnsi="Times New Roman"/>
          <w:sz w:val="24"/>
          <w:szCs w:val="24"/>
          <w:lang w:eastAsia="ru-RU"/>
        </w:rPr>
        <w:t>.01.202</w:t>
      </w:r>
      <w:r w:rsidR="0016211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6211F" w:rsidRPr="001621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211F" w:rsidRPr="007F607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6211F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="008A3BED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изменениями и дополнениями от 31.01.2024г.</w:t>
      </w:r>
      <w:r w:rsidRPr="007F607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81F29" w:rsidRDefault="00581F29" w:rsidP="00581F29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муниципального образования Кавказский район  на долгосрочный период до 2028 года (далее – Бюджетный прогноз) разработан в соответствии со статьей 170.1 Бюджетного кодекса Российской Федерации, пунктом 7 Порядка разработки и утверждения бюджетного прогноза муниципального образования Кавказский район на долгосрочный период, утвержденного постановлением администрации муниципального образования Кавказский район от 16 июля 2015 г. № 1102, на основе долгосрочного прогноза социально-экономического развития Кавказского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на долгосрочный период до 2030 года, утвержденного постановлением администрации муниципального образования от 18 декабря 2018 года № 1750 "Об утверждении (одобрении) долгосрочного прогноза социально-экономического развития муниципального образования Кавказский район на 2019 год и плановый период до 2030 года", а также с учетом основных направлений бюджетной и налоговой политики муниципального образования Кавказский район. </w:t>
      </w:r>
      <w:proofErr w:type="gramEnd"/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разработан в условиях налогового и бюджетного законодательства, действующего на момент его составления.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подготовке Бюджетного прогноза учтены положения указов Президента Российской Федерации от 7 мая 2018 года № 204 "О национальных целях и стратегических задачах развития Российской Федерации на период до 2024 года", от 21 июля 2020 г. № 474 "О национальных целях развития Российской Федерации на период до 2030 года", муниципальных программ муниципального образования Кавказский район.</w:t>
      </w:r>
      <w:proofErr w:type="gramEnd"/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разработки Бюджетного прогноза является оценка основных параметров бюджета муниципального образования Кавказский район (далее – районного бюджета) и консолидированного бюджета района на долгосрочный период, позволяющая обеспечить сбалансированность бюджетов и достижение стратегических целей социально-экономического развития Кавказского района.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Основная задача Бюджетного прогноза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Кавказского района.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Основные подходы к формированию Бюджетного прогноза 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политики муниципального образования Кавказский район  на долгосрочный период (далее – бюджетная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политика) сохраняют преемственность реализуемых мер, направленных на обеспечение сбалансированности районного бюджета; развитие программно-целевых методов управления; повышение эффективности бюджетных расходов, в том числе повышение качества оказания муниципальных услуг (выполнения работ); финансового менеджмента в секторе муниципального управления; совершенствование межбюджетных отношений;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прозрачности (открытости) бюджетного процесса, осуществляемого в муниципальном образовании Кавказский район.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Главной целью бюджетной политики в муниципальном образовании Кавказский район остается обеспечение мер, направленных на устойчивое социально-экономическое развитие муниципального образования Кавказский район.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приоритетом бюджетной политики является обеспечение населения доступными и качественными муниципальными услугами, социальными гарантиями,  адресное решение социальных вопросов, создание благоприятных и комфортных условий для проживания.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Приоритетами бюджетных расходов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остаются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указов Президента Российской Федерации в части решения задач, определенных национальными целями развития Российской Федерации до 2030 года, и повышения средней заработной платы отдельным категориям работников бюджетной сферы, социальная поддержка отдельных категорий граждан, развитие общественной инфраструктуры муниципального значения.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бюджетной политики являются: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ориентация структуры расходов районного бюджета на приоритеты, определенные национальными целями развития Российской Федерации на период до 2030 года в соответствии с Указом № 474;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сбалансированности и устойчивости районного бюджета и бюджетов поселений;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инвестиционной активности хозяйствующих субъектов, осуществляющих деятельность на территории Кавказского района;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управления муниципальными финансами.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сбалансированности районного бюджета будет продолжена работа по обеспечению роста доходной части районного бюджета, в том числе за счет следующих мер:</w:t>
      </w:r>
    </w:p>
    <w:p w:rsidR="00581F29" w:rsidRDefault="00581F29" w:rsidP="00581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увеличения налогового потенциала района;</w:t>
      </w:r>
    </w:p>
    <w:p w:rsidR="00581F29" w:rsidRDefault="00581F29" w:rsidP="00581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совершенствования администрирования налоговых и неналоговых доходов, осуществления мероприятий по легализации доходной базы;</w:t>
      </w:r>
    </w:p>
    <w:p w:rsidR="00581F29" w:rsidRDefault="00581F29" w:rsidP="00581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повышения эффективности управления муниципальным имуществом и увеличение доходов от его использования;</w:t>
      </w:r>
    </w:p>
    <w:p w:rsidR="00581F29" w:rsidRDefault="00581F29" w:rsidP="00581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организации эффективного взаимодействия органов местного самоуправления муниципального образования Кавказский район и территориальных федеральных и региональных органов исполнительной власти в вопросах мобилизации доходов.</w:t>
      </w:r>
    </w:p>
    <w:p w:rsidR="00581F29" w:rsidRDefault="00581F29" w:rsidP="00581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долговой политики муниципального образования Кавказский район предусматривается поддержание высокого уровня долговой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устойчивости в соответствии с критериями, установленными Бюджетным кодексом Российской Федерации.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Условия формирования 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Бюджетного прогноза и основных характеристик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консолидированного бюджета муниципального 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Кавказский район и районного бюджета 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сформирован исходя из базового сценария прогноза основных макроэкономических параметров, обуславливающего минимизацию рисков, связанных с формированием доходной части районного бюджета и консолидированного бюджета муниципального образования Кавказский район.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базового сценария прогноза основных характеристик  социально-экономического развития муниципального образования Кавказский район  ожидается рост экономических показателей района, последствия от кризиса, вызванного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санкционным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давлением, будут менее выражены в долгосрочном периоде.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плановом периоде в развитии экономики муниципального образования прогнозируется увеличение темпов производства, повышение доходности предприятий и укрепление их финансовой устойчивости. Экономический рост станет прочной базой для выполнения бюджетных назначений, финансирования социально ориентированных программ. 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Предполагаемые результаты работы хозяйственного комплекса обеспечат повышение уровня доходов населения и стабильность на рынке труда.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ближайшие шесть лет существенных изменений в структуре экономики района не произойдет. Основными отраслями специализации останутся перерабатывающая промышленность, розничная торговля, транспорт. 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Прогноз объема налоговых и неналоговых доходов консолидированного бюджета муниципального образования Кавказский район и районного бюджета рассчитан с ежегодным приростом исходя из показателей прогноза социально-экономического развития муниципального образования Кавказский район до 2030 года.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объема безвозмездных поступлений в консолидированный бюджет муниципального образования Кавказский район и районный бюджет рассчитан в соответствии с прогнозными объемами межбюджетных трансфертов, предоставляемых районному бюджету и бюджетам поселений района из других бюджетов бюджетной системы Российской Федерации. </w:t>
      </w:r>
      <w:r w:rsidR="00F03F4D" w:rsidRPr="00B42B91">
        <w:rPr>
          <w:rFonts w:ascii="Times New Roman" w:hAnsi="Times New Roman"/>
          <w:sz w:val="28"/>
          <w:szCs w:val="28"/>
        </w:rPr>
        <w:t>С 202</w:t>
      </w:r>
      <w:r w:rsidR="00F03F4D">
        <w:rPr>
          <w:rFonts w:ascii="Times New Roman" w:hAnsi="Times New Roman"/>
          <w:sz w:val="28"/>
          <w:szCs w:val="28"/>
        </w:rPr>
        <w:t>7</w:t>
      </w:r>
      <w:r w:rsidR="00F03F4D" w:rsidRPr="00B42B91">
        <w:rPr>
          <w:rFonts w:ascii="Times New Roman" w:hAnsi="Times New Roman"/>
          <w:sz w:val="28"/>
          <w:szCs w:val="28"/>
        </w:rPr>
        <w:t xml:space="preserve"> года объем безвозмездных поступлений оценивается на уровне 202</w:t>
      </w:r>
      <w:r w:rsidR="00F03F4D">
        <w:rPr>
          <w:rFonts w:ascii="Times New Roman" w:hAnsi="Times New Roman"/>
          <w:sz w:val="28"/>
          <w:szCs w:val="28"/>
        </w:rPr>
        <w:t>6</w:t>
      </w:r>
      <w:r w:rsidR="00F03F4D" w:rsidRPr="00B42B91">
        <w:rPr>
          <w:rFonts w:ascii="Times New Roman" w:hAnsi="Times New Roman"/>
          <w:sz w:val="28"/>
          <w:szCs w:val="28"/>
        </w:rPr>
        <w:t xml:space="preserve"> года.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Расчет расходов консолидированного бюджета муниципального образования Кавказский район и районного бюджета осуществлен, исходя из принципа сбалансированности бюджета с учетом динамики прогнозных показателей объема муниципального долга муниципального образования Кавказский район и поселений района.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долгосрочной перспективе сохранится адресное оказание мер социальной поддержки отдельных категорий граждан, продолжится поддержка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материнства и детства, включая поддержку многодетных семей, детей-сирот.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Прогноз основных характеристик консолидированного бюджета Кавказского района и собственно муниципального образования Кавказский район  до 2028 года представлен в приложении № 1 к Бюджетному прогнозу.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Подходы к прогнозированию и показатели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муниципальных программ 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Кавказский район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Большая часть приоритетов социально-экономического развития муниципального образования Кавказский район структурирована в рамках муниципальных программ муниципального образования Кавказский район.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муниципальных программ муниципального образования Кавказский район утвержден постановлением администрации муниципального образования Кавказский район от 4 августа 2014 года № 1289.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A66">
        <w:rPr>
          <w:rFonts w:ascii="Times New Roman" w:eastAsia="Times New Roman" w:hAnsi="Times New Roman"/>
          <w:sz w:val="28"/>
          <w:szCs w:val="28"/>
          <w:lang w:eastAsia="ru-RU"/>
        </w:rPr>
        <w:t>Учитывая, что сроки реализации муниципальных программ не выходят за пределы 202</w:t>
      </w:r>
      <w:r w:rsidR="002A0AF9" w:rsidRPr="008E7A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7A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расчет показателей финансового обеспечения муниципальных программ муниципального образования Кавказский район осуществлен на период до 202</w:t>
      </w:r>
      <w:r w:rsidR="002A0AF9" w:rsidRPr="008E7A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7A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Показатели финансового обеспечения муниципальных программ муниципального образования Кавказский район за пределами 202</w:t>
      </w:r>
      <w:r w:rsidR="002A0AF9" w:rsidRPr="008E7A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7A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оцениваются на уровне 202</w:t>
      </w:r>
      <w:r w:rsidR="002A0AF9" w:rsidRPr="008E7A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7A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Наибольший объем бюджетных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амках программных расходов приходится на реализацию муниципальных программ в области социальной сферы, таких как, "Развитие образования", "Социальная поддержка граждан",  «Развитие культуры», «Развитие физической культуры и спорта». 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Главными целями и задачами указанных муниципальных программ муниципального образования Кавказский район являются: обеспечение условий для эффективного развития образования, развитие сети и инфраструктуры образовательных организаций;  поддержка материнства и детства, включая поддержку детей-сирот; создание условий, обеспечивающих возможность гражданам систематически заниматься физической культурой и спортом, развитие инфраструктуры спорта; создание условий для развития культуры района и всестороннее участие граждан в культурной жизни,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 сохранение и развитие художественно-эстетического образования детей и подростков.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финансового обеспечения муниципальных программ муниципального образования Кавказский район на период их действия представлены в приложении № 2 к Бюджетному прогнозу.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Основные риски, влияющие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сбалансированность районного бюджета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бюджетном планировании на долгосрочный период требуется учет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рисков неопределенности и вероятности изменения бюджетных показателей под влиянием перемены внешних и внутренних факторов.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Внешним фактором риска является бюджетная политика Российской Федерации, Краснодарского края в части перераспределения дополнительных полномочий на уровень муниципальных образований, внесения изменений в межбюджетные отношения или принятия на федеральном или краевом уровнях решений, приводящих к увеличению стоимости расходных обязательств муниципальных образований.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указанных действий может возрасти нагрузка на районный бюджет или сократиться объем межбюджетных трансфертов, предоставляемых из краевого бюджета. Кроме того, увеличение стоимости расходных обязательств публично-правовых образований может быть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обусловлен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неблагоприятными экономическими условиями, ростом инфляции и цен на услуги естественных монополий.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Фактором риска невыполнения расходных обязательств муниципального образования Кавказский район в соответствии с предусмотренными в бюджете муниципального образования Кавказский район объемами бюджетных ассигнований на их исполнение является невыполнение доходной части районного бюджета, в том числе в результате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показателей прогноза социально-экономического развития муниципального образования Кавказский район в части роста инвестиций, объемов промышленного производства, прибыли прибыльных предприятий и доходов населения, 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недобросовестными налогоплательщиками схем уклонения от уплаты налогов.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рисками в сфере долговой политики являются риски увеличения расходов на обслуживание муниципального долга муниципального образования Кавказский район в связи с ростом процентных ставок на рынке заимствований, а также риски снижения ликвидности финансового рынка.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снижения указанных рисков при планировании и исполнении районного бюджета необходимо придерживаться базового сценария прогноза основных параметров социально-экономического развития муниципального образования Кавказский район, а также политики, направленной на оптимизацию и сдерживание роста расходов.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F29" w:rsidRDefault="00581F29" w:rsidP="00581F29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главы, </w:t>
      </w:r>
    </w:p>
    <w:p w:rsidR="00581F29" w:rsidRDefault="00581F29" w:rsidP="00581F29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финансового управления </w:t>
      </w:r>
    </w:p>
    <w:p w:rsidR="00581F29" w:rsidRDefault="00581F29" w:rsidP="00581F29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581F29" w:rsidRDefault="00581F29" w:rsidP="00581F29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Кавказский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Л.А. Губанова</w:t>
      </w:r>
    </w:p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F29" w:rsidRDefault="00581F29" w:rsidP="00581F29">
      <w:pPr>
        <w:spacing w:after="0" w:line="240" w:lineRule="auto"/>
        <w:rPr>
          <w:rFonts w:ascii="Times New Roman" w:hAnsi="Times New Roman"/>
          <w:sz w:val="28"/>
          <w:szCs w:val="28"/>
        </w:rPr>
        <w:sectPr w:rsidR="00581F29">
          <w:pgSz w:w="11905" w:h="16838"/>
          <w:pgMar w:top="1134" w:right="567" w:bottom="1134" w:left="1701" w:header="709" w:footer="0" w:gutter="0"/>
          <w:cols w:space="720"/>
        </w:sectPr>
      </w:pPr>
    </w:p>
    <w:p w:rsidR="00581F29" w:rsidRDefault="00581F29" w:rsidP="00581F29">
      <w:pPr>
        <w:pStyle w:val="ConsPlusNormal"/>
        <w:ind w:left="9204"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RANGE!A1:H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1F29" w:rsidRDefault="00581F29" w:rsidP="00581F29">
      <w:pPr>
        <w:pStyle w:val="ConsPlusNormal"/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581F29" w:rsidRDefault="00581F29" w:rsidP="00581F29">
      <w:pPr>
        <w:pStyle w:val="ConsPlusNormal"/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81F29" w:rsidRDefault="00581F29" w:rsidP="00581F29">
      <w:pPr>
        <w:pStyle w:val="ConsPlusNormal"/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долгосрочный</w:t>
      </w:r>
    </w:p>
    <w:p w:rsidR="00581F29" w:rsidRDefault="00581F29" w:rsidP="00581F29">
      <w:pPr>
        <w:pStyle w:val="ConsPlusNormal"/>
        <w:ind w:left="92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до 2028 года</w:t>
      </w:r>
    </w:p>
    <w:p w:rsidR="00581F29" w:rsidRDefault="00581F29" w:rsidP="00581F2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81F29" w:rsidRDefault="00581F29" w:rsidP="00581F2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81F29" w:rsidRDefault="00581F29" w:rsidP="00581F2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0C2" w:rsidRDefault="007830C2" w:rsidP="007830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7830C2" w:rsidRDefault="007830C2" w:rsidP="007830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консолидированного бюджета муниципального образования Кавказский район</w:t>
      </w:r>
    </w:p>
    <w:p w:rsidR="007830C2" w:rsidRDefault="007830C2" w:rsidP="007830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основных показателей районного бюджета</w:t>
      </w:r>
    </w:p>
    <w:p w:rsidR="007830C2" w:rsidRPr="00413007" w:rsidRDefault="007830C2" w:rsidP="007830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830C2" w:rsidRDefault="007830C2" w:rsidP="007830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30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3007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813"/>
        <w:gridCol w:w="1843"/>
        <w:gridCol w:w="1842"/>
        <w:gridCol w:w="1701"/>
        <w:gridCol w:w="1560"/>
        <w:gridCol w:w="1701"/>
        <w:gridCol w:w="1701"/>
      </w:tblGrid>
      <w:tr w:rsidR="007830C2" w:rsidRPr="0027232C" w:rsidTr="004F4EDB">
        <w:trPr>
          <w:tblHeader/>
        </w:trPr>
        <w:tc>
          <w:tcPr>
            <w:tcW w:w="50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</w:tbl>
    <w:p w:rsidR="007830C2" w:rsidRPr="0027232C" w:rsidRDefault="007830C2" w:rsidP="007830C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3843"/>
        <w:gridCol w:w="1843"/>
        <w:gridCol w:w="1842"/>
        <w:gridCol w:w="1701"/>
        <w:gridCol w:w="1560"/>
        <w:gridCol w:w="1701"/>
        <w:gridCol w:w="1701"/>
      </w:tblGrid>
      <w:tr w:rsidR="007830C2" w:rsidRPr="0027232C" w:rsidTr="004F4EDB">
        <w:trPr>
          <w:tblHeader/>
        </w:trPr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30C2" w:rsidRPr="0027232C" w:rsidTr="004F4EDB">
        <w:trPr>
          <w:tblHeader/>
        </w:trPr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1" w:type="dxa"/>
            <w:gridSpan w:val="7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муниципального образования Кавказский район</w:t>
            </w: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3501605,5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3625467,8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3516854,2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3414631,4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3451099,1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3448296,5</w:t>
            </w: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1503726,7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1729498,3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1786748,1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1823402,3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1859870,0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1897067,4</w:t>
            </w: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3782000,6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3640051,3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3506948,2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3412525,4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3446887,1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3448296,5</w:t>
            </w:r>
          </w:p>
        </w:tc>
      </w:tr>
      <w:tr w:rsidR="007830C2" w:rsidRPr="0027232C" w:rsidTr="004F4EDB">
        <w:trPr>
          <w:trHeight w:val="223"/>
        </w:trPr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proofErr w:type="gramStart"/>
            <w:r w:rsidRPr="0027232C">
              <w:rPr>
                <w:rFonts w:ascii="Times New Roman" w:hAnsi="Times New Roman" w:cs="Times New Roman"/>
                <w:sz w:val="24"/>
                <w:szCs w:val="24"/>
              </w:rPr>
              <w:t xml:space="preserve"> (–/+)</w:t>
            </w:r>
            <w:proofErr w:type="gramEnd"/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-280395,1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-14583,5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9906,0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2106,0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4212,0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30C2" w:rsidRPr="0027232C" w:rsidTr="004F4EDB">
        <w:trPr>
          <w:trHeight w:val="223"/>
        </w:trPr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1" w:type="dxa"/>
            <w:gridSpan w:val="7"/>
          </w:tcPr>
          <w:p w:rsidR="007830C2" w:rsidRPr="0027232C" w:rsidRDefault="007830C2" w:rsidP="004F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92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юджет муниципального образования Кавказский район</w:t>
            </w: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2720525,6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2847959,2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2841289,8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2721485,2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2744633,8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2768245,1</w:t>
            </w: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C2" w:rsidRPr="0027232C" w:rsidTr="004F4EDB">
        <w:trPr>
          <w:trHeight w:val="280"/>
        </w:trPr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947313,4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1103743,6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1143496,5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1157416,4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1180565,0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1204176,3</w:t>
            </w: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2923773,5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2847959,2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2841289,8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2721485,2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2744633,8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2768245,1</w:t>
            </w: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proofErr w:type="gramStart"/>
            <w:r w:rsidRPr="0027232C">
              <w:rPr>
                <w:rFonts w:ascii="Times New Roman" w:hAnsi="Times New Roman" w:cs="Times New Roman"/>
                <w:sz w:val="24"/>
                <w:szCs w:val="24"/>
              </w:rPr>
              <w:t xml:space="preserve"> (–/+)</w:t>
            </w:r>
            <w:proofErr w:type="gramEnd"/>
          </w:p>
        </w:tc>
        <w:tc>
          <w:tcPr>
            <w:tcW w:w="1843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-203247,9</w:t>
            </w:r>
          </w:p>
        </w:tc>
        <w:tc>
          <w:tcPr>
            <w:tcW w:w="184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30C2" w:rsidRPr="0027232C" w:rsidRDefault="007830C2" w:rsidP="004F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30C2" w:rsidRPr="0027232C" w:rsidTr="004F4EDB">
        <w:tc>
          <w:tcPr>
            <w:tcW w:w="472" w:type="dxa"/>
          </w:tcPr>
          <w:p w:rsidR="007830C2" w:rsidRPr="0027232C" w:rsidRDefault="007830C2" w:rsidP="004F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:rsidR="007830C2" w:rsidRPr="0027232C" w:rsidRDefault="007830C2" w:rsidP="004F4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32C"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1 января очередного финансового года</w:t>
            </w:r>
          </w:p>
        </w:tc>
        <w:tc>
          <w:tcPr>
            <w:tcW w:w="1843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30C2" w:rsidRPr="0089230D" w:rsidRDefault="007830C2" w:rsidP="004F4E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830C2" w:rsidRDefault="007830C2" w:rsidP="00783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30C2" w:rsidRDefault="007830C2" w:rsidP="00783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0C2" w:rsidRDefault="007830C2" w:rsidP="00783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образования,</w:t>
      </w:r>
    </w:p>
    <w:p w:rsidR="007830C2" w:rsidRPr="00497977" w:rsidRDefault="007830C2" w:rsidP="007830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                                                                                                                                         Л.А. Губанова</w:t>
      </w:r>
    </w:p>
    <w:p w:rsidR="00581F29" w:rsidRDefault="00581F29" w:rsidP="00581F29">
      <w:pPr>
        <w:pStyle w:val="ConsPlusNormal"/>
        <w:ind w:left="920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581F29" w:rsidRDefault="00581F29" w:rsidP="00581F29">
      <w:pPr>
        <w:pStyle w:val="ConsPlusNormal"/>
        <w:ind w:left="920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581F29" w:rsidRDefault="00581F29" w:rsidP="00581F29">
      <w:pPr>
        <w:pStyle w:val="ConsPlusNormal"/>
        <w:ind w:left="920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581F29" w:rsidRDefault="00581F29" w:rsidP="00581F29">
      <w:pPr>
        <w:pStyle w:val="ConsPlusNormal"/>
        <w:ind w:left="9204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581F29" w:rsidRDefault="00581F29" w:rsidP="00581F29">
      <w:pPr>
        <w:spacing w:after="0" w:line="240" w:lineRule="auto"/>
        <w:rPr>
          <w:rFonts w:ascii="Times New Roman" w:hAnsi="Times New Roman"/>
          <w:sz w:val="28"/>
          <w:szCs w:val="28"/>
        </w:rPr>
        <w:sectPr w:rsidR="00581F29">
          <w:pgSz w:w="16838" w:h="11906" w:orient="landscape"/>
          <w:pgMar w:top="1701" w:right="567" w:bottom="1134" w:left="1134" w:header="709" w:footer="709" w:gutter="0"/>
          <w:cols w:space="720"/>
        </w:sectPr>
      </w:pPr>
    </w:p>
    <w:tbl>
      <w:tblPr>
        <w:tblW w:w="15149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1400"/>
        <w:gridCol w:w="1408"/>
        <w:gridCol w:w="1448"/>
        <w:gridCol w:w="1448"/>
        <w:gridCol w:w="391"/>
        <w:gridCol w:w="993"/>
        <w:gridCol w:w="391"/>
      </w:tblGrid>
      <w:tr w:rsidR="00581F29" w:rsidTr="00581F29">
        <w:trPr>
          <w:trHeight w:val="375"/>
        </w:trPr>
        <w:tc>
          <w:tcPr>
            <w:tcW w:w="6111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bookmarkStart w:id="3" w:name="RANGE!A1:G32"/>
            <w:bookmarkEnd w:id="3"/>
          </w:p>
        </w:tc>
        <w:tc>
          <w:tcPr>
            <w:tcW w:w="1559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4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</w:tc>
        <w:tc>
          <w:tcPr>
            <w:tcW w:w="1384" w:type="dxa"/>
            <w:gridSpan w:val="2"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F29" w:rsidTr="00581F29">
        <w:trPr>
          <w:trHeight w:val="375"/>
        </w:trPr>
        <w:tc>
          <w:tcPr>
            <w:tcW w:w="6111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4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Бюджетному прогнозу</w:t>
            </w:r>
          </w:p>
        </w:tc>
        <w:tc>
          <w:tcPr>
            <w:tcW w:w="1384" w:type="dxa"/>
            <w:gridSpan w:val="2"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F29" w:rsidTr="00581F29">
        <w:trPr>
          <w:trHeight w:val="375"/>
        </w:trPr>
        <w:tc>
          <w:tcPr>
            <w:tcW w:w="6111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4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384" w:type="dxa"/>
            <w:gridSpan w:val="2"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F29" w:rsidTr="00581F29">
        <w:trPr>
          <w:trHeight w:val="375"/>
        </w:trPr>
        <w:tc>
          <w:tcPr>
            <w:tcW w:w="6111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4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Кавказский район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долгосрочный</w:t>
            </w:r>
          </w:p>
        </w:tc>
        <w:tc>
          <w:tcPr>
            <w:tcW w:w="1384" w:type="dxa"/>
            <w:gridSpan w:val="2"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F29" w:rsidTr="00581F29">
        <w:trPr>
          <w:trHeight w:val="375"/>
        </w:trPr>
        <w:tc>
          <w:tcPr>
            <w:tcW w:w="6111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4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 до 2028 года</w:t>
            </w:r>
          </w:p>
        </w:tc>
        <w:tc>
          <w:tcPr>
            <w:tcW w:w="1384" w:type="dxa"/>
            <w:gridSpan w:val="2"/>
          </w:tcPr>
          <w:p w:rsidR="00581F29" w:rsidRDefault="0058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F29" w:rsidTr="00581F29">
        <w:trPr>
          <w:gridAfter w:val="1"/>
          <w:wAfter w:w="391" w:type="dxa"/>
          <w:trHeight w:val="315"/>
        </w:trPr>
        <w:tc>
          <w:tcPr>
            <w:tcW w:w="6111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noWrap/>
            <w:vAlign w:val="bottom"/>
            <w:hideMark/>
          </w:tcPr>
          <w:p w:rsidR="00581F29" w:rsidRDefault="00581F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</w:tcPr>
          <w:p w:rsidR="00581F29" w:rsidRDefault="00581F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1F29" w:rsidRDefault="00581F29" w:rsidP="00581F29"/>
    <w:p w:rsidR="00581F29" w:rsidRDefault="00581F29" w:rsidP="00581F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7812"/>
        <w:gridCol w:w="1284"/>
        <w:gridCol w:w="1284"/>
        <w:gridCol w:w="1284"/>
        <w:gridCol w:w="1284"/>
        <w:gridCol w:w="1243"/>
        <w:gridCol w:w="1275"/>
      </w:tblGrid>
      <w:tr w:rsidR="00A96972" w:rsidRPr="00A96972" w:rsidTr="00A96972">
        <w:trPr>
          <w:trHeight w:val="390"/>
        </w:trPr>
        <w:tc>
          <w:tcPr>
            <w:tcW w:w="12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муниципального образования Кавказский район на период их действия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6972" w:rsidRPr="00A96972" w:rsidTr="00A96972">
        <w:trPr>
          <w:trHeight w:val="33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6972" w:rsidRPr="00A96972" w:rsidTr="00A96972">
        <w:trPr>
          <w:trHeight w:val="33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A96972" w:rsidRPr="00A96972" w:rsidTr="00A96972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96972" w:rsidRPr="00A96972" w:rsidTr="00A96972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2 923 773,5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2 847 959,2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2 841 289,8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2 721 485,2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2 744 633,8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2 768 245,1</w:t>
            </w:r>
          </w:p>
        </w:tc>
      </w:tr>
      <w:tr w:rsidR="00A96972" w:rsidRPr="00A96972" w:rsidTr="00A96972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Расходы, распределенные по программам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2 634 352,5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2 623 888,4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2 575 770,6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2 445 963,9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образования"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1 860 394,7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1 784 533,9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1 838 400,9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1 728 909,5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"Социальная поддержка граждан"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232 340,2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229 497,3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212 092,3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202 272,1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127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16 892,6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58 375,6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34 590,9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15 973,8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топливно-энергетического комплекса"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10 896,9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1 133,2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9 172,7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96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Кавказский район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36 901,3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36 103,2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26 201,0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26 201,0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"Обеспечение безопасности населения"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82 100,6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86 540,6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80 619,1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80 619,1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культуры"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137 330,9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142 037,1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132 195,7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131 666,3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физической культуры и спорта"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213 074,7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244 003,7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213 938,4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213 938,4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муниципального образования Кавказский район "Экономическое развитие и инновационная экономика"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1 688,8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1 887,6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1 887,6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"Молодежь Кавказского района"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9 147,9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11 790,5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9 656,6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9 656,6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"Информационное общество муниципального образования Кавказский район"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5 726,4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6 750,0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96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"Развитие сельского хозяйства  и регулирования рынков сельскохозяйственной продукции, сырья и продовольствия"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15 025,4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13 887,4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13 993,9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13 993,9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муниципального образования Кавказский район "Организация отдыха, оздоровления и занятости детей и подростков"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5 151,2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6 138,9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4 149,2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4 247,9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Кавказский район "Муниципальная политика и развитие гражданского общества"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7 680,9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72" w:rsidRPr="00A96972" w:rsidTr="00A96972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6972" w:rsidRPr="00A96972" w:rsidTr="00A96972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6972" w:rsidRPr="00A96972" w:rsidTr="00A96972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6972" w:rsidRPr="00A96972" w:rsidTr="00A96972">
        <w:trPr>
          <w:trHeight w:val="315"/>
        </w:trPr>
        <w:tc>
          <w:tcPr>
            <w:tcW w:w="15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муниципального образования,</w:t>
            </w:r>
          </w:p>
        </w:tc>
      </w:tr>
      <w:tr w:rsidR="00A96972" w:rsidRPr="00A96972" w:rsidTr="00A96972">
        <w:trPr>
          <w:trHeight w:val="315"/>
        </w:trPr>
        <w:tc>
          <w:tcPr>
            <w:tcW w:w="15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72" w:rsidRPr="00A96972" w:rsidRDefault="00A96972" w:rsidP="00A96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                                                                                                                                                                      Л.А. Губанова</w:t>
            </w:r>
          </w:p>
        </w:tc>
      </w:tr>
    </w:tbl>
    <w:p w:rsidR="00D65B52" w:rsidRDefault="00D65B52" w:rsidP="00E81410"/>
    <w:sectPr w:rsidR="00D65B52" w:rsidSect="00581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27"/>
    <w:rsid w:val="0016211F"/>
    <w:rsid w:val="00173A27"/>
    <w:rsid w:val="002A0AF9"/>
    <w:rsid w:val="00581F29"/>
    <w:rsid w:val="005C5F41"/>
    <w:rsid w:val="007830C2"/>
    <w:rsid w:val="008A3BED"/>
    <w:rsid w:val="008E7A66"/>
    <w:rsid w:val="00A96972"/>
    <w:rsid w:val="00D65B52"/>
    <w:rsid w:val="00E81410"/>
    <w:rsid w:val="00F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</dc:creator>
  <cp:keywords/>
  <dc:description/>
  <cp:lastModifiedBy>Martusenko</cp:lastModifiedBy>
  <cp:revision>11</cp:revision>
  <dcterms:created xsi:type="dcterms:W3CDTF">2023-01-25T06:53:00Z</dcterms:created>
  <dcterms:modified xsi:type="dcterms:W3CDTF">2024-02-09T06:37:00Z</dcterms:modified>
</cp:coreProperties>
</file>