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29" w:rsidRDefault="00581F29" w:rsidP="00581F29">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БЮДЖЕТНЫЙ ПРОГНОЗ</w:t>
      </w:r>
    </w:p>
    <w:p w:rsidR="00581F29" w:rsidRDefault="00581F29" w:rsidP="00581F29">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муниципального образования Кавказский район на долгосрочный период </w:t>
      </w:r>
    </w:p>
    <w:p w:rsidR="00581F29" w:rsidRDefault="00581F29" w:rsidP="00581F29">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до 2028 года</w:t>
      </w:r>
    </w:p>
    <w:p w:rsidR="00581F29" w:rsidRPr="007F6077"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7F6077">
        <w:rPr>
          <w:rFonts w:ascii="Times New Roman" w:eastAsia="Times New Roman" w:hAnsi="Times New Roman"/>
          <w:sz w:val="24"/>
          <w:szCs w:val="24"/>
          <w:lang w:eastAsia="ru-RU"/>
        </w:rPr>
        <w:t xml:space="preserve">(утвержден постановлением администрации муниципального образования Кавказский район от </w:t>
      </w:r>
      <w:r>
        <w:rPr>
          <w:rFonts w:ascii="Times New Roman" w:eastAsia="Times New Roman" w:hAnsi="Times New Roman"/>
          <w:sz w:val="24"/>
          <w:szCs w:val="24"/>
          <w:lang w:eastAsia="ru-RU"/>
        </w:rPr>
        <w:t>20</w:t>
      </w:r>
      <w:r w:rsidRPr="007F6077">
        <w:rPr>
          <w:rFonts w:ascii="Times New Roman" w:eastAsia="Times New Roman" w:hAnsi="Times New Roman"/>
          <w:sz w:val="24"/>
          <w:szCs w:val="24"/>
          <w:lang w:eastAsia="ru-RU"/>
        </w:rPr>
        <w:t>.01.202</w:t>
      </w:r>
      <w:r w:rsidR="0016211F">
        <w:rPr>
          <w:rFonts w:ascii="Times New Roman" w:eastAsia="Times New Roman" w:hAnsi="Times New Roman"/>
          <w:sz w:val="24"/>
          <w:szCs w:val="24"/>
          <w:lang w:eastAsia="ru-RU"/>
        </w:rPr>
        <w:t>3</w:t>
      </w:r>
      <w:r w:rsidR="0016211F" w:rsidRPr="0016211F">
        <w:rPr>
          <w:rFonts w:ascii="Times New Roman" w:eastAsia="Times New Roman" w:hAnsi="Times New Roman"/>
          <w:sz w:val="24"/>
          <w:szCs w:val="24"/>
          <w:lang w:eastAsia="ru-RU"/>
        </w:rPr>
        <w:t xml:space="preserve"> </w:t>
      </w:r>
      <w:r w:rsidR="0016211F" w:rsidRPr="007F6077">
        <w:rPr>
          <w:rFonts w:ascii="Times New Roman" w:eastAsia="Times New Roman" w:hAnsi="Times New Roman"/>
          <w:sz w:val="24"/>
          <w:szCs w:val="24"/>
          <w:lang w:eastAsia="ru-RU"/>
        </w:rPr>
        <w:t xml:space="preserve">№ </w:t>
      </w:r>
      <w:r w:rsidR="0016211F">
        <w:rPr>
          <w:rFonts w:ascii="Times New Roman" w:eastAsia="Times New Roman" w:hAnsi="Times New Roman"/>
          <w:sz w:val="24"/>
          <w:szCs w:val="24"/>
          <w:lang w:eastAsia="ru-RU"/>
        </w:rPr>
        <w:t>53</w:t>
      </w:r>
      <w:r w:rsidRPr="007F6077">
        <w:rPr>
          <w:rFonts w:ascii="Times New Roman" w:eastAsia="Times New Roman" w:hAnsi="Times New Roman"/>
          <w:sz w:val="24"/>
          <w:szCs w:val="24"/>
          <w:lang w:eastAsia="ru-RU"/>
        </w:rPr>
        <w:t>)</w:t>
      </w:r>
    </w:p>
    <w:p w:rsidR="00581F29" w:rsidRDefault="00581F29" w:rsidP="00581F29">
      <w:pPr>
        <w:pStyle w:val="ConsPlusTitle"/>
        <w:suppressAutoHyphens/>
        <w:rPr>
          <w:rFonts w:ascii="Times New Roman" w:hAnsi="Times New Roman" w:cs="Times New Roman"/>
          <w:b w:val="0"/>
          <w:sz w:val="28"/>
          <w:szCs w:val="28"/>
        </w:rPr>
      </w:pP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Общие положения</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Бюджетный прогноз муниципального образования Кавказский район  на долгосрочный период до 2028 года (далее – Бюджетный прогноз) разработан в соответствии со статьей 170.1 Бюджетного кодекса Российской Федерации, пунктом 7 Порядка разработки и утверждения бюджетного прогноза муниципального образования Кавказский район на долгосрочный период, утвержденного постановлением администрации муниципального образования Кавказский район от 16 июля 2015 г. № 1102, на основе долгосрочного прогноза социально-экономического развития Кавказского</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района  на долгосрочный период до 2030 года, утвержденного постановлением администрации муниципального образования от 18 декабря 2018 года № 1750 "Об утверждении (одобрении) долгосрочного прогноза социально-экономического развития муниципального образования Кавказский район на 2019 год и плановый период до 2030 года", а также с учетом основных направлений бюджетной и налоговой политики муниципального образования Кавказский район. </w:t>
      </w:r>
      <w:proofErr w:type="gramEnd"/>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Бюджетный прогноз разработан в условиях налогового и бюджетного законодательства, действующего на момент его составления.</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При подготовке Бюджетного прогноза учтены положения указов Президента Российской Федерации от 7 мая 2018 года № 204 "О национальных целях и стратегических задачах развития Российской Федерации на период до 2024 года", от 21 июля 2020 г. № 474 "О национальных целях развития Российской Федерации на период до 2030 года", муниципальных программ муниципального образования Кавказский район.</w:t>
      </w:r>
      <w:proofErr w:type="gramEnd"/>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Целью разработки Бюджетного прогноза является оценка основных параметров бюджета муниципального образования Кавказский район (далее – районного бюджета) и консолидированного бюджета района на долгосрочный период, позволяющая обеспечить сбалансированность бюджетов и достижение стратегических целей социально-экономического развития Кавказского района.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Кавказского района.</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Основные подходы к формированию Бюджетного прогноза </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Основные направления бюджетной политики муниципального образования Кавказский район  на долгосрочный период (далее – бюджетная </w:t>
      </w:r>
      <w:r>
        <w:rPr>
          <w:rFonts w:ascii="Times New Roman" w:eastAsia="Times New Roman" w:hAnsi="Times New Roman"/>
          <w:sz w:val="28"/>
          <w:szCs w:val="28"/>
          <w:lang w:eastAsia="ru-RU"/>
        </w:rPr>
        <w:lastRenderedPageBreak/>
        <w:t>политика) сохраняют преемственность реализуемых мер, направленных на обеспечение сбалансированности районного бюджета; развитие программно-целевых методов управления; повышение эффективности бюджетных расходов, в том числе повышение качества оказания муниципальных услуг (выполнения работ); финансового менеджмента в секторе муниципального управления; совершенствование межбюджетных отношений;</w:t>
      </w:r>
      <w:proofErr w:type="gramEnd"/>
      <w:r>
        <w:rPr>
          <w:rFonts w:ascii="Times New Roman" w:eastAsia="Times New Roman" w:hAnsi="Times New Roman"/>
          <w:sz w:val="28"/>
          <w:szCs w:val="28"/>
          <w:lang w:eastAsia="ru-RU"/>
        </w:rPr>
        <w:t xml:space="preserve"> обеспечение прозрачности (открытости) бюджетного процесса, осуществляемого в муниципальном образовании Кавказский район.</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Главной целью бюджетной политики в муниципальном образовании Кавказский район остается обеспечение мер, направленных на устойчивое социально-экономическое развитие муниципального образования Кавказский район.</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 приоритетом бюджетной политики является обеспечение населения доступными и качественными муниципальными услугами, социальными гарантиями,  адресное решение социальных вопросов, создание благоприятных и комфортных условий для проживания.</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Приоритетами бюджетных расходов </w:t>
      </w:r>
      <w:proofErr w:type="gramStart"/>
      <w:r>
        <w:rPr>
          <w:rFonts w:ascii="Times New Roman" w:eastAsia="Times New Roman" w:hAnsi="Times New Roman"/>
          <w:sz w:val="28"/>
          <w:szCs w:val="28"/>
          <w:lang w:eastAsia="ru-RU"/>
        </w:rPr>
        <w:t>остаются</w:t>
      </w:r>
      <w:proofErr w:type="gramEnd"/>
      <w:r>
        <w:rPr>
          <w:rFonts w:ascii="Times New Roman" w:eastAsia="Times New Roman" w:hAnsi="Times New Roman"/>
          <w:sz w:val="28"/>
          <w:szCs w:val="28"/>
          <w:lang w:eastAsia="ru-RU"/>
        </w:rPr>
        <w:t xml:space="preserve"> реализация указов Президента Российской Федерации в части решения задач, определенных национальными целями развития Российской Федерации до 2030 года, и повышения средней заработной платы отдельным категориям работников бюджетной сферы, социальная поддержка отдельных категорий граждан, развитие общественной инфраструктуры муниципального значения.</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задачами бюджетной политики являются:</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ориентация структуры расходов районного бюджета на приоритеты, определенные национальными целями развития Российской Федерации на период до 2030 года в соответствии с Указом № 474;</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сбалансированности и устойчивости районного бюджета и бюджетов поселений;</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поддержка инвестиционной активности хозяйствующих субъектов, осуществляющих деятельность на территории Кавказского района;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повышение эффективности управления муниципальными финансами.</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обеспечения сбалансированности районного бюджета будет продолжена работа по обеспечению роста доходной части районного бюджета, в том числе за счет следующих мер:</w:t>
      </w:r>
    </w:p>
    <w:p w:rsidR="00581F29" w:rsidRDefault="00581F29" w:rsidP="00581F2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увеличения налогового потенциала района;</w:t>
      </w:r>
    </w:p>
    <w:p w:rsidR="00581F29" w:rsidRDefault="00581F29" w:rsidP="00581F2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совершенствования администрирования налоговых и неналоговых доходов, осуществления мероприятий по легализации доходной базы;</w:t>
      </w:r>
    </w:p>
    <w:p w:rsidR="00581F29" w:rsidRDefault="00581F29" w:rsidP="00581F29">
      <w:pPr>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sz w:val="28"/>
          <w:szCs w:val="28"/>
        </w:rPr>
        <w:t>повышения эффективности управления муниципальным имуществом и увеличение доходов от его использования;</w:t>
      </w:r>
    </w:p>
    <w:p w:rsidR="00581F29" w:rsidRDefault="00581F29" w:rsidP="00581F2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организации эффективного взаимодействия органов местного самоуправления муниципального образования Кавказский район и территориальных федеральных и региональных органов исполнительной власти в вопросах мобилизации доходов.</w:t>
      </w:r>
    </w:p>
    <w:p w:rsidR="00581F29" w:rsidRDefault="00581F29" w:rsidP="00581F2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рамках реализации долговой политики муниципального образования Кавказский район предусматривается поддержание высокого уровня долговой </w:t>
      </w:r>
      <w:r>
        <w:rPr>
          <w:rFonts w:ascii="Times New Roman" w:eastAsia="Times New Roman" w:hAnsi="Times New Roman"/>
          <w:sz w:val="28"/>
          <w:szCs w:val="28"/>
          <w:lang w:eastAsia="ru-RU"/>
        </w:rPr>
        <w:lastRenderedPageBreak/>
        <w:t>устойчивости в соответствии с критериями, установленными Бюджетным кодексом Российской Федерации.</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Условия формирования </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Бюджетного прогноза и основных характеристик</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консолидированного бюджета муниципального </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образования Кавказский район и районного бюджета </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Бюджетный прогноз сформирован </w:t>
      </w:r>
      <w:proofErr w:type="gramStart"/>
      <w:r>
        <w:rPr>
          <w:rFonts w:ascii="Times New Roman" w:eastAsia="Times New Roman" w:hAnsi="Times New Roman"/>
          <w:sz w:val="28"/>
          <w:szCs w:val="28"/>
          <w:lang w:eastAsia="ru-RU"/>
        </w:rPr>
        <w:t>исходя из базового сценария прогноза основных макроэкономических параметров, обуславливающего минимизацию рисков, связанных с формированием доходной части</w:t>
      </w:r>
      <w:proofErr w:type="gramEnd"/>
      <w:r>
        <w:rPr>
          <w:rFonts w:ascii="Times New Roman" w:eastAsia="Times New Roman" w:hAnsi="Times New Roman"/>
          <w:sz w:val="28"/>
          <w:szCs w:val="28"/>
          <w:lang w:eastAsia="ru-RU"/>
        </w:rPr>
        <w:t xml:space="preserve"> районного бюджета и консолидированного бюджета муниципального образования Кавказский район.</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рамках базового </w:t>
      </w:r>
      <w:proofErr w:type="gramStart"/>
      <w:r>
        <w:rPr>
          <w:rFonts w:ascii="Times New Roman" w:eastAsia="Times New Roman" w:hAnsi="Times New Roman"/>
          <w:sz w:val="28"/>
          <w:szCs w:val="28"/>
          <w:lang w:eastAsia="ru-RU"/>
        </w:rPr>
        <w:t>сценария прогноза основных характеристик  социально-экономического развития муниципального образования</w:t>
      </w:r>
      <w:proofErr w:type="gramEnd"/>
      <w:r>
        <w:rPr>
          <w:rFonts w:ascii="Times New Roman" w:eastAsia="Times New Roman" w:hAnsi="Times New Roman"/>
          <w:sz w:val="28"/>
          <w:szCs w:val="28"/>
          <w:lang w:eastAsia="ru-RU"/>
        </w:rPr>
        <w:t xml:space="preserve"> Кавказский район  ожидается рост экономических показателей района, последствия от кризиса, вызванного </w:t>
      </w:r>
      <w:proofErr w:type="spellStart"/>
      <w:r>
        <w:rPr>
          <w:rFonts w:ascii="Times New Roman" w:eastAsia="Times New Roman" w:hAnsi="Times New Roman"/>
          <w:sz w:val="28"/>
          <w:szCs w:val="28"/>
          <w:lang w:eastAsia="ru-RU"/>
        </w:rPr>
        <w:t>санкционным</w:t>
      </w:r>
      <w:proofErr w:type="spellEnd"/>
      <w:r>
        <w:rPr>
          <w:rFonts w:ascii="Times New Roman" w:eastAsia="Times New Roman" w:hAnsi="Times New Roman"/>
          <w:sz w:val="28"/>
          <w:szCs w:val="28"/>
          <w:lang w:eastAsia="ru-RU"/>
        </w:rPr>
        <w:t xml:space="preserve"> давлением, будут менее выражены в долгосрочном периоде.</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плановом периоде в развитии экономики муниципального образования прогнозируется увеличение темпов производства, повышение доходности предприятий и укрепление их финансовой устойчивости. Экономический рост станет прочной базой для выполнения бюджетных назначений, финансирования социально ориентированных программ. </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Предполагаемые результаты работы хозяйственного комплекса обеспечат повышение уровня доходов населения и стабильность на рынке труда.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ближайшие шесть лет существенных изменений в структуре экономики района не произойдет. Основными отраслями специализации останутся перерабатывающая промышленность</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розничная торговля, транспорт. </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Прогноз объема налоговых и неналоговых доходов консолидированного бюджета муниципального образования Кавказский район и районного бюджета рассчитан с ежегодным приростом исходя из показателей прогноза социально-экономического развития муниципального образования Кавказский район до 2030 года.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Прогноз объема безвозмездных поступлений в консолидированный бюджет муниципального образования Кавказский район и районный бюджет рассчитан в соответствии с прогнозными объемами межбюджетных трансфертов, предоставляемых районному бюджету и бюджетам поселений района из других бюджетов бюджетной системы Российской Федерации. С 2026 года объем безвозмездных поступлений оценивается на уровне 2025 года.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Расчет расходов консолидированного бюджета муниципального образования Кавказский район и районного бюджета осуществлен, исходя из принципа сбалансированности бюджета с учетом динамики прогнозных показателей объема муниципального долга муниципального образования Кавказский район и поселений района.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долгосрочной перспективе сохранится адресное оказание мер социальной поддержки отдельных категорий граждан, продолжится поддержка </w:t>
      </w:r>
      <w:r>
        <w:rPr>
          <w:rFonts w:ascii="Times New Roman" w:eastAsia="Times New Roman" w:hAnsi="Times New Roman"/>
          <w:sz w:val="28"/>
          <w:szCs w:val="28"/>
          <w:lang w:eastAsia="ru-RU"/>
        </w:rPr>
        <w:lastRenderedPageBreak/>
        <w:t>материнства и детства, включая поддержку многодетных семей, детей-сирот.</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Прогноз основных характеристик консолидированного бюджета Кавказского района и собственно муниципального образования Кавказский район  до 2028 года представлен в приложении № 1 к Бюджетному прогнозу.</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Подходы к прогнозированию и показатели</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финансового обеспечения муниципальных программ </w:t>
      </w: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 Кавказский район</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Большая часть приоритетов социально-экономического развития муниципального образования Кавказский район структурирована в рамках муниципальных программ муниципального образования Кавказский район.</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муниципальных программ муниципального образования Кавказский район утвержден постановлением администрации муниципального образования Кавказский район от 4 августа 2014 года № 1289.</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Учитывая, что сроки реализации муниципальных программ не выходят за пределы 2025 года, расчет показателей финансового обеспечения муниципальных программ муниципального образования Кавказский район осуществлен на период до 2025 года. Показатели финансового обеспечения муниципальных программ муниципального образования Кавказский район за пределами 2025 года оцениваются на уровне 2025 года.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Наибольший объем бюджетных сре</w:t>
      </w:r>
      <w:proofErr w:type="gramStart"/>
      <w:r>
        <w:rPr>
          <w:rFonts w:ascii="Times New Roman" w:eastAsia="Times New Roman" w:hAnsi="Times New Roman"/>
          <w:sz w:val="28"/>
          <w:szCs w:val="28"/>
          <w:lang w:eastAsia="ru-RU"/>
        </w:rPr>
        <w:t>дств в р</w:t>
      </w:r>
      <w:proofErr w:type="gramEnd"/>
      <w:r>
        <w:rPr>
          <w:rFonts w:ascii="Times New Roman" w:eastAsia="Times New Roman" w:hAnsi="Times New Roman"/>
          <w:sz w:val="28"/>
          <w:szCs w:val="28"/>
          <w:lang w:eastAsia="ru-RU"/>
        </w:rPr>
        <w:t xml:space="preserve">амках программных расходов приходится на реализацию муниципальных программ в области социальной сферы, таких как, "Развитие образования", "Социальная поддержка граждан",  «Развитие культуры», «Развитие физической культуры и спорта». </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Главными целями и задачами указанных муниципальных программ муниципального образования Кавказский район являются: обеспечение условий для эффективного развития образования, развитие сети и инфраструктуры образовательных организаций;  поддержка материнства и детства, включая поддержку детей-сирот; создание условий, обеспечивающих возможность гражданам систематически заниматься физической культурой и спортом, развитие инфраструктуры спорта; создание условий для развития культуры района и всестороннее участие граждан в культурной жизни, создание благоприятных условий для приобщения жителей Кавказского района к культурным ценностям, развитие и взаимодействие национальных культур народов и этнических групп, проживающих на территории района; сохранение и развитие художественно-эстетического образования детей и подростков.</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Показатели финансового обеспечения муниципальных программ муниципального образования Кавказский район на период их действия представлены в приложении № 2 к Бюджетному прогнозу.</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Основные риски, влияющие </w:t>
      </w:r>
      <w:proofErr w:type="gramStart"/>
      <w:r>
        <w:rPr>
          <w:rFonts w:ascii="Times New Roman" w:eastAsia="Times New Roman" w:hAnsi="Times New Roman"/>
          <w:sz w:val="28"/>
          <w:szCs w:val="28"/>
          <w:lang w:eastAsia="ru-RU"/>
        </w:rPr>
        <w:t>на</w:t>
      </w:r>
      <w:proofErr w:type="gramEnd"/>
    </w:p>
    <w:p w:rsidR="00581F29" w:rsidRDefault="00581F29" w:rsidP="00581F29">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сбалансированность районного бюджета</w:t>
      </w:r>
    </w:p>
    <w:p w:rsidR="00581F29" w:rsidRDefault="00581F29" w:rsidP="00581F29">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бюджетном планировании на долгосрочный период требуется учет </w:t>
      </w:r>
      <w:r>
        <w:rPr>
          <w:rFonts w:ascii="Times New Roman" w:eastAsia="Times New Roman" w:hAnsi="Times New Roman"/>
          <w:sz w:val="28"/>
          <w:szCs w:val="28"/>
          <w:lang w:eastAsia="ru-RU"/>
        </w:rPr>
        <w:lastRenderedPageBreak/>
        <w:t>рисков неопределенности и вероятности изменения бюджетных показателей под влиянием перемены внешних и внутренних факторов.</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Внешним фактором риска является бюджетная политика Российской Федерации, Краснодарского края в части перераспределения дополнительных полномочий на уровень муниципальных образований, внесения изменений в межбюджетные отношения или принятия на федеральном или краевом уровнях решений, приводящих к увеличению стоимости расходных обязательств муниципальных образований.</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результате указанных действий может возрасти нагрузка на районный бюджет или сократиться объем межбюджетных трансфертов, предоставляемых из краевого бюджета. Кроме того, увеличение стоимости расходных обязательств публично-правовых образований может быть </w:t>
      </w:r>
      <w:proofErr w:type="gramStart"/>
      <w:r>
        <w:rPr>
          <w:rFonts w:ascii="Times New Roman" w:eastAsia="Times New Roman" w:hAnsi="Times New Roman"/>
          <w:sz w:val="28"/>
          <w:szCs w:val="28"/>
          <w:lang w:eastAsia="ru-RU"/>
        </w:rPr>
        <w:t>обусловлен</w:t>
      </w:r>
      <w:proofErr w:type="gramEnd"/>
      <w:r>
        <w:rPr>
          <w:rFonts w:ascii="Times New Roman" w:eastAsia="Times New Roman" w:hAnsi="Times New Roman"/>
          <w:sz w:val="28"/>
          <w:szCs w:val="28"/>
          <w:lang w:eastAsia="ru-RU"/>
        </w:rPr>
        <w:t xml:space="preserve"> неблагоприятными экономическими условиями, ростом инфляции и цен на услуги естественных монополий.</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Фактором риска невыполнения расходных обязательств муниципального образования Кавказский район в соответствии с предусмотренными в бюджете муниципального образования Кавказский район объемами бюджетных ассигнований на их исполнение является невыполнение доходной части районного бюджета, в том числе в результате </w:t>
      </w:r>
      <w:proofErr w:type="spellStart"/>
      <w:r>
        <w:rPr>
          <w:rFonts w:ascii="Times New Roman" w:eastAsia="Times New Roman" w:hAnsi="Times New Roman"/>
          <w:sz w:val="28"/>
          <w:szCs w:val="28"/>
          <w:lang w:eastAsia="ru-RU"/>
        </w:rPr>
        <w:t>недостижения</w:t>
      </w:r>
      <w:proofErr w:type="spellEnd"/>
      <w:r>
        <w:rPr>
          <w:rFonts w:ascii="Times New Roman" w:eastAsia="Times New Roman" w:hAnsi="Times New Roman"/>
          <w:sz w:val="28"/>
          <w:szCs w:val="28"/>
          <w:lang w:eastAsia="ru-RU"/>
        </w:rPr>
        <w:t xml:space="preserve"> плановых показателей прогноза социально-экономического развития муниципального образования Кавказский район в части роста инвестиций, объемов промышленного производства, прибыли прибыльных предприятий и доходов населения, использования</w:t>
      </w:r>
      <w:proofErr w:type="gramEnd"/>
      <w:r>
        <w:rPr>
          <w:rFonts w:ascii="Times New Roman" w:eastAsia="Times New Roman" w:hAnsi="Times New Roman"/>
          <w:sz w:val="28"/>
          <w:szCs w:val="28"/>
          <w:lang w:eastAsia="ru-RU"/>
        </w:rPr>
        <w:t xml:space="preserve"> недобросовестными налогоплательщиками схем уклонения от уплаты налогов.</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рисками в сфере долговой политики являются риски увеличения расходов на обслуживание муниципального долга муниципального образования Кавказский район в связи с ростом процентных ставок на рынке заимствований, а также риски снижения ликвидности финансового рынка.</w:t>
      </w:r>
    </w:p>
    <w:p w:rsidR="00581F29" w:rsidRDefault="00581F29" w:rsidP="00581F29">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снижения указанных рисков при планировании и исполнении районного бюджета необходимо придерживаться базового сценария прогноза основных параметров социально-экономического развития муниципального образования Кавказский район, а также политики, направленной на оптимизацию и сдерживание роста расходов.</w:t>
      </w:r>
    </w:p>
    <w:p w:rsidR="00581F29" w:rsidRDefault="00581F29" w:rsidP="00581F29">
      <w:pPr>
        <w:widowControl w:val="0"/>
        <w:suppressAutoHyphens/>
        <w:autoSpaceDE w:val="0"/>
        <w:autoSpaceDN w:val="0"/>
        <w:adjustRightInd w:val="0"/>
        <w:spacing w:after="0" w:line="240" w:lineRule="auto"/>
        <w:jc w:val="both"/>
        <w:rPr>
          <w:rFonts w:ascii="Times New Roman" w:hAnsi="Times New Roman"/>
          <w:sz w:val="28"/>
          <w:szCs w:val="28"/>
        </w:rPr>
      </w:pPr>
    </w:p>
    <w:p w:rsidR="00581F29" w:rsidRDefault="00581F29" w:rsidP="00581F29">
      <w:pPr>
        <w:widowControl w:val="0"/>
        <w:suppressAutoHyphens/>
        <w:autoSpaceDE w:val="0"/>
        <w:autoSpaceDN w:val="0"/>
        <w:adjustRightInd w:val="0"/>
        <w:spacing w:after="0" w:line="240" w:lineRule="auto"/>
        <w:jc w:val="both"/>
        <w:rPr>
          <w:rFonts w:ascii="Times New Roman" w:hAnsi="Times New Roman"/>
          <w:sz w:val="28"/>
          <w:szCs w:val="28"/>
        </w:rPr>
      </w:pPr>
    </w:p>
    <w:p w:rsidR="00581F29" w:rsidRDefault="00581F29" w:rsidP="00581F29">
      <w:pPr>
        <w:widowControl w:val="0"/>
        <w:suppressAutoHyphens/>
        <w:autoSpaceDE w:val="0"/>
        <w:autoSpaceDN w:val="0"/>
        <w:adjustRightInd w:val="0"/>
        <w:spacing w:after="0" w:line="240" w:lineRule="auto"/>
        <w:jc w:val="both"/>
        <w:rPr>
          <w:rFonts w:ascii="Times New Roman" w:hAnsi="Times New Roman"/>
          <w:sz w:val="28"/>
          <w:szCs w:val="28"/>
        </w:rPr>
      </w:pPr>
    </w:p>
    <w:p w:rsidR="00581F29" w:rsidRDefault="00581F29" w:rsidP="00581F29">
      <w:pPr>
        <w:widowControl w:val="0"/>
        <w:suppressAutoHyphens/>
        <w:spacing w:after="0" w:line="240" w:lineRule="auto"/>
        <w:rPr>
          <w:rFonts w:ascii="Times New Roman" w:hAnsi="Times New Roman"/>
          <w:sz w:val="28"/>
        </w:rPr>
      </w:pPr>
      <w:r>
        <w:rPr>
          <w:rFonts w:ascii="Times New Roman" w:hAnsi="Times New Roman"/>
          <w:sz w:val="28"/>
        </w:rPr>
        <w:t xml:space="preserve">Заместитель главы, </w:t>
      </w:r>
    </w:p>
    <w:p w:rsidR="00581F29" w:rsidRDefault="00581F29" w:rsidP="00581F29">
      <w:pPr>
        <w:widowControl w:val="0"/>
        <w:suppressAutoHyphens/>
        <w:spacing w:after="0" w:line="240" w:lineRule="auto"/>
        <w:rPr>
          <w:rFonts w:ascii="Times New Roman" w:hAnsi="Times New Roman"/>
          <w:sz w:val="28"/>
        </w:rPr>
      </w:pPr>
      <w:r>
        <w:rPr>
          <w:rFonts w:ascii="Times New Roman" w:hAnsi="Times New Roman"/>
          <w:sz w:val="28"/>
        </w:rPr>
        <w:t xml:space="preserve">начальник финансового управления </w:t>
      </w:r>
    </w:p>
    <w:p w:rsidR="00581F29" w:rsidRDefault="00581F29" w:rsidP="00581F29">
      <w:pPr>
        <w:widowControl w:val="0"/>
        <w:suppressAutoHyphens/>
        <w:spacing w:after="0" w:line="240" w:lineRule="auto"/>
        <w:rPr>
          <w:rFonts w:ascii="Times New Roman" w:hAnsi="Times New Roman"/>
          <w:sz w:val="28"/>
        </w:rPr>
      </w:pPr>
      <w:r>
        <w:rPr>
          <w:rFonts w:ascii="Times New Roman" w:hAnsi="Times New Roman"/>
          <w:sz w:val="28"/>
        </w:rPr>
        <w:t xml:space="preserve">администрации </w:t>
      </w:r>
      <w:proofErr w:type="gramStart"/>
      <w:r>
        <w:rPr>
          <w:rFonts w:ascii="Times New Roman" w:hAnsi="Times New Roman"/>
          <w:sz w:val="28"/>
        </w:rPr>
        <w:t>муниципального</w:t>
      </w:r>
      <w:proofErr w:type="gramEnd"/>
    </w:p>
    <w:p w:rsidR="00581F29" w:rsidRDefault="00581F29" w:rsidP="00581F29">
      <w:pPr>
        <w:widowControl w:val="0"/>
        <w:suppressAutoHyphens/>
        <w:spacing w:after="0" w:line="240" w:lineRule="auto"/>
        <w:rPr>
          <w:rFonts w:ascii="Times New Roman" w:hAnsi="Times New Roman"/>
          <w:sz w:val="28"/>
        </w:rPr>
      </w:pPr>
      <w:r>
        <w:rPr>
          <w:rFonts w:ascii="Times New Roman" w:hAnsi="Times New Roman"/>
          <w:sz w:val="28"/>
        </w:rPr>
        <w:t>образования Кавказский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Л.А. Губанова</w:t>
      </w:r>
    </w:p>
    <w:p w:rsidR="00581F29" w:rsidRDefault="00581F29" w:rsidP="00581F29">
      <w:pPr>
        <w:widowControl w:val="0"/>
        <w:suppressAutoHyphens/>
        <w:autoSpaceDE w:val="0"/>
        <w:autoSpaceDN w:val="0"/>
        <w:adjustRightInd w:val="0"/>
        <w:spacing w:after="0" w:line="240" w:lineRule="auto"/>
        <w:jc w:val="both"/>
        <w:rPr>
          <w:rFonts w:ascii="Times New Roman" w:hAnsi="Times New Roman"/>
          <w:b/>
          <w:sz w:val="28"/>
          <w:szCs w:val="28"/>
        </w:rPr>
      </w:pPr>
    </w:p>
    <w:p w:rsidR="00581F29" w:rsidRDefault="00581F29" w:rsidP="00581F29">
      <w:pPr>
        <w:spacing w:after="0" w:line="240" w:lineRule="auto"/>
        <w:rPr>
          <w:rFonts w:ascii="Times New Roman" w:hAnsi="Times New Roman"/>
          <w:sz w:val="28"/>
          <w:szCs w:val="28"/>
        </w:rPr>
        <w:sectPr w:rsidR="00581F29">
          <w:pgSz w:w="11905" w:h="16838"/>
          <w:pgMar w:top="1134" w:right="567" w:bottom="1134" w:left="1701" w:header="709" w:footer="0" w:gutter="0"/>
          <w:cols w:space="720"/>
        </w:sectPr>
      </w:pPr>
    </w:p>
    <w:p w:rsidR="00581F29" w:rsidRDefault="00581F29" w:rsidP="00581F29">
      <w:pPr>
        <w:pStyle w:val="ConsPlusNormal"/>
        <w:ind w:left="9204" w:firstLine="709"/>
        <w:outlineLvl w:val="1"/>
        <w:rPr>
          <w:rFonts w:ascii="Times New Roman" w:hAnsi="Times New Roman" w:cs="Times New Roman"/>
          <w:sz w:val="28"/>
          <w:szCs w:val="28"/>
        </w:rPr>
      </w:pPr>
      <w:bookmarkStart w:id="0" w:name="RANGE!A1:H40"/>
      <w:bookmarkEnd w:id="0"/>
      <w:r>
        <w:rPr>
          <w:rFonts w:ascii="Times New Roman" w:hAnsi="Times New Roman" w:cs="Times New Roman"/>
          <w:sz w:val="28"/>
          <w:szCs w:val="28"/>
        </w:rPr>
        <w:lastRenderedPageBreak/>
        <w:t>Приложение 1</w:t>
      </w:r>
    </w:p>
    <w:p w:rsidR="00581F29" w:rsidRDefault="00581F29" w:rsidP="00581F29">
      <w:pPr>
        <w:pStyle w:val="ConsPlusNormal"/>
        <w:ind w:left="9204" w:firstLine="709"/>
        <w:rPr>
          <w:rFonts w:ascii="Times New Roman" w:hAnsi="Times New Roman" w:cs="Times New Roman"/>
          <w:sz w:val="28"/>
          <w:szCs w:val="28"/>
        </w:rPr>
      </w:pPr>
      <w:r>
        <w:rPr>
          <w:rFonts w:ascii="Times New Roman" w:hAnsi="Times New Roman" w:cs="Times New Roman"/>
          <w:sz w:val="28"/>
          <w:szCs w:val="28"/>
        </w:rPr>
        <w:t>к Бюджетному прогнозу</w:t>
      </w:r>
    </w:p>
    <w:p w:rsidR="00581F29" w:rsidRDefault="00581F29" w:rsidP="00581F29">
      <w:pPr>
        <w:pStyle w:val="ConsPlusNormal"/>
        <w:ind w:left="9204" w:firstLine="709"/>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581F29" w:rsidRDefault="00581F29" w:rsidP="00581F29">
      <w:pPr>
        <w:pStyle w:val="ConsPlusNormal"/>
        <w:ind w:left="9204" w:firstLine="709"/>
        <w:rPr>
          <w:rFonts w:ascii="Times New Roman" w:hAnsi="Times New Roman" w:cs="Times New Roman"/>
          <w:sz w:val="28"/>
          <w:szCs w:val="28"/>
        </w:rPr>
      </w:pPr>
      <w:r>
        <w:rPr>
          <w:rFonts w:ascii="Times New Roman" w:hAnsi="Times New Roman" w:cs="Times New Roman"/>
          <w:sz w:val="28"/>
          <w:szCs w:val="28"/>
        </w:rPr>
        <w:t xml:space="preserve">Кавказский район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долгосрочный</w:t>
      </w:r>
    </w:p>
    <w:p w:rsidR="00581F29" w:rsidRDefault="00581F29" w:rsidP="00581F29">
      <w:pPr>
        <w:pStyle w:val="ConsPlusNormal"/>
        <w:ind w:left="9204" w:firstLine="709"/>
        <w:rPr>
          <w:rFonts w:ascii="Times New Roman" w:hAnsi="Times New Roman" w:cs="Times New Roman"/>
          <w:sz w:val="28"/>
          <w:szCs w:val="28"/>
        </w:rPr>
      </w:pPr>
      <w:r>
        <w:rPr>
          <w:rFonts w:ascii="Times New Roman" w:hAnsi="Times New Roman" w:cs="Times New Roman"/>
          <w:sz w:val="28"/>
          <w:szCs w:val="28"/>
        </w:rPr>
        <w:t>период до 2028 года</w:t>
      </w:r>
    </w:p>
    <w:p w:rsidR="00581F29" w:rsidRDefault="00581F29" w:rsidP="00581F29">
      <w:pPr>
        <w:pStyle w:val="ConsPlusNormal"/>
        <w:ind w:firstLine="709"/>
        <w:rPr>
          <w:rFonts w:ascii="Times New Roman" w:hAnsi="Times New Roman" w:cs="Times New Roman"/>
          <w:sz w:val="28"/>
          <w:szCs w:val="28"/>
        </w:rPr>
      </w:pPr>
    </w:p>
    <w:p w:rsidR="00581F29" w:rsidRDefault="00581F29" w:rsidP="00581F29">
      <w:pPr>
        <w:pStyle w:val="ConsPlusNormal"/>
        <w:ind w:firstLine="709"/>
        <w:rPr>
          <w:rFonts w:ascii="Times New Roman" w:hAnsi="Times New Roman" w:cs="Times New Roman"/>
          <w:sz w:val="28"/>
          <w:szCs w:val="28"/>
        </w:rPr>
      </w:pPr>
    </w:p>
    <w:p w:rsidR="00581F29" w:rsidRDefault="00581F29" w:rsidP="00581F29">
      <w:pPr>
        <w:pStyle w:val="ConsPlusNormal"/>
        <w:ind w:firstLine="709"/>
        <w:jc w:val="right"/>
        <w:outlineLvl w:val="1"/>
        <w:rPr>
          <w:rFonts w:ascii="Times New Roman" w:hAnsi="Times New Roman" w:cs="Times New Roman"/>
          <w:sz w:val="28"/>
          <w:szCs w:val="28"/>
        </w:rPr>
      </w:pPr>
    </w:p>
    <w:p w:rsidR="00581F29" w:rsidRDefault="00581F29" w:rsidP="00581F29">
      <w:pPr>
        <w:pStyle w:val="ConsPlusNormal"/>
        <w:ind w:firstLine="709"/>
        <w:jc w:val="center"/>
        <w:rPr>
          <w:rFonts w:ascii="Times New Roman" w:hAnsi="Times New Roman" w:cs="Times New Roman"/>
          <w:sz w:val="28"/>
          <w:szCs w:val="28"/>
        </w:rPr>
      </w:pPr>
      <w:bookmarkStart w:id="1" w:name="P90"/>
      <w:bookmarkEnd w:id="1"/>
      <w:r>
        <w:rPr>
          <w:rFonts w:ascii="Times New Roman" w:hAnsi="Times New Roman" w:cs="Times New Roman"/>
          <w:sz w:val="28"/>
          <w:szCs w:val="28"/>
        </w:rPr>
        <w:t>ПРОГНОЗ</w:t>
      </w:r>
    </w:p>
    <w:p w:rsidR="00581F29" w:rsidRDefault="00581F29" w:rsidP="00581F2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основных характеристик консолидированного бюджета муниципального образования Кавказский район</w:t>
      </w:r>
    </w:p>
    <w:p w:rsidR="00581F29" w:rsidRDefault="00581F29" w:rsidP="00581F2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и основных показателей районного бюджета</w:t>
      </w:r>
    </w:p>
    <w:p w:rsidR="00581F29" w:rsidRDefault="00581F29" w:rsidP="00581F29">
      <w:pPr>
        <w:pStyle w:val="ConsPlusNormal"/>
        <w:ind w:firstLine="709"/>
        <w:rPr>
          <w:rFonts w:ascii="Times New Roman" w:hAnsi="Times New Roman" w:cs="Times New Roman"/>
          <w:sz w:val="28"/>
          <w:szCs w:val="28"/>
        </w:rPr>
      </w:pPr>
    </w:p>
    <w:p w:rsidR="00581F29" w:rsidRDefault="00581F29" w:rsidP="00581F29">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3813"/>
        <w:gridCol w:w="1843"/>
        <w:gridCol w:w="1842"/>
        <w:gridCol w:w="1701"/>
        <w:gridCol w:w="1560"/>
        <w:gridCol w:w="1701"/>
        <w:gridCol w:w="1701"/>
      </w:tblGrid>
      <w:tr w:rsidR="00581F29" w:rsidTr="00581F29">
        <w:trPr>
          <w:tblHeader/>
        </w:trPr>
        <w:tc>
          <w:tcPr>
            <w:tcW w:w="50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581F29" w:rsidRDefault="00581F29">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81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bl>
    <w:p w:rsidR="00581F29" w:rsidRDefault="00581F29" w:rsidP="00581F29">
      <w:pPr>
        <w:pStyle w:val="ConsPlusNormal"/>
        <w:ind w:firstLine="709"/>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2"/>
        <w:gridCol w:w="3843"/>
        <w:gridCol w:w="1843"/>
        <w:gridCol w:w="1842"/>
        <w:gridCol w:w="1701"/>
        <w:gridCol w:w="1560"/>
        <w:gridCol w:w="1701"/>
        <w:gridCol w:w="1701"/>
      </w:tblGrid>
      <w:tr w:rsidR="00581F29" w:rsidTr="00581F29">
        <w:trPr>
          <w:trHeight w:val="175"/>
          <w:tblHeader/>
        </w:trPr>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581F29" w:rsidTr="00581F29">
        <w:trPr>
          <w:tblHeader/>
        </w:trPr>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4191" w:type="dxa"/>
            <w:gridSpan w:val="7"/>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Консолидированный бюджет муниципального образования Кавказский район</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Общий объем доходов</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3062012,6</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3132466,3</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2959332,8</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3022907,6</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3089025,3</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3157787,8</w:t>
            </w:r>
          </w:p>
        </w:tc>
      </w:tr>
      <w:tr w:rsidR="00581F29" w:rsidTr="00581F29">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r>
      <w:tr w:rsidR="00581F29" w:rsidTr="00581F29">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налоговые и неналоговые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1485715,8</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1540689,0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1589368,9</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1652943,7</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1719061,4</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1787823,9</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Общий объем расходов</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3055394,5</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3132466,3</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2957226,8</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3020801,6</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3084813,3</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3157787,8</w:t>
            </w:r>
          </w:p>
        </w:tc>
      </w:tr>
      <w:tr w:rsidR="00581F29" w:rsidTr="00581F29">
        <w:trPr>
          <w:trHeight w:val="223"/>
        </w:trPr>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Дефицит/профицит</w:t>
            </w:r>
            <w:proofErr w:type="gramStart"/>
            <w:r>
              <w:rPr>
                <w:rFonts w:ascii="Times New Roman" w:hAnsi="Times New Roman" w:cs="Times New Roman"/>
                <w:sz w:val="24"/>
                <w:szCs w:val="24"/>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6618,1</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2106,0</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2106,0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4212,0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581F29" w:rsidTr="00581F29">
        <w:trPr>
          <w:trHeight w:val="223"/>
        </w:trPr>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4191" w:type="dxa"/>
            <w:gridSpan w:val="7"/>
            <w:tcBorders>
              <w:top w:val="single" w:sz="4" w:space="0" w:color="auto"/>
              <w:left w:val="single" w:sz="4" w:space="0" w:color="auto"/>
              <w:bottom w:val="single" w:sz="4" w:space="0" w:color="auto"/>
              <w:right w:val="single" w:sz="4" w:space="0" w:color="auto"/>
            </w:tcBorders>
            <w:hideMark/>
          </w:tcPr>
          <w:p w:rsidR="00581F29" w:rsidRDefault="00581F29">
            <w:pPr>
              <w:jc w:val="center"/>
              <w:rPr>
                <w:rFonts w:ascii="Times New Roman" w:hAnsi="Times New Roman"/>
              </w:rPr>
            </w:pPr>
            <w:r>
              <w:rPr>
                <w:rFonts w:ascii="Times New Roman" w:hAnsi="Times New Roman"/>
              </w:rPr>
              <w:t>Районный бюджет</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Общий объем доходов</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2417465,5</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2399775,2</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2323</w:t>
            </w:r>
            <w:bookmarkStart w:id="2" w:name="_GoBack"/>
            <w:bookmarkEnd w:id="2"/>
            <w:r>
              <w:rPr>
                <w:rFonts w:ascii="Times New Roman" w:hAnsi="Times New Roman" w:cs="Times New Roman"/>
                <w:sz w:val="24"/>
                <w:szCs w:val="24"/>
              </w:rPr>
              <w:t>052,9</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2363357,4</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2405274,2</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2448867,5</w:t>
            </w:r>
          </w:p>
        </w:tc>
      </w:tr>
      <w:tr w:rsidR="00581F29" w:rsidTr="00581F29">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r>
      <w:tr w:rsidR="00581F29" w:rsidTr="00581F29">
        <w:trPr>
          <w:trHeight w:val="372"/>
        </w:trPr>
        <w:tc>
          <w:tcPr>
            <w:tcW w:w="472" w:type="dxa"/>
            <w:tcBorders>
              <w:top w:val="single" w:sz="4" w:space="0" w:color="auto"/>
              <w:left w:val="single" w:sz="4" w:space="0" w:color="auto"/>
              <w:bottom w:val="single" w:sz="4" w:space="0" w:color="auto"/>
              <w:right w:val="single" w:sz="4" w:space="0" w:color="auto"/>
            </w:tcBorders>
          </w:tcPr>
          <w:p w:rsidR="00581F29" w:rsidRDefault="00581F29">
            <w:pPr>
              <w:pStyle w:val="ConsPlusNormal"/>
              <w:jc w:val="center"/>
              <w:rPr>
                <w:rFonts w:ascii="Times New Roman" w:hAnsi="Times New Roman" w:cs="Times New Roman"/>
                <w:sz w:val="24"/>
                <w:szCs w:val="24"/>
              </w:rPr>
            </w:pP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налоговые и неналоговые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932015,6</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978488,7</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1007613,4</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1047917,9</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1089834,7</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1133428,0</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Общий объем расходов</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2417465,5</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2399775,2</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2323052,9</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2363357,4</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2405274,2</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2448867,5</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Дефицит/профицит</w:t>
            </w:r>
            <w:proofErr w:type="gramStart"/>
            <w:r>
              <w:rPr>
                <w:rFonts w:ascii="Times New Roman" w:hAnsi="Times New Roman" w:cs="Times New Roman"/>
                <w:sz w:val="24"/>
                <w:szCs w:val="24"/>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581F29" w:rsidTr="00581F29">
        <w:tc>
          <w:tcPr>
            <w:tcW w:w="47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rPr>
                <w:rFonts w:ascii="Times New Roman" w:hAnsi="Times New Roman" w:cs="Times New Roman"/>
                <w:sz w:val="24"/>
                <w:szCs w:val="24"/>
              </w:rPr>
            </w:pPr>
            <w:r>
              <w:rPr>
                <w:rFonts w:ascii="Times New Roman" w:hAnsi="Times New Roman" w:cs="Times New Roman"/>
                <w:sz w:val="24"/>
                <w:szCs w:val="24"/>
              </w:rPr>
              <w:t>Муниципальный долг на 1 января очередного финансового года</w:t>
            </w:r>
          </w:p>
        </w:tc>
        <w:tc>
          <w:tcPr>
            <w:tcW w:w="1843"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bl>
    <w:p w:rsidR="00581F29" w:rsidRDefault="00581F29" w:rsidP="00581F29">
      <w:pPr>
        <w:rPr>
          <w:rFonts w:ascii="Times New Roman" w:hAnsi="Times New Roman"/>
          <w:sz w:val="24"/>
          <w:szCs w:val="24"/>
        </w:rPr>
      </w:pPr>
      <w:r>
        <w:rPr>
          <w:rFonts w:ascii="Times New Roman" w:hAnsi="Times New Roman"/>
          <w:sz w:val="24"/>
          <w:szCs w:val="24"/>
        </w:rPr>
        <w:tab/>
      </w:r>
    </w:p>
    <w:p w:rsidR="00581F29" w:rsidRDefault="00581F29" w:rsidP="00581F29">
      <w:pPr>
        <w:rPr>
          <w:rFonts w:ascii="Times New Roman" w:hAnsi="Times New Roman"/>
          <w:sz w:val="24"/>
          <w:szCs w:val="24"/>
        </w:rPr>
      </w:pPr>
    </w:p>
    <w:p w:rsidR="00581F29" w:rsidRDefault="00581F29" w:rsidP="00581F29">
      <w:pPr>
        <w:pStyle w:val="ConsPlusNorma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главы муниципального образования, </w:t>
      </w:r>
    </w:p>
    <w:p w:rsidR="00581F29" w:rsidRDefault="00581F29" w:rsidP="00581F29">
      <w:pPr>
        <w:pStyle w:val="ConsPlusNormal"/>
        <w:ind w:firstLine="709"/>
        <w:rPr>
          <w:rFonts w:ascii="Times New Roman" w:hAnsi="Times New Roman"/>
          <w:sz w:val="28"/>
          <w:szCs w:val="28"/>
        </w:rPr>
      </w:pPr>
      <w:r>
        <w:rPr>
          <w:rFonts w:ascii="Times New Roman" w:hAnsi="Times New Roman" w:cs="Times New Roman"/>
          <w:color w:val="000000"/>
          <w:sz w:val="28"/>
          <w:szCs w:val="28"/>
        </w:rPr>
        <w:t>начальник финансового управления</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Л.А. Губанова</w:t>
      </w:r>
    </w:p>
    <w:p w:rsidR="00581F29" w:rsidRDefault="00581F29" w:rsidP="00581F29">
      <w:pPr>
        <w:pStyle w:val="ConsPlusNormal"/>
        <w:ind w:left="9204" w:firstLine="709"/>
        <w:outlineLvl w:val="1"/>
        <w:rPr>
          <w:rFonts w:ascii="Times New Roman" w:hAnsi="Times New Roman" w:cs="Times New Roman"/>
          <w:sz w:val="24"/>
          <w:szCs w:val="24"/>
        </w:rPr>
      </w:pPr>
    </w:p>
    <w:p w:rsidR="00581F29" w:rsidRDefault="00581F29" w:rsidP="00581F29">
      <w:pPr>
        <w:pStyle w:val="ConsPlusNormal"/>
        <w:ind w:left="9204" w:firstLine="709"/>
        <w:outlineLvl w:val="1"/>
        <w:rPr>
          <w:rFonts w:ascii="Times New Roman" w:hAnsi="Times New Roman" w:cs="Times New Roman"/>
          <w:sz w:val="24"/>
          <w:szCs w:val="24"/>
        </w:rPr>
      </w:pPr>
    </w:p>
    <w:p w:rsidR="00581F29" w:rsidRDefault="00581F29" w:rsidP="00581F29">
      <w:pPr>
        <w:pStyle w:val="ConsPlusNormal"/>
        <w:ind w:left="9204" w:firstLine="709"/>
        <w:outlineLvl w:val="1"/>
        <w:rPr>
          <w:rFonts w:ascii="Times New Roman" w:hAnsi="Times New Roman" w:cs="Times New Roman"/>
          <w:sz w:val="24"/>
          <w:szCs w:val="24"/>
        </w:rPr>
      </w:pPr>
    </w:p>
    <w:p w:rsidR="00581F29" w:rsidRDefault="00581F29" w:rsidP="00581F29">
      <w:pPr>
        <w:pStyle w:val="ConsPlusNormal"/>
        <w:ind w:left="9204" w:firstLine="709"/>
        <w:outlineLvl w:val="1"/>
        <w:rPr>
          <w:rFonts w:ascii="Times New Roman" w:hAnsi="Times New Roman" w:cs="Times New Roman"/>
          <w:sz w:val="24"/>
          <w:szCs w:val="24"/>
        </w:rPr>
      </w:pPr>
    </w:p>
    <w:p w:rsidR="00581F29" w:rsidRDefault="00581F29" w:rsidP="00581F29">
      <w:pPr>
        <w:spacing w:after="0" w:line="240" w:lineRule="auto"/>
        <w:rPr>
          <w:rFonts w:ascii="Times New Roman" w:hAnsi="Times New Roman"/>
          <w:sz w:val="28"/>
          <w:szCs w:val="28"/>
        </w:rPr>
        <w:sectPr w:rsidR="00581F29">
          <w:pgSz w:w="16838" w:h="11906" w:orient="landscape"/>
          <w:pgMar w:top="1701" w:right="567" w:bottom="1134" w:left="1134" w:header="709" w:footer="709" w:gutter="0"/>
          <w:cols w:space="720"/>
        </w:sectPr>
      </w:pPr>
    </w:p>
    <w:tbl>
      <w:tblPr>
        <w:tblW w:w="15149" w:type="dxa"/>
        <w:tblInd w:w="93" w:type="dxa"/>
        <w:tblLook w:val="04A0" w:firstRow="1" w:lastRow="0" w:firstColumn="1" w:lastColumn="0" w:noHBand="0" w:noVBand="1"/>
      </w:tblPr>
      <w:tblGrid>
        <w:gridCol w:w="6111"/>
        <w:gridCol w:w="1559"/>
        <w:gridCol w:w="1400"/>
        <w:gridCol w:w="1408"/>
        <w:gridCol w:w="1448"/>
        <w:gridCol w:w="1448"/>
        <w:gridCol w:w="391"/>
        <w:gridCol w:w="993"/>
        <w:gridCol w:w="391"/>
      </w:tblGrid>
      <w:tr w:rsidR="00581F29" w:rsidTr="00581F29">
        <w:trPr>
          <w:trHeight w:val="375"/>
        </w:trPr>
        <w:tc>
          <w:tcPr>
            <w:tcW w:w="6111" w:type="dxa"/>
            <w:noWrap/>
            <w:vAlign w:val="bottom"/>
            <w:hideMark/>
          </w:tcPr>
          <w:p w:rsidR="00581F29" w:rsidRDefault="00581F29">
            <w:pPr>
              <w:spacing w:after="0" w:line="240" w:lineRule="auto"/>
              <w:rPr>
                <w:sz w:val="20"/>
                <w:szCs w:val="20"/>
                <w:lang w:eastAsia="ru-RU"/>
              </w:rPr>
            </w:pPr>
            <w:bookmarkStart w:id="3" w:name="RANGE!A1:G32"/>
            <w:bookmarkEnd w:id="3"/>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4695" w:type="dxa"/>
            <w:gridSpan w:val="4"/>
            <w:noWrap/>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ПРИЛОЖЕНИЕ № 2</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trHeight w:val="37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4695" w:type="dxa"/>
            <w:gridSpan w:val="4"/>
            <w:noWrap/>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Бюджетному прогнозу</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trHeight w:val="37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4695" w:type="dxa"/>
            <w:gridSpan w:val="4"/>
            <w:noWrap/>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муниципального образования</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trHeight w:val="37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4695" w:type="dxa"/>
            <w:gridSpan w:val="4"/>
            <w:noWrap/>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Кавказский район </w:t>
            </w:r>
            <w:proofErr w:type="gramStart"/>
            <w:r>
              <w:rPr>
                <w:rFonts w:ascii="Times New Roman" w:eastAsia="Times New Roman" w:hAnsi="Times New Roman"/>
                <w:color w:val="000000"/>
                <w:sz w:val="28"/>
                <w:szCs w:val="28"/>
                <w:lang w:eastAsia="ru-RU"/>
              </w:rPr>
              <w:t>на</w:t>
            </w:r>
            <w:proofErr w:type="gramEnd"/>
            <w:r>
              <w:rPr>
                <w:rFonts w:ascii="Times New Roman" w:eastAsia="Times New Roman" w:hAnsi="Times New Roman"/>
                <w:color w:val="000000"/>
                <w:sz w:val="28"/>
                <w:szCs w:val="28"/>
                <w:lang w:eastAsia="ru-RU"/>
              </w:rPr>
              <w:t xml:space="preserve"> долгосрочный</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trHeight w:val="37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4695" w:type="dxa"/>
            <w:gridSpan w:val="4"/>
            <w:noWrap/>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период до 2028 года</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gridAfter w:val="1"/>
          <w:wAfter w:w="391" w:type="dxa"/>
          <w:trHeight w:val="31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tcPr>
          <w:p w:rsidR="00581F29" w:rsidRDefault="00581F29">
            <w:pPr>
              <w:spacing w:after="0" w:line="240" w:lineRule="auto"/>
              <w:jc w:val="right"/>
              <w:rPr>
                <w:rFonts w:ascii="Times New Roman" w:eastAsia="Times New Roman" w:hAnsi="Times New Roman"/>
                <w:color w:val="000000"/>
                <w:sz w:val="24"/>
                <w:szCs w:val="24"/>
                <w:lang w:eastAsia="ru-RU"/>
              </w:rPr>
            </w:pPr>
          </w:p>
        </w:tc>
      </w:tr>
      <w:tr w:rsidR="00581F29" w:rsidTr="00581F29">
        <w:trPr>
          <w:gridAfter w:val="1"/>
          <w:wAfter w:w="391" w:type="dxa"/>
          <w:trHeight w:val="390"/>
        </w:trPr>
        <w:tc>
          <w:tcPr>
            <w:tcW w:w="13374" w:type="dxa"/>
            <w:gridSpan w:val="6"/>
            <w:vAlign w:val="bottom"/>
            <w:hideMark/>
          </w:tcPr>
          <w:p w:rsidR="00581F29" w:rsidRDefault="00581F2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Расходы на реализацию муниципальных программ муниципального образования Кавказский район на 2023-2028 годы</w:t>
            </w:r>
          </w:p>
        </w:tc>
        <w:tc>
          <w:tcPr>
            <w:tcW w:w="1384" w:type="dxa"/>
            <w:gridSpan w:val="2"/>
          </w:tcPr>
          <w:p w:rsidR="00581F29" w:rsidRDefault="00581F29">
            <w:pPr>
              <w:spacing w:after="0" w:line="240" w:lineRule="auto"/>
              <w:jc w:val="center"/>
              <w:rPr>
                <w:rFonts w:ascii="Times New Roman" w:eastAsia="Times New Roman" w:hAnsi="Times New Roman"/>
                <w:color w:val="000000"/>
                <w:sz w:val="28"/>
                <w:szCs w:val="28"/>
                <w:lang w:eastAsia="ru-RU"/>
              </w:rPr>
            </w:pPr>
          </w:p>
        </w:tc>
      </w:tr>
      <w:tr w:rsidR="00581F29" w:rsidTr="00581F29">
        <w:trPr>
          <w:gridAfter w:val="1"/>
          <w:wAfter w:w="391" w:type="dxa"/>
          <w:trHeight w:val="315"/>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hideMark/>
          </w:tcPr>
          <w:p w:rsidR="00581F29" w:rsidRDefault="00581F2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тыс. руб.</w:t>
            </w:r>
          </w:p>
        </w:tc>
      </w:tr>
      <w:tr w:rsidR="00581F29" w:rsidTr="00581F29">
        <w:trPr>
          <w:gridAfter w:val="1"/>
          <w:wAfter w:w="391" w:type="dxa"/>
          <w:trHeight w:val="315"/>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Показатель</w:t>
            </w:r>
          </w:p>
        </w:tc>
        <w:tc>
          <w:tcPr>
            <w:tcW w:w="1559" w:type="dxa"/>
            <w:tcBorders>
              <w:top w:val="single" w:sz="4" w:space="0" w:color="auto"/>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2023 г.</w:t>
            </w:r>
          </w:p>
        </w:tc>
        <w:tc>
          <w:tcPr>
            <w:tcW w:w="1400" w:type="dxa"/>
            <w:tcBorders>
              <w:top w:val="single" w:sz="4" w:space="0" w:color="auto"/>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2024 г.</w:t>
            </w:r>
          </w:p>
        </w:tc>
        <w:tc>
          <w:tcPr>
            <w:tcW w:w="1408" w:type="dxa"/>
            <w:tcBorders>
              <w:top w:val="single" w:sz="4" w:space="0" w:color="auto"/>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2025 г.</w:t>
            </w:r>
          </w:p>
        </w:tc>
        <w:tc>
          <w:tcPr>
            <w:tcW w:w="1448" w:type="dxa"/>
            <w:tcBorders>
              <w:top w:val="single" w:sz="4" w:space="0" w:color="auto"/>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2026 г.</w:t>
            </w:r>
          </w:p>
        </w:tc>
        <w:tc>
          <w:tcPr>
            <w:tcW w:w="1448" w:type="dxa"/>
            <w:tcBorders>
              <w:top w:val="single" w:sz="4" w:space="0" w:color="auto"/>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2027 г.</w:t>
            </w:r>
          </w:p>
        </w:tc>
        <w:tc>
          <w:tcPr>
            <w:tcW w:w="1384" w:type="dxa"/>
            <w:gridSpan w:val="2"/>
            <w:tcBorders>
              <w:top w:val="single" w:sz="4" w:space="0" w:color="auto"/>
              <w:left w:val="nil"/>
              <w:bottom w:val="single" w:sz="4" w:space="0" w:color="auto"/>
              <w:right w:val="single" w:sz="4" w:space="0" w:color="auto"/>
            </w:tcBorders>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 г.</w:t>
            </w:r>
          </w:p>
        </w:tc>
      </w:tr>
      <w:tr w:rsidR="00581F29" w:rsidTr="00581F29">
        <w:trPr>
          <w:gridAfter w:val="1"/>
          <w:wAfter w:w="391" w:type="dxa"/>
          <w:trHeight w:val="315"/>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559" w:type="dxa"/>
            <w:tcBorders>
              <w:top w:val="nil"/>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400" w:type="dxa"/>
            <w:tcBorders>
              <w:top w:val="nil"/>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408" w:type="dxa"/>
            <w:tcBorders>
              <w:top w:val="nil"/>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448" w:type="dxa"/>
            <w:tcBorders>
              <w:top w:val="nil"/>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448" w:type="dxa"/>
            <w:tcBorders>
              <w:top w:val="nil"/>
              <w:left w:val="nil"/>
              <w:bottom w:val="single" w:sz="4" w:space="0" w:color="auto"/>
              <w:right w:val="single" w:sz="4" w:space="0" w:color="auto"/>
            </w:tcBorders>
            <w:noWrap/>
            <w:vAlign w:val="bottom"/>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384" w:type="dxa"/>
            <w:gridSpan w:val="2"/>
            <w:tcBorders>
              <w:top w:val="nil"/>
              <w:left w:val="nil"/>
              <w:bottom w:val="single" w:sz="4" w:space="0" w:color="auto"/>
              <w:right w:val="single" w:sz="4" w:space="0" w:color="auto"/>
            </w:tcBorders>
            <w:vAlign w:val="center"/>
            <w:hideMark/>
          </w:tcPr>
          <w:p w:rsidR="00581F29" w:rsidRDefault="00581F2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581F29" w:rsidTr="00581F29">
        <w:trPr>
          <w:gridAfter w:val="1"/>
          <w:wAfter w:w="391" w:type="dxa"/>
          <w:trHeight w:val="315"/>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Расходы всего</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2 417 465,5</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2 399 775,2</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2 323 052,9</w:t>
            </w:r>
          </w:p>
        </w:tc>
        <w:tc>
          <w:tcPr>
            <w:tcW w:w="1448" w:type="dxa"/>
            <w:tcBorders>
              <w:top w:val="nil"/>
              <w:left w:val="nil"/>
              <w:bottom w:val="single" w:sz="4" w:space="0" w:color="auto"/>
              <w:right w:val="single" w:sz="4" w:space="0" w:color="auto"/>
            </w:tcBorders>
            <w:noWrap/>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2 363 357,4</w:t>
            </w:r>
          </w:p>
        </w:tc>
        <w:tc>
          <w:tcPr>
            <w:tcW w:w="1448" w:type="dxa"/>
            <w:tcBorders>
              <w:top w:val="nil"/>
              <w:left w:val="nil"/>
              <w:bottom w:val="single" w:sz="4" w:space="0" w:color="auto"/>
              <w:right w:val="single" w:sz="4" w:space="0" w:color="auto"/>
            </w:tcBorders>
            <w:noWrap/>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2 405 274,2</w:t>
            </w:r>
          </w:p>
        </w:tc>
        <w:tc>
          <w:tcPr>
            <w:tcW w:w="1384" w:type="dxa"/>
            <w:gridSpan w:val="2"/>
            <w:tcBorders>
              <w:top w:val="nil"/>
              <w:left w:val="nil"/>
              <w:bottom w:val="single" w:sz="4" w:space="0" w:color="auto"/>
              <w:right w:val="single" w:sz="4" w:space="0" w:color="auto"/>
            </w:tcBorders>
            <w:hideMark/>
          </w:tcPr>
          <w:p w:rsidR="00581F29" w:rsidRDefault="00581F29">
            <w:pPr>
              <w:pStyle w:val="ConsPlusNormal"/>
              <w:jc w:val="center"/>
              <w:rPr>
                <w:rFonts w:ascii="Times New Roman" w:hAnsi="Times New Roman" w:cs="Times New Roman"/>
                <w:sz w:val="24"/>
                <w:szCs w:val="24"/>
              </w:rPr>
            </w:pPr>
            <w:r>
              <w:rPr>
                <w:rFonts w:ascii="Times New Roman" w:hAnsi="Times New Roman" w:cs="Times New Roman"/>
                <w:sz w:val="24"/>
                <w:szCs w:val="24"/>
              </w:rPr>
              <w:t>2 448 867,5</w:t>
            </w:r>
          </w:p>
        </w:tc>
      </w:tr>
      <w:tr w:rsidR="00581F29" w:rsidTr="00581F29">
        <w:trPr>
          <w:gridAfter w:val="1"/>
          <w:wAfter w:w="391" w:type="dxa"/>
          <w:trHeight w:val="315"/>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Расходы, распределенные по программам</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2 214 850,4</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2 167 717,5</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2 057 558,7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2 057 558,7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2 057 558,7</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2 057 558,7</w:t>
            </w:r>
          </w:p>
        </w:tc>
      </w:tr>
      <w:tr w:rsidR="00581F29" w:rsidTr="00581F29">
        <w:trPr>
          <w:gridAfter w:val="1"/>
          <w:wAfter w:w="391" w:type="dxa"/>
          <w:trHeight w:val="483"/>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"Развитие образования"</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1 536 108,2</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1 534 814,6</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1 433 431,8</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1 433 431,8</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1 433 431,8</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1 433 431,8</w:t>
            </w:r>
          </w:p>
        </w:tc>
      </w:tr>
      <w:tr w:rsidR="00581F29" w:rsidTr="00581F29">
        <w:trPr>
          <w:gridAfter w:val="1"/>
          <w:wAfter w:w="391" w:type="dxa"/>
          <w:trHeight w:val="505"/>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"Социальная поддержка граждан"</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245 938,1</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209 872,3</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216 769,6</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216 769,6</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216 769,6</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216 769,6</w:t>
            </w:r>
          </w:p>
        </w:tc>
      </w:tr>
      <w:tr w:rsidR="00581F29" w:rsidTr="00581F29">
        <w:trPr>
          <w:gridAfter w:val="1"/>
          <w:wAfter w:w="391" w:type="dxa"/>
          <w:trHeight w:val="1054"/>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13 172,5</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20 109,7</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7 489,4</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7 489,4</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7 489,4</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7 489,4</w:t>
            </w:r>
          </w:p>
        </w:tc>
      </w:tr>
      <w:tr w:rsidR="00581F29" w:rsidTr="00581F29">
        <w:trPr>
          <w:gridAfter w:val="1"/>
          <w:wAfter w:w="391" w:type="dxa"/>
          <w:trHeight w:val="587"/>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lastRenderedPageBreak/>
              <w:t>Муниципальная программа муниципального образования Кавказский район "Развитие топливно-энергетического комплекса"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620,0</w:t>
            </w:r>
          </w:p>
        </w:tc>
      </w:tr>
      <w:tr w:rsidR="00581F29" w:rsidTr="00581F29">
        <w:trPr>
          <w:gridAfter w:val="1"/>
          <w:wAfter w:w="391" w:type="dxa"/>
          <w:trHeight w:val="711"/>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"Защита населения и территорий от чрезвычайных ситуаций природного и техногенного характера"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33 201,3</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23 208,1</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23 208,1</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23 208,1</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23 208,1</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23 208,1</w:t>
            </w:r>
          </w:p>
        </w:tc>
      </w:tr>
      <w:tr w:rsidR="00581F29" w:rsidTr="00581F29">
        <w:trPr>
          <w:gridAfter w:val="1"/>
          <w:wAfter w:w="391" w:type="dxa"/>
          <w:trHeight w:val="493"/>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"Обеспечение безопасности населения"</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55 457,1</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53 062,6</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53 004,1</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53 004,1</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53 004,1</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53 004,1</w:t>
            </w:r>
          </w:p>
        </w:tc>
      </w:tr>
      <w:tr w:rsidR="00581F29" w:rsidTr="00581F29">
        <w:trPr>
          <w:gridAfter w:val="1"/>
          <w:wAfter w:w="391" w:type="dxa"/>
          <w:trHeight w:val="630"/>
        </w:trPr>
        <w:tc>
          <w:tcPr>
            <w:tcW w:w="6111" w:type="dxa"/>
            <w:tcBorders>
              <w:top w:val="single" w:sz="4" w:space="0" w:color="auto"/>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"Развитие культуры"</w:t>
            </w:r>
          </w:p>
        </w:tc>
        <w:tc>
          <w:tcPr>
            <w:tcW w:w="1559" w:type="dxa"/>
            <w:tcBorders>
              <w:top w:val="single" w:sz="4" w:space="0" w:color="auto"/>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113 343,3</w:t>
            </w:r>
          </w:p>
        </w:tc>
        <w:tc>
          <w:tcPr>
            <w:tcW w:w="1400" w:type="dxa"/>
            <w:tcBorders>
              <w:top w:val="single" w:sz="4" w:space="0" w:color="auto"/>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116 817,4</w:t>
            </w:r>
          </w:p>
        </w:tc>
        <w:tc>
          <w:tcPr>
            <w:tcW w:w="1408" w:type="dxa"/>
            <w:tcBorders>
              <w:top w:val="single" w:sz="4" w:space="0" w:color="auto"/>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113 710,9</w:t>
            </w:r>
          </w:p>
        </w:tc>
        <w:tc>
          <w:tcPr>
            <w:tcW w:w="1448" w:type="dxa"/>
            <w:tcBorders>
              <w:top w:val="single" w:sz="4" w:space="0" w:color="auto"/>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113 710,9</w:t>
            </w:r>
          </w:p>
        </w:tc>
        <w:tc>
          <w:tcPr>
            <w:tcW w:w="1448" w:type="dxa"/>
            <w:tcBorders>
              <w:top w:val="single" w:sz="4" w:space="0" w:color="auto"/>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113 710,9</w:t>
            </w:r>
          </w:p>
        </w:tc>
        <w:tc>
          <w:tcPr>
            <w:tcW w:w="1384" w:type="dxa"/>
            <w:gridSpan w:val="2"/>
            <w:tcBorders>
              <w:top w:val="single" w:sz="4" w:space="0" w:color="auto"/>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113 710,9</w:t>
            </w:r>
          </w:p>
        </w:tc>
      </w:tr>
      <w:tr w:rsidR="00581F29" w:rsidTr="00581F29">
        <w:trPr>
          <w:gridAfter w:val="1"/>
          <w:wAfter w:w="391" w:type="dxa"/>
          <w:trHeight w:val="500"/>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"Развитие физической культуры и спорта"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182 264,7</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170 662,4</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170 662,4</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170 662,4</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170 662,4</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170 662,4</w:t>
            </w:r>
          </w:p>
        </w:tc>
      </w:tr>
      <w:tr w:rsidR="00581F29" w:rsidTr="00581F29">
        <w:trPr>
          <w:gridAfter w:val="1"/>
          <w:wAfter w:w="391" w:type="dxa"/>
          <w:trHeight w:val="630"/>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"Экономическое развитие и инновационная экономика"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2 524,2</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2 550,8</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2 550,8</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2 550,8</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2 550,8</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2 550,8</w:t>
            </w:r>
          </w:p>
        </w:tc>
      </w:tr>
      <w:tr w:rsidR="00581F29" w:rsidTr="00581F29">
        <w:trPr>
          <w:gridAfter w:val="1"/>
          <w:wAfter w:w="391" w:type="dxa"/>
          <w:trHeight w:val="577"/>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"Молодежь Кавказского района"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8 835,9</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9 043,7</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9 043,7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9 043,7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9 043,7</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9 043,7</w:t>
            </w:r>
          </w:p>
        </w:tc>
      </w:tr>
      <w:tr w:rsidR="00581F29" w:rsidTr="00581F29">
        <w:trPr>
          <w:gridAfter w:val="1"/>
          <w:wAfter w:w="391" w:type="dxa"/>
          <w:trHeight w:val="630"/>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 xml:space="preserve">Муниципальная программа муниципального образования Кавказский район "Информационное общество муниципального образования Кавказский </w:t>
            </w:r>
            <w:r>
              <w:rPr>
                <w:rFonts w:ascii="Times New Roman" w:hAnsi="Times New Roman"/>
                <w:sz w:val="24"/>
                <w:szCs w:val="24"/>
              </w:rPr>
              <w:lastRenderedPageBreak/>
              <w:t>район"</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lastRenderedPageBreak/>
              <w:t>5 140,0</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4 540,0</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4 540,0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4 540,0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4 540,0</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4 540,0</w:t>
            </w:r>
          </w:p>
        </w:tc>
      </w:tr>
      <w:tr w:rsidR="00581F29" w:rsidTr="00581F29">
        <w:trPr>
          <w:gridAfter w:val="1"/>
          <w:wAfter w:w="391" w:type="dxa"/>
          <w:trHeight w:val="853"/>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lastRenderedPageBreak/>
              <w:t>Муниципальная программа муниципального образования Кавказский район "Развитие сельского хозяйства  и регулирования рынков сельскохозяйственной продукции, сырья и продовольствия"</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14 072,0</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17 993,1</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18 022,7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18 022,7</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18 022,7</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18 022,7</w:t>
            </w:r>
          </w:p>
        </w:tc>
      </w:tr>
      <w:tr w:rsidR="00581F29" w:rsidTr="00581F29">
        <w:trPr>
          <w:gridAfter w:val="1"/>
          <w:wAfter w:w="391" w:type="dxa"/>
          <w:trHeight w:val="630"/>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"Организация отдыха, оздоровления и занятости детей и подростков"</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3 669,1</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3 747,8</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3 830,2</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3 830,2</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3 830,2</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3 830,2</w:t>
            </w:r>
          </w:p>
        </w:tc>
      </w:tr>
      <w:tr w:rsidR="00581F29" w:rsidTr="00581F29">
        <w:trPr>
          <w:gridAfter w:val="1"/>
          <w:wAfter w:w="391" w:type="dxa"/>
          <w:trHeight w:val="579"/>
        </w:trPr>
        <w:tc>
          <w:tcPr>
            <w:tcW w:w="6111" w:type="dxa"/>
            <w:tcBorders>
              <w:top w:val="nil"/>
              <w:left w:val="single" w:sz="4" w:space="0" w:color="auto"/>
              <w:bottom w:val="single" w:sz="4" w:space="0" w:color="auto"/>
              <w:right w:val="single" w:sz="4" w:space="0" w:color="auto"/>
            </w:tcBorders>
            <w:vAlign w:val="bottom"/>
            <w:hideMark/>
          </w:tcPr>
          <w:p w:rsidR="00581F29" w:rsidRDefault="00581F29">
            <w:pPr>
              <w:jc w:val="both"/>
              <w:rPr>
                <w:rFonts w:ascii="Times New Roman" w:hAnsi="Times New Roman"/>
                <w:sz w:val="24"/>
                <w:szCs w:val="24"/>
              </w:rPr>
            </w:pPr>
            <w:r>
              <w:rPr>
                <w:rFonts w:ascii="Times New Roman" w:hAnsi="Times New Roman"/>
                <w:sz w:val="24"/>
                <w:szCs w:val="24"/>
              </w:rPr>
              <w:t>Муниципальная программа муниципального образования Кавказский район "Муниципальная политика и развитие гражданского общества"</w:t>
            </w:r>
          </w:p>
        </w:tc>
        <w:tc>
          <w:tcPr>
            <w:tcW w:w="1559"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504,0</w:t>
            </w:r>
          </w:p>
        </w:tc>
        <w:tc>
          <w:tcPr>
            <w:tcW w:w="1400"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675,0</w:t>
            </w:r>
          </w:p>
        </w:tc>
        <w:tc>
          <w:tcPr>
            <w:tcW w:w="140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675,0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675,0</w:t>
            </w:r>
          </w:p>
        </w:tc>
        <w:tc>
          <w:tcPr>
            <w:tcW w:w="1448" w:type="dxa"/>
            <w:tcBorders>
              <w:top w:val="nil"/>
              <w:left w:val="nil"/>
              <w:bottom w:val="single" w:sz="4" w:space="0" w:color="auto"/>
              <w:right w:val="single" w:sz="4" w:space="0" w:color="auto"/>
            </w:tcBorders>
            <w:noWrap/>
            <w:vAlign w:val="bottom"/>
            <w:hideMark/>
          </w:tcPr>
          <w:p w:rsidR="00581F29" w:rsidRDefault="00581F29">
            <w:pPr>
              <w:jc w:val="center"/>
              <w:rPr>
                <w:rFonts w:ascii="Times New Roman" w:hAnsi="Times New Roman"/>
                <w:sz w:val="24"/>
                <w:szCs w:val="24"/>
              </w:rPr>
            </w:pPr>
            <w:r>
              <w:rPr>
                <w:rFonts w:ascii="Times New Roman" w:hAnsi="Times New Roman"/>
                <w:sz w:val="24"/>
                <w:szCs w:val="24"/>
              </w:rPr>
              <w:t>675,0</w:t>
            </w:r>
          </w:p>
        </w:tc>
        <w:tc>
          <w:tcPr>
            <w:tcW w:w="1384" w:type="dxa"/>
            <w:gridSpan w:val="2"/>
            <w:tcBorders>
              <w:top w:val="nil"/>
              <w:left w:val="nil"/>
              <w:bottom w:val="single" w:sz="4" w:space="0" w:color="auto"/>
              <w:right w:val="single" w:sz="4" w:space="0" w:color="auto"/>
            </w:tcBorders>
            <w:vAlign w:val="bottom"/>
            <w:hideMark/>
          </w:tcPr>
          <w:p w:rsidR="00581F29" w:rsidRDefault="00581F29">
            <w:pPr>
              <w:jc w:val="center"/>
              <w:rPr>
                <w:rFonts w:ascii="Times New Roman" w:hAnsi="Times New Roman"/>
                <w:sz w:val="24"/>
                <w:szCs w:val="24"/>
              </w:rPr>
            </w:pPr>
            <w:r>
              <w:rPr>
                <w:rFonts w:ascii="Times New Roman" w:hAnsi="Times New Roman"/>
                <w:sz w:val="24"/>
                <w:szCs w:val="24"/>
              </w:rPr>
              <w:t>675,0</w:t>
            </w:r>
          </w:p>
        </w:tc>
      </w:tr>
      <w:tr w:rsidR="00581F29" w:rsidTr="00581F29">
        <w:trPr>
          <w:gridAfter w:val="1"/>
          <w:wAfter w:w="391" w:type="dxa"/>
          <w:trHeight w:val="300"/>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tcPr>
          <w:p w:rsidR="00581F29" w:rsidRDefault="00581F29">
            <w:pPr>
              <w:spacing w:after="0" w:line="240" w:lineRule="auto"/>
              <w:rPr>
                <w:rFonts w:eastAsia="Times New Roman"/>
                <w:color w:val="000000"/>
                <w:lang w:eastAsia="ru-RU"/>
              </w:rPr>
            </w:pPr>
          </w:p>
        </w:tc>
      </w:tr>
      <w:tr w:rsidR="00581F29" w:rsidTr="00581F29">
        <w:trPr>
          <w:gridAfter w:val="1"/>
          <w:wAfter w:w="391" w:type="dxa"/>
          <w:trHeight w:val="300"/>
        </w:trPr>
        <w:tc>
          <w:tcPr>
            <w:tcW w:w="6111" w:type="dxa"/>
            <w:noWrap/>
            <w:vAlign w:val="bottom"/>
          </w:tcPr>
          <w:p w:rsidR="00581F29" w:rsidRDefault="00581F29">
            <w:pPr>
              <w:spacing w:after="0" w:line="240" w:lineRule="auto"/>
              <w:rPr>
                <w:rFonts w:eastAsia="Times New Roman"/>
                <w:color w:val="00000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tcPr>
          <w:p w:rsidR="00581F29" w:rsidRDefault="00581F29">
            <w:pPr>
              <w:spacing w:after="0" w:line="240" w:lineRule="auto"/>
              <w:rPr>
                <w:rFonts w:eastAsia="Times New Roman"/>
                <w:color w:val="000000"/>
                <w:lang w:eastAsia="ru-RU"/>
              </w:rPr>
            </w:pPr>
          </w:p>
        </w:tc>
      </w:tr>
      <w:tr w:rsidR="00581F29" w:rsidTr="00581F29">
        <w:trPr>
          <w:gridAfter w:val="1"/>
          <w:wAfter w:w="391" w:type="dxa"/>
          <w:trHeight w:val="315"/>
        </w:trPr>
        <w:tc>
          <w:tcPr>
            <w:tcW w:w="6111" w:type="dxa"/>
            <w:noWrap/>
            <w:vAlign w:val="bottom"/>
            <w:hideMark/>
          </w:tcPr>
          <w:p w:rsidR="00581F29" w:rsidRDefault="00581F29">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Заместитель главы муниципального образования,</w:t>
            </w: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tcPr>
          <w:p w:rsidR="00581F29" w:rsidRDefault="00581F29">
            <w:pPr>
              <w:spacing w:after="0" w:line="240" w:lineRule="auto"/>
              <w:rPr>
                <w:rFonts w:ascii="Times New Roman" w:eastAsia="Times New Roman" w:hAnsi="Times New Roman"/>
                <w:color w:val="000000"/>
                <w:sz w:val="28"/>
                <w:szCs w:val="28"/>
                <w:lang w:eastAsia="ru-RU"/>
              </w:rPr>
            </w:pPr>
          </w:p>
        </w:tc>
      </w:tr>
      <w:tr w:rsidR="00581F29" w:rsidTr="00581F29">
        <w:trPr>
          <w:gridAfter w:val="1"/>
          <w:wAfter w:w="391" w:type="dxa"/>
          <w:trHeight w:val="315"/>
        </w:trPr>
        <w:tc>
          <w:tcPr>
            <w:tcW w:w="6111" w:type="dxa"/>
            <w:noWrap/>
            <w:vAlign w:val="bottom"/>
            <w:hideMark/>
          </w:tcPr>
          <w:p w:rsidR="00581F29" w:rsidRDefault="00581F29">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начальник финансового управления</w:t>
            </w: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2896" w:type="dxa"/>
            <w:gridSpan w:val="2"/>
            <w:noWrap/>
            <w:vAlign w:val="bottom"/>
            <w:hideMark/>
          </w:tcPr>
          <w:p w:rsidR="00581F29" w:rsidRDefault="00581F29">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Л.А. Губанова</w:t>
            </w:r>
          </w:p>
        </w:tc>
        <w:tc>
          <w:tcPr>
            <w:tcW w:w="1384" w:type="dxa"/>
            <w:gridSpan w:val="2"/>
          </w:tcPr>
          <w:p w:rsidR="00581F29" w:rsidRDefault="00581F29">
            <w:pPr>
              <w:spacing w:after="0" w:line="240" w:lineRule="auto"/>
              <w:jc w:val="right"/>
              <w:rPr>
                <w:rFonts w:ascii="Times New Roman" w:eastAsia="Times New Roman" w:hAnsi="Times New Roman"/>
                <w:color w:val="000000"/>
                <w:sz w:val="28"/>
                <w:szCs w:val="28"/>
                <w:lang w:eastAsia="ru-RU"/>
              </w:rPr>
            </w:pPr>
          </w:p>
        </w:tc>
      </w:tr>
      <w:tr w:rsidR="00581F29" w:rsidTr="00581F29">
        <w:trPr>
          <w:gridAfter w:val="1"/>
          <w:wAfter w:w="391" w:type="dxa"/>
          <w:trHeight w:val="300"/>
        </w:trPr>
        <w:tc>
          <w:tcPr>
            <w:tcW w:w="6111" w:type="dxa"/>
            <w:noWrap/>
            <w:vAlign w:val="bottom"/>
            <w:hideMark/>
          </w:tcPr>
          <w:p w:rsidR="00581F29" w:rsidRDefault="00581F29">
            <w:pPr>
              <w:spacing w:after="0" w:line="240" w:lineRule="auto"/>
              <w:rPr>
                <w:sz w:val="20"/>
                <w:szCs w:val="20"/>
                <w:lang w:eastAsia="ru-RU"/>
              </w:rPr>
            </w:pPr>
          </w:p>
        </w:tc>
        <w:tc>
          <w:tcPr>
            <w:tcW w:w="1559" w:type="dxa"/>
            <w:noWrap/>
            <w:vAlign w:val="bottom"/>
            <w:hideMark/>
          </w:tcPr>
          <w:p w:rsidR="00581F29" w:rsidRDefault="00581F29">
            <w:pPr>
              <w:spacing w:after="0" w:line="240" w:lineRule="auto"/>
              <w:rPr>
                <w:sz w:val="20"/>
                <w:szCs w:val="20"/>
                <w:lang w:eastAsia="ru-RU"/>
              </w:rPr>
            </w:pPr>
          </w:p>
        </w:tc>
        <w:tc>
          <w:tcPr>
            <w:tcW w:w="1400" w:type="dxa"/>
            <w:noWrap/>
            <w:vAlign w:val="bottom"/>
            <w:hideMark/>
          </w:tcPr>
          <w:p w:rsidR="00581F29" w:rsidRDefault="00581F29">
            <w:pPr>
              <w:spacing w:after="0" w:line="240" w:lineRule="auto"/>
              <w:rPr>
                <w:sz w:val="20"/>
                <w:szCs w:val="20"/>
                <w:lang w:eastAsia="ru-RU"/>
              </w:rPr>
            </w:pPr>
          </w:p>
        </w:tc>
        <w:tc>
          <w:tcPr>
            <w:tcW w:w="140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448" w:type="dxa"/>
            <w:noWrap/>
            <w:vAlign w:val="bottom"/>
            <w:hideMark/>
          </w:tcPr>
          <w:p w:rsidR="00581F29" w:rsidRDefault="00581F29">
            <w:pPr>
              <w:spacing w:after="0" w:line="240" w:lineRule="auto"/>
              <w:rPr>
                <w:sz w:val="20"/>
                <w:szCs w:val="20"/>
                <w:lang w:eastAsia="ru-RU"/>
              </w:rPr>
            </w:pPr>
          </w:p>
        </w:tc>
        <w:tc>
          <w:tcPr>
            <w:tcW w:w="1384" w:type="dxa"/>
            <w:gridSpan w:val="2"/>
          </w:tcPr>
          <w:p w:rsidR="00581F29" w:rsidRDefault="00581F29">
            <w:pPr>
              <w:spacing w:after="0" w:line="240" w:lineRule="auto"/>
              <w:rPr>
                <w:rFonts w:eastAsia="Times New Roman"/>
                <w:color w:val="000000"/>
                <w:sz w:val="28"/>
                <w:szCs w:val="28"/>
                <w:lang w:eastAsia="ru-RU"/>
              </w:rPr>
            </w:pPr>
          </w:p>
        </w:tc>
      </w:tr>
    </w:tbl>
    <w:p w:rsidR="00581F29" w:rsidRDefault="00581F29" w:rsidP="00581F29"/>
    <w:p w:rsidR="00581F29" w:rsidRDefault="00581F29" w:rsidP="00581F29">
      <w:pPr>
        <w:widowControl w:val="0"/>
        <w:suppressAutoHyphens/>
        <w:autoSpaceDE w:val="0"/>
        <w:autoSpaceDN w:val="0"/>
        <w:adjustRightInd w:val="0"/>
        <w:spacing w:after="0" w:line="240" w:lineRule="auto"/>
        <w:jc w:val="both"/>
        <w:rPr>
          <w:rFonts w:ascii="Times New Roman" w:hAnsi="Times New Roman"/>
          <w:sz w:val="28"/>
          <w:szCs w:val="28"/>
        </w:rPr>
      </w:pPr>
    </w:p>
    <w:p w:rsidR="00D65B52" w:rsidRDefault="00D65B52"/>
    <w:sectPr w:rsidR="00D65B52" w:rsidSect="00581F2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27"/>
    <w:rsid w:val="0016211F"/>
    <w:rsid w:val="00173A27"/>
    <w:rsid w:val="00581F29"/>
    <w:rsid w:val="00D6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F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F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1F2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F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F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1F2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martus</dc:creator>
  <cp:keywords/>
  <dc:description/>
  <cp:lastModifiedBy>martus</cp:lastModifiedBy>
  <cp:revision>3</cp:revision>
  <dcterms:created xsi:type="dcterms:W3CDTF">2023-01-25T06:53:00Z</dcterms:created>
  <dcterms:modified xsi:type="dcterms:W3CDTF">2023-01-25T06:58:00Z</dcterms:modified>
</cp:coreProperties>
</file>