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от 27.02.2015 г. № 557, 11.06.2015 г. № 969, 15.07.2015 г. № 1101, 03.11.2015 г. № 1462, 11.12.2015 г. № 1582, 30.12.2015 г. № 1678, 20.02.2016 г. № 327, 20.04.2016 г. № 637</w:t>
      </w:r>
      <w:proofErr w:type="gramEnd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, </w:t>
      </w:r>
      <w:proofErr w:type="gramStart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23.06.2016 г. № 886, 02.09.2016 г. № 1196, 24.11.2016 г. № 1564, 20.04.2017  г. № 750, 22.06.2017 г. № 1001, 24.10.2017 г. № 1611, 22.11.2017 г. № 1721,13.12.2017 г. № 1805, 19.02.2018г. № 200,12.04.2018г. № 485, 24.05.2018г. № 635, 21.06.2018г. № 829,  16.10.2018 г. № 1431, 21.11.2018г. № 1593, 19.04.2019г. № 498, 21.06.2019г. № 841, 12.12.2019г. № 1957, 27.12.2019 г. № 2092, 26.08.2020г. № 1064, 21.12.2020г. № 1794, 19.02.2021г</w:t>
      </w:r>
      <w:proofErr w:type="gramEnd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. № 174,  29.04.2021г. № 693,19.10.2021г. № 1602, 19.11.2021г. № 1702, 23.12.2021г. № 1916</w:t>
      </w:r>
      <w:r w:rsidR="006421EA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.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, </w:t>
      </w:r>
      <w:r w:rsidR="00C73030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10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.03.</w:t>
      </w:r>
      <w:r w:rsidR="00C73030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2022 г.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 № 348</w:t>
      </w:r>
      <w:r w:rsidR="001E05C8">
        <w:rPr>
          <w:rFonts w:ascii="Times New Roman" w:hAnsi="Times New Roman"/>
          <w:bCs/>
          <w:color w:val="00B050"/>
          <w:sz w:val="28"/>
          <w:szCs w:val="28"/>
          <w:lang w:val="ru-RU"/>
        </w:rPr>
        <w:t>, 27.07.2022 г № 1103</w:t>
      </w:r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плана проведения ветеринарно-профилактических мероприятий против особо опасных заболеваний, общих для человека и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1E05C8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1E05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52 268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,4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97 205,3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1E05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E05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798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,1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lastRenderedPageBreak/>
          <w:t xml:space="preserve">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Реализация поставленных задач позволит улучшить условия проживания на селе, увеличить занятость сельского населения, сблизить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9C7456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1E05C8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1E05C8">
              <w:rPr>
                <w:rFonts w:ascii="Times New Roman" w:hAnsi="Times New Roman"/>
                <w:b/>
                <w:bCs/>
                <w:kern w:val="32"/>
                <w:lang w:val="ru-RU"/>
              </w:rPr>
              <w:t>52268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D90374" w:rsidP="00D153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7205,3</w:t>
            </w:r>
          </w:p>
        </w:tc>
        <w:tc>
          <w:tcPr>
            <w:tcW w:w="1134" w:type="dxa"/>
          </w:tcPr>
          <w:p w:rsidR="007E358F" w:rsidRPr="00466099" w:rsidRDefault="001E05C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50798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,1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177122">
              <w:rPr>
                <w:rFonts w:ascii="Times New Roman" w:hAnsi="Times New Roman"/>
                <w:lang w:val="ru-RU"/>
              </w:rPr>
              <w:t>4323,4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177122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0B4D8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B4D85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4" w:type="dxa"/>
          </w:tcPr>
          <w:p w:rsidR="007E358F" w:rsidRPr="00466099" w:rsidRDefault="00D77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0B4D85">
              <w:rPr>
                <w:rFonts w:ascii="Times New Roman" w:hAnsi="Times New Roman"/>
                <w:bCs/>
                <w:kern w:val="32"/>
                <w:lang w:val="ru-RU"/>
              </w:rPr>
              <w:t>423,9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E05C8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17378</w:t>
            </w:r>
            <w:r w:rsidR="003028FD">
              <w:rPr>
                <w:rFonts w:ascii="Times New Roman" w:hAnsi="Times New Roman"/>
                <w:lang w:val="ru-RU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10886,5</w:t>
            </w:r>
          </w:p>
        </w:tc>
        <w:tc>
          <w:tcPr>
            <w:tcW w:w="1134" w:type="dxa"/>
          </w:tcPr>
          <w:p w:rsidR="00EB2CDA" w:rsidRPr="00466099" w:rsidRDefault="001E05C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6491</w:t>
            </w:r>
            <w:r w:rsidR="003028FD">
              <w:rPr>
                <w:rFonts w:ascii="Times New Roman" w:hAnsi="Times New Roman"/>
                <w:bCs/>
                <w:kern w:val="32"/>
                <w:lang w:val="ru-RU"/>
              </w:rPr>
              <w:t>,8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028FD">
              <w:rPr>
                <w:rFonts w:ascii="Times New Roman" w:hAnsi="Times New Roman"/>
                <w:lang w:val="ru-RU"/>
              </w:rPr>
              <w:t>4093,1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8657,5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5435,6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028FD">
              <w:rPr>
                <w:rFonts w:ascii="Times New Roman" w:hAnsi="Times New Roman"/>
                <w:lang w:val="ru-RU"/>
              </w:rPr>
              <w:t>7835,7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028FD">
              <w:rPr>
                <w:rFonts w:ascii="Times New Roman" w:hAnsi="Times New Roman"/>
                <w:lang w:val="ru-RU"/>
              </w:rPr>
              <w:t>2400,1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5435,6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F39A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4910,0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3028FD" w:rsidP="000F39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6170,2</w:t>
            </w:r>
          </w:p>
        </w:tc>
        <w:tc>
          <w:tcPr>
            <w:tcW w:w="1134" w:type="dxa"/>
          </w:tcPr>
          <w:p w:rsidR="00543F15" w:rsidRPr="00466099" w:rsidRDefault="003028F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47539,8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79278C">
              <w:rPr>
                <w:rFonts w:ascii="Times New Roman" w:hAnsi="Times New Roman"/>
                <w:bCs/>
                <w:kern w:val="32"/>
                <w:lang w:val="ru-RU"/>
              </w:rPr>
              <w:t>860,6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79278C">
              <w:rPr>
                <w:rFonts w:ascii="Times New Roman" w:hAnsi="Times New Roman"/>
                <w:bCs/>
                <w:kern w:val="32"/>
                <w:lang w:val="ru-RU"/>
              </w:rPr>
              <w:t>223,9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028FD">
              <w:rPr>
                <w:rFonts w:ascii="Times New Roman" w:hAnsi="Times New Roman"/>
                <w:bCs/>
                <w:kern w:val="32"/>
                <w:lang w:val="ru-RU"/>
              </w:rPr>
              <w:t>850,4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3028FD" w:rsidRDefault="003028FD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028FD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5126,8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028FD">
              <w:rPr>
                <w:rFonts w:ascii="Times New Roman" w:hAnsi="Times New Roman"/>
                <w:bCs/>
                <w:kern w:val="32"/>
                <w:lang w:val="ru-RU"/>
              </w:rPr>
              <w:t>959,2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5235,6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5959,2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5235,6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8824,7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4759,7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B2CDA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79278C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79278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3028FD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3028F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1B06FF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1B06FF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1B06FF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E05C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7440</w:t>
            </w:r>
            <w:r w:rsidR="000C7AEA">
              <w:rPr>
                <w:rFonts w:ascii="Times New Roman" w:hAnsi="Times New Roman"/>
                <w:b/>
                <w:bCs/>
                <w:kern w:val="32"/>
                <w:lang w:val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9278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6275</w:t>
            </w:r>
            <w:r w:rsidR="000C7AEA">
              <w:rPr>
                <w:rFonts w:ascii="Times New Roman" w:hAnsi="Times New Roman"/>
                <w:b/>
                <w:bCs/>
                <w:kern w:val="32"/>
                <w:lang w:val="ru-RU"/>
              </w:rPr>
              <w:t>,4</w:t>
            </w:r>
          </w:p>
        </w:tc>
        <w:tc>
          <w:tcPr>
            <w:tcW w:w="1134" w:type="dxa"/>
          </w:tcPr>
          <w:p w:rsidR="00543F15" w:rsidRPr="00466099" w:rsidRDefault="00E92781" w:rsidP="00E927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1165,</w:t>
            </w:r>
            <w:r w:rsidR="00543F15"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C7AEA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C7AEA" w:rsidRPr="002C12FD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AEA" w:rsidRPr="00466099" w:rsidRDefault="00E92781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2272,8</w:t>
            </w:r>
            <w:r w:rsidR="000C7AEA">
              <w:rPr>
                <w:rFonts w:ascii="Times New Roman" w:hAnsi="Times New Roman"/>
                <w:bCs/>
                <w:kern w:val="32"/>
                <w:lang w:val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C7AEA" w:rsidRDefault="000C7AEA" w:rsidP="000C7AEA">
            <w:pPr>
              <w:jc w:val="center"/>
            </w:pPr>
            <w:r w:rsidRPr="004F249A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</w:tcPr>
          <w:p w:rsidR="000C7AEA" w:rsidRPr="00466099" w:rsidRDefault="00E92781" w:rsidP="008F3D00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1165</w:t>
            </w:r>
            <w:r w:rsidR="000C7AEA" w:rsidRPr="00466099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992" w:type="dxa"/>
          </w:tcPr>
          <w:p w:rsidR="000C7AEA" w:rsidRDefault="000C7AEA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C7AEA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C7AEA" w:rsidRPr="002C12FD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AEA" w:rsidRDefault="000C7AEA" w:rsidP="000C7AEA">
            <w:pPr>
              <w:jc w:val="center"/>
            </w:pPr>
            <w:r w:rsidRPr="00B11F51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C7AEA" w:rsidRDefault="000C7AEA" w:rsidP="000C7AEA">
            <w:pPr>
              <w:jc w:val="center"/>
            </w:pPr>
            <w:r w:rsidRPr="004F249A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</w:tcPr>
          <w:p w:rsidR="000C7AEA" w:rsidRPr="00466099" w:rsidRDefault="000C7AEA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C7AEA" w:rsidRDefault="000C7AEA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C7AEA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C7AEA" w:rsidRPr="002C12FD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AEA" w:rsidRDefault="000C7AEA" w:rsidP="000C7AEA">
            <w:pPr>
              <w:jc w:val="center"/>
            </w:pPr>
            <w:r w:rsidRPr="00B11F51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C7AEA" w:rsidRDefault="000C7AEA" w:rsidP="000C7AEA">
            <w:pPr>
              <w:jc w:val="center"/>
            </w:pPr>
            <w:r w:rsidRPr="004F249A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</w:tcPr>
          <w:p w:rsidR="000C7AEA" w:rsidRPr="00466099" w:rsidRDefault="000C7AEA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C7AEA" w:rsidRDefault="000C7AEA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проведения мониторинга угроз развитию агропромышленного комплекса и обеспечению продовольственной безопасности, выработки </w:t>
      </w: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0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1E05C8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1E05C8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1E05C8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1E05C8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E05450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50" w:rsidRP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0" w:rsidRPr="00A22C24" w:rsidRDefault="00E649E2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50" w:rsidRPr="00E649E2" w:rsidRDefault="00E649E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143739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</w:tr>
      <w:tr w:rsidR="00897967" w:rsidRPr="001E05C8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1E05C8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1E05C8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1E05C8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1E05C8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1E05C8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1E05C8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1E05C8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1E05C8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32,2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</w:t>
            </w:r>
            <w:r w:rsidR="005D419A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</w:t>
            </w:r>
            <w:r w:rsidR="0089796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10,5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60577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1E05C8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Целевые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показатели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программы</w:t>
            </w:r>
            <w:proofErr w:type="spellEnd"/>
          </w:p>
        </w:tc>
      </w:tr>
      <w:tr w:rsidR="005D1ABD" w:rsidRPr="001E05C8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1E05C8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1E05C8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FD1252" w:rsidRPr="001E05C8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2.1.1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 w:val="restart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D125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2.1.2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1E05C8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2.1.3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 xml:space="preserve">По данным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Федеральной службы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lastRenderedPageBreak/>
              <w:t>государственной статистики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>- статистический бюллетень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lang w:val="ru-RU"/>
              </w:rPr>
              <w:t>ф</w:t>
            </w:r>
            <w:proofErr w:type="spellEnd"/>
            <w:r>
              <w:rPr>
                <w:rFonts w:ascii="Times New Roman" w:eastAsia="Calibri" w:hAnsi="Times New Roman" w:cs="Arial"/>
                <w:lang w:val="ru-RU"/>
              </w:rPr>
              <w:t xml:space="preserve"> 29сх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1E05C8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2.1.4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1E05C8" w:rsidTr="006421EA">
        <w:tc>
          <w:tcPr>
            <w:tcW w:w="674" w:type="dxa"/>
          </w:tcPr>
          <w:p w:rsidR="009C525A" w:rsidRDefault="009C525A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1E05C8" w:rsidTr="004D3F1E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ветеринарно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=Оф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/О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п, 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100,где:  </w:t>
            </w: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Оф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1E05C8" w:rsidTr="006421EA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394D1C" w:rsidRPr="001E05C8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5.1.1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зерновых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 xml:space="preserve">По данным Федеральной службы государственной статистики - статистический бюллетень </w:t>
            </w:r>
            <w:proofErr w:type="spellStart"/>
            <w:r>
              <w:rPr>
                <w:rFonts w:ascii="Times New Roman" w:eastAsia="Calibri" w:hAnsi="Times New Roman" w:cs="Arial"/>
                <w:lang w:val="ru-RU"/>
              </w:rPr>
              <w:t>ф</w:t>
            </w:r>
            <w:proofErr w:type="spellEnd"/>
            <w:r>
              <w:rPr>
                <w:rFonts w:ascii="Times New Roman" w:eastAsia="Calibri" w:hAnsi="Times New Roman" w:cs="Arial"/>
                <w:lang w:val="ru-RU"/>
              </w:rPr>
              <w:t xml:space="preserve"> 29сх</w:t>
            </w: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5.1.2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5.1.3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5.1.4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5.1.5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5.1.6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1E05C8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5.1.7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5.1.8</w:t>
            </w:r>
          </w:p>
        </w:tc>
        <w:tc>
          <w:tcPr>
            <w:tcW w:w="3536" w:type="dxa"/>
          </w:tcPr>
          <w:p w:rsidR="00394D1C" w:rsidRPr="00394D1C" w:rsidRDefault="00394D1C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м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  <w:proofErr w:type="spellEnd"/>
          </w:p>
        </w:tc>
        <w:tc>
          <w:tcPr>
            <w:tcW w:w="1202" w:type="dxa"/>
          </w:tcPr>
          <w:p w:rsidR="00394D1C" w:rsidRDefault="00394D1C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AA649D">
              <w:rPr>
                <w:rFonts w:ascii="Times New Roman" w:hAnsi="Times New Roman"/>
                <w:lang w:val="ru-RU"/>
              </w:rPr>
              <w:t>4910,0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AA649D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6170,2</w:t>
            </w:r>
          </w:p>
        </w:tc>
        <w:tc>
          <w:tcPr>
            <w:tcW w:w="1417" w:type="dxa"/>
            <w:vAlign w:val="center"/>
          </w:tcPr>
          <w:p w:rsidR="0081172B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A649D">
              <w:rPr>
                <w:rFonts w:ascii="Times New Roman" w:hAnsi="Times New Roman"/>
                <w:lang w:val="ru-RU"/>
              </w:rPr>
              <w:t>7539,8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AD7D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 w:rsidR="00D74AA9"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81172B" w:rsidRPr="00026177" w:rsidRDefault="00901DF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AA649D">
              <w:rPr>
                <w:rFonts w:ascii="Times New Roman" w:hAnsi="Times New Roman"/>
                <w:lang w:val="ru-RU"/>
              </w:rPr>
              <w:t>850,4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D74AA9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1E05C8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5959,2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1E05C8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5959,2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AC73FA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A649D">
              <w:rPr>
                <w:rFonts w:ascii="Times New Roman" w:hAnsi="Times New Roman"/>
                <w:lang w:val="ru-RU"/>
              </w:rPr>
              <w:t>6040,8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AA649D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46040,8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74AA9" w:rsidRPr="00AC73FA" w:rsidRDefault="00AC73F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C73FA" w:rsidRDefault="00E34F40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74AA9" w:rsidRPr="00AC73FA" w:rsidRDefault="00AA649D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A649D" w:rsidRDefault="00AA649D" w:rsidP="00D74A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AD7DE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AA649D" w:rsidRPr="00AC73FA" w:rsidRDefault="00AA649D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AD7DE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AA649D" w:rsidRPr="00AC73FA" w:rsidRDefault="00AA649D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1E05C8" w:rsidTr="008F3D00">
        <w:tc>
          <w:tcPr>
            <w:tcW w:w="534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Осуществление отдельных п</w:t>
            </w:r>
            <w:r w:rsidR="009A06B8">
              <w:rPr>
                <w:rFonts w:ascii="Times New Roman" w:hAnsi="Times New Roman"/>
                <w:lang w:val="ru-RU"/>
              </w:rPr>
              <w:t>олномочий по поддержке сельско</w:t>
            </w:r>
            <w:r w:rsidRPr="00CA4560">
              <w:rPr>
                <w:rFonts w:ascii="Times New Roman" w:hAnsi="Times New Roman"/>
                <w:lang w:val="ru-RU"/>
              </w:rPr>
              <w:t>хозяйственного производства в Краснодарском крае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1DF4" w:rsidRPr="00026177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026177" w:rsidRDefault="00AA649D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6170</w:t>
            </w:r>
            <w:r w:rsidR="001B06FF">
              <w:rPr>
                <w:rFonts w:ascii="Times New Roman" w:hAnsi="Times New Roman"/>
                <w:lang w:val="ru-RU"/>
              </w:rPr>
              <w:t>,2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FE0E52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F7492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AA649D" w:rsidRDefault="00AA649D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FE0E52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CA4560" w:rsidRDefault="00AA649D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F7492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C5308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FE0E52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CA4560" w:rsidRDefault="00AA649D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F7492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C5308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FE0E52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CA4560" w:rsidRDefault="00AA649D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A649D">
              <w:rPr>
                <w:rFonts w:ascii="Times New Roman" w:hAnsi="Times New Roman"/>
                <w:lang w:val="ru-RU"/>
              </w:rPr>
              <w:t>8824,7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0BD0" w:rsidRPr="00FE0E52" w:rsidRDefault="004A0BD0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A649D">
              <w:rPr>
                <w:rFonts w:ascii="Times New Roman" w:hAnsi="Times New Roman"/>
                <w:lang w:val="ru-RU"/>
              </w:rPr>
              <w:t>4759,7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AA649D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AA649D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1E05C8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1E05C8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сть в области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457161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84083,7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457161">
              <w:rPr>
                <w:rFonts w:ascii="Times New Roman" w:hAnsi="Times New Roman"/>
                <w:lang w:val="ru-RU"/>
              </w:rPr>
              <w:t>4083,7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457161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57161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7C3C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дации очагов африканской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итории   муниципального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7C3C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распространения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bookmarkStart w:id="37" w:name="_GoBack"/>
            <w:bookmarkEnd w:id="37"/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1E05C8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417" w:type="dxa"/>
            <w:vAlign w:val="center"/>
          </w:tcPr>
          <w:p w:rsidR="0081172B" w:rsidRPr="00CA4560" w:rsidRDefault="000210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="0081172B"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E9278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2272</w:t>
            </w:r>
            <w:r w:rsidR="00457161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C71E84" w:rsidRPr="00CA4560" w:rsidRDefault="000210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="00C71E84"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1E05C8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34F15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7161" w:rsidRPr="00FE0E52" w:rsidRDefault="00457161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7811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1E05C8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34F15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7161" w:rsidRPr="00FE0E52" w:rsidRDefault="00457161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7811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417" w:type="dxa"/>
            <w:vAlign w:val="center"/>
          </w:tcPr>
          <w:p w:rsidR="0081172B" w:rsidRPr="00CA4560" w:rsidRDefault="000210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="0081172B"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1E05C8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457161" w:rsidRDefault="00021044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2272</w:t>
            </w:r>
            <w:r w:rsidR="00457161" w:rsidRPr="00122E0E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457161" w:rsidRDefault="00021044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1165</w:t>
            </w:r>
            <w:r w:rsidR="00457161" w:rsidRPr="0022486A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1E05C8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122E0E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1E05C8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122E0E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9A06B8">
              <w:rPr>
                <w:rFonts w:ascii="Times New Roman" w:hAnsi="Times New Roman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1044">
              <w:rPr>
                <w:rFonts w:ascii="Times New Roman" w:hAnsi="Times New Roman"/>
                <w:lang w:val="ru-RU"/>
              </w:rPr>
              <w:t>51268</w:t>
            </w:r>
            <w:r w:rsidR="00457161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57161">
              <w:rPr>
                <w:rFonts w:ascii="Times New Roman" w:hAnsi="Times New Roman"/>
                <w:lang w:val="ru-RU"/>
              </w:rPr>
              <w:t>7205,3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021044">
              <w:rPr>
                <w:rFonts w:ascii="Times New Roman" w:hAnsi="Times New Roman"/>
                <w:lang w:val="ru-RU"/>
              </w:rPr>
              <w:t>8798</w:t>
            </w:r>
            <w:r w:rsidR="00457161">
              <w:rPr>
                <w:rFonts w:ascii="Times New Roman" w:hAnsi="Times New Roman"/>
                <w:lang w:val="ru-RU"/>
              </w:rPr>
              <w:t>,1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1044">
              <w:rPr>
                <w:rFonts w:ascii="Times New Roman" w:hAnsi="Times New Roman"/>
                <w:lang w:val="ru-RU"/>
              </w:rPr>
              <w:t>7178</w:t>
            </w:r>
            <w:r w:rsidR="00457161">
              <w:rPr>
                <w:rFonts w:ascii="Times New Roman" w:hAnsi="Times New Roman"/>
                <w:lang w:val="ru-RU"/>
              </w:rPr>
              <w:t>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10886,5</w:t>
            </w:r>
          </w:p>
        </w:tc>
        <w:tc>
          <w:tcPr>
            <w:tcW w:w="1417" w:type="dxa"/>
            <w:vAlign w:val="center"/>
          </w:tcPr>
          <w:p w:rsidR="00C71E84" w:rsidRPr="00FE0E52" w:rsidRDefault="000210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6291</w:t>
            </w:r>
            <w:r w:rsidR="00457161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3893,1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8657,5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7635,7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2400,1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4742"/>
      </w:tblGrid>
      <w:tr w:rsidR="00F74926" w:rsidRPr="001E05C8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F74926" w:rsidRPr="001E05C8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/>
      </w:tblPr>
      <w:tblGrid>
        <w:gridCol w:w="656"/>
        <w:gridCol w:w="4480"/>
        <w:gridCol w:w="1202"/>
        <w:gridCol w:w="6978"/>
        <w:gridCol w:w="1470"/>
      </w:tblGrid>
      <w:tr w:rsidR="004E2F88" w:rsidRPr="001E05C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1E05C8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платных услуг МБУ ИКЦ МСП по </w:t>
            </w:r>
            <w:r>
              <w:rPr>
                <w:rFonts w:ascii="Times New Roman" w:hAnsi="Times New Roman"/>
                <w:lang w:val="ru-RU"/>
              </w:rPr>
              <w:lastRenderedPageBreak/>
              <w:t>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</w:t>
            </w:r>
            <w:r w:rsidRPr="005D79C6">
              <w:rPr>
                <w:rFonts w:ascii="Times New Roman" w:hAnsi="Times New Roman"/>
                <w:lang w:val="ru-RU"/>
              </w:rPr>
              <w:lastRenderedPageBreak/>
              <w:t xml:space="preserve">муниципального образования Кавказский район по оперативной информации– </w:t>
            </w:r>
            <w:proofErr w:type="gramStart"/>
            <w:r w:rsidRPr="005D79C6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5D79C6">
              <w:rPr>
                <w:rFonts w:ascii="Times New Roman" w:hAnsi="Times New Roman"/>
                <w:lang w:val="ru-RU"/>
              </w:rPr>
              <w:t>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1E05C8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>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1E05C8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>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1E05C8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семинар- совещаний, участие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>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1E05C8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 w:rsidR="00CC1EF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="00CC1EF0"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>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1E05C8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1E05C8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1E05C8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1E05C8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1E05C8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E05C8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E05C8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E05C8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E05C8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E05C8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E05C8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1E05C8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1E05C8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1E05C8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1E05C8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1E05C8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1E05C8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1E05C8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1E05C8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1E05C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1E05C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1E05C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1E05C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1E05C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1E05C8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1E05C8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1E05C8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1E05C8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1E05C8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1E05C8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5903"/>
    <w:rsid w:val="000000B0"/>
    <w:rsid w:val="00007326"/>
    <w:rsid w:val="00010F0F"/>
    <w:rsid w:val="00011CF9"/>
    <w:rsid w:val="00014750"/>
    <w:rsid w:val="00021044"/>
    <w:rsid w:val="0002215B"/>
    <w:rsid w:val="00027626"/>
    <w:rsid w:val="00027F10"/>
    <w:rsid w:val="000316DF"/>
    <w:rsid w:val="0004621C"/>
    <w:rsid w:val="00047DD0"/>
    <w:rsid w:val="00052245"/>
    <w:rsid w:val="00054AE3"/>
    <w:rsid w:val="000717C9"/>
    <w:rsid w:val="00072561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C7AEA"/>
    <w:rsid w:val="000D053F"/>
    <w:rsid w:val="000D5BE9"/>
    <w:rsid w:val="000F39A4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6A74"/>
    <w:rsid w:val="00177122"/>
    <w:rsid w:val="001800CA"/>
    <w:rsid w:val="00185BD5"/>
    <w:rsid w:val="00192B1E"/>
    <w:rsid w:val="001A6640"/>
    <w:rsid w:val="001A6CE5"/>
    <w:rsid w:val="001B06FF"/>
    <w:rsid w:val="001C1FEF"/>
    <w:rsid w:val="001D0A05"/>
    <w:rsid w:val="001D3FDB"/>
    <w:rsid w:val="001D42D3"/>
    <w:rsid w:val="001E05C8"/>
    <w:rsid w:val="001E63BD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028FD"/>
    <w:rsid w:val="0031214A"/>
    <w:rsid w:val="00321F6C"/>
    <w:rsid w:val="00340A5A"/>
    <w:rsid w:val="00341DA8"/>
    <w:rsid w:val="00345F71"/>
    <w:rsid w:val="00351E84"/>
    <w:rsid w:val="00361F1E"/>
    <w:rsid w:val="00376F87"/>
    <w:rsid w:val="00385563"/>
    <w:rsid w:val="00394D1C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57161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7EFE"/>
    <w:rsid w:val="00620448"/>
    <w:rsid w:val="00626A1E"/>
    <w:rsid w:val="006308A3"/>
    <w:rsid w:val="00632153"/>
    <w:rsid w:val="006367D8"/>
    <w:rsid w:val="006421EA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B7A1F"/>
    <w:rsid w:val="006C01D8"/>
    <w:rsid w:val="006D0CA8"/>
    <w:rsid w:val="006E1A26"/>
    <w:rsid w:val="006F51C4"/>
    <w:rsid w:val="00707A0F"/>
    <w:rsid w:val="0071008E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6609"/>
    <w:rsid w:val="007B711A"/>
    <w:rsid w:val="007C3C3E"/>
    <w:rsid w:val="007E30DB"/>
    <w:rsid w:val="007E358F"/>
    <w:rsid w:val="007F4027"/>
    <w:rsid w:val="0081172B"/>
    <w:rsid w:val="00814B40"/>
    <w:rsid w:val="00816D6D"/>
    <w:rsid w:val="008179EE"/>
    <w:rsid w:val="00817C8C"/>
    <w:rsid w:val="00821AD4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14D96"/>
    <w:rsid w:val="00916840"/>
    <w:rsid w:val="0091739D"/>
    <w:rsid w:val="00923967"/>
    <w:rsid w:val="00935E99"/>
    <w:rsid w:val="00936147"/>
    <w:rsid w:val="0093770D"/>
    <w:rsid w:val="009556F7"/>
    <w:rsid w:val="00963F35"/>
    <w:rsid w:val="00965402"/>
    <w:rsid w:val="0096709F"/>
    <w:rsid w:val="00971C08"/>
    <w:rsid w:val="009910F7"/>
    <w:rsid w:val="009A06B8"/>
    <w:rsid w:val="009B3E06"/>
    <w:rsid w:val="009C525A"/>
    <w:rsid w:val="009C7456"/>
    <w:rsid w:val="009D40DB"/>
    <w:rsid w:val="009D5145"/>
    <w:rsid w:val="009D553E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649D"/>
    <w:rsid w:val="00AA7650"/>
    <w:rsid w:val="00AB0F0E"/>
    <w:rsid w:val="00AB65D5"/>
    <w:rsid w:val="00AC73FA"/>
    <w:rsid w:val="00AD5F64"/>
    <w:rsid w:val="00AD7DE6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A425A"/>
    <w:rsid w:val="00BB3189"/>
    <w:rsid w:val="00BC74B9"/>
    <w:rsid w:val="00BD018D"/>
    <w:rsid w:val="00BD3918"/>
    <w:rsid w:val="00BE7DDF"/>
    <w:rsid w:val="00BF321F"/>
    <w:rsid w:val="00C12DE7"/>
    <w:rsid w:val="00C175C0"/>
    <w:rsid w:val="00C27336"/>
    <w:rsid w:val="00C276BC"/>
    <w:rsid w:val="00C31F2D"/>
    <w:rsid w:val="00C62337"/>
    <w:rsid w:val="00C63D54"/>
    <w:rsid w:val="00C71E84"/>
    <w:rsid w:val="00C720DA"/>
    <w:rsid w:val="00C73030"/>
    <w:rsid w:val="00C75D7B"/>
    <w:rsid w:val="00C82CE9"/>
    <w:rsid w:val="00C866C2"/>
    <w:rsid w:val="00C90E4B"/>
    <w:rsid w:val="00C92F0E"/>
    <w:rsid w:val="00CA2318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06542"/>
    <w:rsid w:val="00D15377"/>
    <w:rsid w:val="00D2664E"/>
    <w:rsid w:val="00D30A7B"/>
    <w:rsid w:val="00D37C61"/>
    <w:rsid w:val="00D44824"/>
    <w:rsid w:val="00D4608D"/>
    <w:rsid w:val="00D56E13"/>
    <w:rsid w:val="00D71775"/>
    <w:rsid w:val="00D74AA9"/>
    <w:rsid w:val="00D77E3E"/>
    <w:rsid w:val="00D90374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2781"/>
    <w:rsid w:val="00E95C49"/>
    <w:rsid w:val="00EB2CDA"/>
    <w:rsid w:val="00EB3099"/>
    <w:rsid w:val="00EB3EB9"/>
    <w:rsid w:val="00EB4158"/>
    <w:rsid w:val="00ED48A9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B6DAC"/>
    <w:rsid w:val="00FD1252"/>
    <w:rsid w:val="00FD207A"/>
    <w:rsid w:val="00FD4984"/>
    <w:rsid w:val="00FD4E93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yperlink" Target="garantF1://23840884.0" TargetMode="External"/><Relationship Id="rId18" Type="http://schemas.openxmlformats.org/officeDocument/2006/relationships/hyperlink" Target="garantF1://36891691.0" TargetMode="External"/><Relationship Id="rId26" Type="http://schemas.openxmlformats.org/officeDocument/2006/relationships/image" Target="media/image7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7" Type="http://schemas.openxmlformats.org/officeDocument/2006/relationships/hyperlink" Target="garantF1://10008787.0" TargetMode="External"/><Relationship Id="rId12" Type="http://schemas.openxmlformats.org/officeDocument/2006/relationships/hyperlink" Target="garantF1://23840725.0" TargetMode="External"/><Relationship Id="rId17" Type="http://schemas.openxmlformats.org/officeDocument/2006/relationships/hyperlink" Target="garantF1://36891601.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hyperlink" Target="garantF1://702731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4984.0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23840721.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hyperlink" Target="garantF1://23841354.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02400.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hyperlink" Target="garantF1://2062858.0" TargetMode="External"/><Relationship Id="rId10" Type="http://schemas.openxmlformats.org/officeDocument/2006/relationships/hyperlink" Target="garantF1://23801142.0" TargetMode="External"/><Relationship Id="rId19" Type="http://schemas.openxmlformats.org/officeDocument/2006/relationships/hyperlink" Target="garantF1://36892200.0" TargetMode="External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garantF1://23801120.0" TargetMode="External"/><Relationship Id="rId14" Type="http://schemas.openxmlformats.org/officeDocument/2006/relationships/hyperlink" Target="garantF1://23841690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hyperlink" Target="garantF1://120513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436B-553D-4514-8D6A-7540441C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47</Pages>
  <Words>12691</Words>
  <Characters>72341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3</cp:revision>
  <cp:lastPrinted>2021-09-08T08:50:00Z</cp:lastPrinted>
  <dcterms:created xsi:type="dcterms:W3CDTF">2022-09-28T05:16:00Z</dcterms:created>
  <dcterms:modified xsi:type="dcterms:W3CDTF">2022-09-28T05:47:00Z</dcterms:modified>
</cp:coreProperties>
</file>