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B60E2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12.03.2015 г. № 622, 17.04.2015 г. № 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 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8C2498">
              <w:rPr>
                <w:rFonts w:ascii="Times New Roman" w:hAnsi="Times New Roman" w:cs="Times New Roman"/>
                <w:sz w:val="28"/>
                <w:szCs w:val="28"/>
              </w:rPr>
              <w:t>66364</w:t>
            </w:r>
            <w:r w:rsidR="004B60E2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AA091B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440947">
              <w:rPr>
                <w:rFonts w:ascii="Times New Roman" w:hAnsi="Times New Roman" w:cs="Times New Roman"/>
                <w:sz w:val="28"/>
                <w:szCs w:val="28"/>
              </w:rPr>
              <w:t>549145,5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8C2498">
              <w:rPr>
                <w:rFonts w:ascii="Times New Roman" w:hAnsi="Times New Roman" w:cs="Times New Roman"/>
                <w:sz w:val="28"/>
                <w:szCs w:val="28"/>
              </w:rPr>
              <w:t>113301</w:t>
            </w:r>
            <w:r w:rsidR="004B60E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6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A7717E">
        <w:trPr>
          <w:gridAfter w:val="1"/>
          <w:wAfter w:w="28" w:type="dxa"/>
          <w:trHeight w:val="61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CA64D7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CA64D7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CA64D7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2A2E05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CA64D7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17E" w:rsidRPr="00ED41E6" w:rsidTr="00A7717E">
        <w:trPr>
          <w:trHeight w:val="117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A7717E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бюджетирования в муниципальном образовании Кавказский район»</w:t>
            </w:r>
          </w:p>
        </w:tc>
      </w:tr>
      <w:tr w:rsidR="002A2323" w:rsidRPr="00EE1139" w:rsidTr="00A7717E">
        <w:trPr>
          <w:trHeight w:val="3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>недрение и развитие инструментов инициативного бюджетирования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</w:t>
            </w:r>
            <w:r w:rsidRPr="003C6DC2">
              <w:rPr>
                <w:rFonts w:ascii="Times New Roman" w:hAnsi="Times New Roman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B10FEE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  <w:trHeight w:val="30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77C8E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B3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B60E2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4B60E2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  <w:r w:rsidR="00B35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4B60E2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  <w:r w:rsidR="00B35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12824</w:t>
            </w:r>
            <w:r w:rsidR="0044094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6652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1682,4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55" w:type="dxa"/>
        <w:tblInd w:w="93" w:type="dxa"/>
        <w:tblLook w:val="04A0"/>
      </w:tblPr>
      <w:tblGrid>
        <w:gridCol w:w="222"/>
        <w:gridCol w:w="6820"/>
        <w:gridCol w:w="1619"/>
        <w:gridCol w:w="1614"/>
        <w:gridCol w:w="4380"/>
      </w:tblGrid>
      <w:tr w:rsidR="00715FAB" w:rsidRPr="00715FAB" w:rsidTr="00F82E60">
        <w:trPr>
          <w:trHeight w:val="8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005B76">
        <w:trPr>
          <w:trHeight w:val="488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4B60E2" w:rsidTr="00005B76">
        <w:trPr>
          <w:trHeight w:val="1200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6040" w:type="dxa"/>
              <w:tblLook w:val="04A0"/>
            </w:tblPr>
            <w:tblGrid>
              <w:gridCol w:w="631"/>
              <w:gridCol w:w="6696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C6270B" w:rsidRPr="004B60E2" w:rsidTr="00A27C2D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C6270B" w:rsidRPr="004B60E2" w:rsidTr="00A27C2D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557 974,9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503 125,4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54 849,5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61 47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33 32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188,6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2 223,7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761,8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№ 2 «Осуществление отдельных государственных полномочий по ведению учета граждан отдельных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824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6 652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</w:t>
                  </w:r>
                  <w:r w:rsidR="00C5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64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549 145,5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113 30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C5463B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C546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C546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1 003,5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6 459,4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19 757,8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13 071,3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6 490,1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72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C6270B" w:rsidRPr="004B60E2" w:rsidTr="00A27C2D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 объекта: «Муниципальное дошкольное учреждение на 250 мест в ст.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Кавказская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6270B" w:rsidRPr="004B60E2" w:rsidTr="00A27C2D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 дошкольное образовательное  учреждение на 170 мест», расположенное по адресу Кавказский район, ст. Казанская, пер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окзальный,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 объекта «Муниципальное дошкольное учреждение на 250 мест в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МБОУ  СОШ № 7  г. Кропоткин, по адресу: г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ропоткин, 1- </w:t>
                  </w:r>
                  <w:proofErr w:type="spell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микрорайон, 11 с увеличением вместимости  и выделением  блока начального образования на 400 мест (II  этап.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Средняя общеобразовательная школа в г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ропоткине Кавказского района", расположенного по адресу: Кавказский район, г. Кропоткин, ул.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Красноармейская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795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Здание врача общей практики в пос.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Степном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4B60E2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постановления администрации муниципального образования Кавказский район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17.11.2014 г. № 1779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(в редакции постановления администрации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Кавказский район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                2019 №</w:t>
      </w:r>
      <w:proofErr w:type="gramStart"/>
      <w:r w:rsidRPr="00715FA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265"/>
        <w:gridCol w:w="62"/>
        <w:gridCol w:w="850"/>
        <w:gridCol w:w="1559"/>
        <w:gridCol w:w="3686"/>
        <w:gridCol w:w="2835"/>
        <w:gridCol w:w="1559"/>
      </w:tblGrid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«</w:t>
            </w:r>
            <w:r w:rsidRPr="004F01AE">
              <w:rPr>
                <w:rFonts w:ascii="Times New Roman" w:eastAsia="Times New Roman" w:hAnsi="Times New Roman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0168" w:rsidRPr="004F01AE" w:rsidTr="004B60E2">
        <w:trPr>
          <w:trHeight w:val="981"/>
        </w:trPr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отремонтированных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lastRenderedPageBreak/>
              <w:t xml:space="preserve">Доля = </w:t>
            </w:r>
            <w:proofErr w:type="gramStart"/>
            <w:r w:rsidRPr="004F01AE">
              <w:rPr>
                <w:lang w:val="en-US"/>
              </w:rPr>
              <w:t>N</w:t>
            </w:r>
            <w:proofErr w:type="spellStart"/>
            <w:proofErr w:type="gramEnd"/>
            <w:r w:rsidRPr="004F01AE">
              <w:t>отр</w:t>
            </w:r>
            <w:proofErr w:type="spellEnd"/>
            <w:r w:rsidRPr="004F01AE">
              <w:t>/</w:t>
            </w:r>
            <w:r w:rsidRPr="004F01AE">
              <w:rPr>
                <w:lang w:val="en-US"/>
              </w:rPr>
              <w:t>N</w:t>
            </w:r>
            <w:r w:rsidRPr="004F01AE">
              <w:t>где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rPr>
                <w:lang w:val="en-US"/>
              </w:rPr>
              <w:lastRenderedPageBreak/>
              <w:t>N</w:t>
            </w:r>
            <w:proofErr w:type="spellStart"/>
            <w:r w:rsidRPr="004F01AE">
              <w:t>отр</w:t>
            </w:r>
            <w:proofErr w:type="spellEnd"/>
            <w:r w:rsidRPr="004F01AE">
              <w:t xml:space="preserve"> – протяженность отремонтированных дорог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highlight w:val="red"/>
              </w:rPr>
            </w:pPr>
            <w:r w:rsidRPr="004F01AE">
              <w:rPr>
                <w:lang w:val="en-US"/>
              </w:rPr>
              <w:t>N</w:t>
            </w:r>
            <w:r w:rsidRPr="004F01AE">
              <w:t>- общая протяженность дорог,</w:t>
            </w:r>
            <w:r w:rsidRPr="004F01AE">
              <w:rPr>
                <w:color w:val="000000" w:themeColor="text1"/>
              </w:rPr>
              <w:t xml:space="preserve">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Дислокация уличной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ЖКХ,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молодых семей, которые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объектов социальной инфраструктуры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дополнительных мест в общеобразовательных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учреждениях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строительства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построенных зданий врача общей практики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построенных зданий врача общей практики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автобусов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суммарной площади ликвидированных ям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районных соревнований ЮИД «Безопасное колесо»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</w:rPr>
              <w:t xml:space="preserve"> количеству участников районных соревнований ЮИД «Безопасное колесо»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стел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CA64D7" w:rsidP="004B60E2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sub_1700" w:history="1">
              <w:r w:rsidR="00530168" w:rsidRPr="004F01A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Целевые показатели подпрограмм</w:t>
              </w:r>
            </w:hyperlink>
            <w:r w:rsidR="00530168" w:rsidRPr="004F01AE">
              <w:rPr>
                <w:rFonts w:ascii="Times New Roman" w:hAnsi="Times New Roman"/>
                <w:sz w:val="24"/>
                <w:szCs w:val="24"/>
              </w:rPr>
              <w:t>ы</w:t>
            </w:r>
            <w:r w:rsidR="00530168" w:rsidRPr="004F01A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530168"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жильем молодых семей»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семей, получивших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социальной выплаты на приобретение (строительство) жилого помещения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F01AE">
              <w:rPr>
                <w:rFonts w:ascii="Times New Roman" w:hAnsi="Times New Roman" w:cs="Times New Roman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проведены работы по экологическому оздоровлению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контейнерных площадок на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сельских поселений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обустроенных контейнерных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площадок на территории сельских поселений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ЖКХ, ТС и ДХ МО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съемок=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*100%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.- количество выполненных заявок/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*100, где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количество внесенных зон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оличеству</w:t>
            </w: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подготовленных 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проектов местных нормативов градостроительного проектирования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ab/>
              <w:t xml:space="preserve">Целевые показатели подпрограммы «Развитие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граждан в возрасте от 18 лет, проживающих в муниципальном образовании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число граждан принявших участие в собраниях или иных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организованных формах осуществления местного самоуправления по отбору инициативных проектов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Организационный отдел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 основного мероприятия № 2 "Осуществление отдельных государственных полномочий по ведению учета граждан отдельных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категорий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качестве нуждающихся в жилых помещениях"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E604A">
              <w:rPr>
                <w:rFonts w:ascii="Times New Roman" w:hAnsi="Times New Roman" w:cs="Times New Roman"/>
              </w:rPr>
              <w:lastRenderedPageBreak/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/>
                <w:sz w:val="28"/>
                <w:szCs w:val="28"/>
              </w:rPr>
              <w:t>увеличение зданий офисов врачей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B94" w:rsidRPr="00213B94" w:rsidRDefault="00213B94" w:rsidP="00213B94"/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Default="00ED5F48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Pr="00213B94" w:rsidRDefault="00213B94" w:rsidP="00213B94">
            <w:pPr>
              <w:spacing w:line="240" w:lineRule="auto"/>
            </w:pPr>
            <w:r w:rsidRPr="008875F3">
              <w:rPr>
                <w:rFonts w:ascii="Times New Roman" w:hAnsi="Times New Roman"/>
                <w:sz w:val="28"/>
                <w:szCs w:val="28"/>
              </w:rPr>
              <w:t>количество построенных зданий врача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213B94">
              <w:rPr>
                <w:rFonts w:ascii="Times New Roman" w:hAnsi="Times New Roman"/>
                <w:sz w:val="28"/>
                <w:szCs w:val="28"/>
              </w:rPr>
              <w:t>557</w:t>
            </w:r>
            <w:r w:rsidR="003D2061">
              <w:rPr>
                <w:rFonts w:ascii="Times New Roman" w:hAnsi="Times New Roman"/>
                <w:sz w:val="28"/>
                <w:szCs w:val="28"/>
              </w:rPr>
              <w:t>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213B94">
              <w:rPr>
                <w:rFonts w:ascii="Times New Roman" w:hAnsi="Times New Roman"/>
                <w:sz w:val="28"/>
                <w:szCs w:val="28"/>
              </w:rPr>
              <w:t>66</w:t>
            </w:r>
            <w:r w:rsidR="003D2061">
              <w:rPr>
                <w:rFonts w:ascii="Times New Roman" w:hAnsi="Times New Roman"/>
                <w:sz w:val="28"/>
                <w:szCs w:val="28"/>
              </w:rPr>
              <w:t>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0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  <w:r w:rsidR="003D2061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00398B" w:rsidRPr="00ED41E6" w:rsidRDefault="0000398B" w:rsidP="00EC56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00398B" w:rsidRPr="00ED41E6" w:rsidRDefault="0000398B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030" w:type="dxa"/>
            <w:gridSpan w:val="18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Мероприятие № 3 Строительство зданий врача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подпрограммы: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Количество построенных зданий врача общей практики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шт</w:t>
            </w:r>
          </w:p>
        </w:tc>
        <w:tc>
          <w:tcPr>
            <w:tcW w:w="708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3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6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37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80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250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отношений,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  <w:bookmarkStart w:id="32" w:name="_GoBack"/>
            <w:bookmarkEnd w:id="3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0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МБОУ  СОШ № 7  г. Кропоткин, по адресу: г.</w:t>
            </w:r>
            <w:r w:rsidR="007D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Кропоткин, 1- й микрорайон, 11 с увеличением вместимости  и выделением  блока начального образования на 400 мест (II  этап.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микрорайон, 11 с увеличением вместимости 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400 мест общеобразо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Кропоткин, ул. Красноармейская, 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экспертиза,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C9E" w:rsidRPr="001F0185" w:rsidTr="00EC56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07C9E" w:rsidRPr="001F0185" w:rsidTr="00907C9E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 Строительство зданий врача общей практики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 Строительство объекта: "Здание врача общей практики в пос. </w:t>
            </w:r>
            <w:proofErr w:type="gramStart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Степном</w:t>
            </w:r>
            <w:proofErr w:type="gramEnd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краевой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объем инвестиций на подготовку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41DC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Мощность (прирост мощности) объекта капитального строительства, подлежащая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проектной документации и проведение инженерных изысканий или приобретение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4"/>
        <w:gridCol w:w="3210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2455AE" w:rsidRDefault="000C3EB6" w:rsidP="000C3EB6">
            <w:pPr>
              <w:spacing w:line="240" w:lineRule="auto"/>
              <w:ind w:firstLine="6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Приложение N 11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 xml:space="preserve">к </w:t>
            </w:r>
            <w:hyperlink w:anchor="sub_1700" w:history="1">
              <w:r w:rsidRPr="002455AE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подпрограмме</w:t>
              </w:r>
            </w:hyperlink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"Строительство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объектов социальной инфраструктуры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в муниципальном образовании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Кавказский район" от 17.11.2014 N 1779</w:t>
            </w:r>
          </w:p>
          <w:p w:rsidR="000C3EB6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Информация</w:t>
            </w: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об объекте капитального строительства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Здание врача общей практики в пос.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Степном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Кавказского района»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Срок ввода в эксплуатацию объекта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2024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C3EB6" w:rsidRPr="00220BE7" w:rsidTr="00EC5611"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Период реализации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rPr>
          <w:trHeight w:val="293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объем инвестиций на подготовку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D7683E" w:rsidTr="00EC5611">
        <w:trPr>
          <w:gridAfter w:val="1"/>
          <w:wAfter w:w="564" w:type="dxa"/>
        </w:trPr>
        <w:tc>
          <w:tcPr>
            <w:tcW w:w="1474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D7683E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капитального строительства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администрации муниципального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образования Кавказский район                                                                                                                                                              Е.В. Неупокоева</w:t>
            </w:r>
          </w:p>
        </w:tc>
      </w:tr>
    </w:tbl>
    <w:p w:rsidR="000C3EB6" w:rsidRDefault="000C3EB6" w:rsidP="000C3EB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8C2498">
              <w:rPr>
                <w:rFonts w:ascii="Times New Roman" w:hAnsi="Times New Roman"/>
                <w:sz w:val="28"/>
                <w:szCs w:val="28"/>
              </w:rPr>
              <w:t>6147</w:t>
            </w:r>
            <w:r w:rsidR="003C1CFA">
              <w:rPr>
                <w:rFonts w:ascii="Times New Roman" w:hAnsi="Times New Roman"/>
                <w:sz w:val="28"/>
                <w:szCs w:val="28"/>
              </w:rPr>
              <w:t>6,8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8C2498">
              <w:rPr>
                <w:rFonts w:ascii="Times New Roman" w:hAnsi="Times New Roman"/>
                <w:sz w:val="28"/>
                <w:szCs w:val="28"/>
              </w:rPr>
              <w:t>3332</w:t>
            </w:r>
            <w:r w:rsidR="003C1CFA">
              <w:rPr>
                <w:rFonts w:ascii="Times New Roman" w:hAnsi="Times New Roman"/>
                <w:sz w:val="28"/>
                <w:szCs w:val="28"/>
              </w:rPr>
              <w:t>3,5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A64D7">
            <w:pPr>
              <w:pStyle w:val="1"/>
              <w:rPr>
                <w:b w:val="0"/>
              </w:rPr>
            </w:pPr>
            <w:hyperlink r:id="rId12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185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463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463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5463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5463B" w:rsidP="00C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55 307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7153,9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701F5B" w:rsidP="0070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6147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701F5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701F5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701F5B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701F5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6147</w:t>
            </w:r>
            <w:r w:rsidR="0056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701F5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  <w:r w:rsidR="0056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701F5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  <w:r w:rsidR="0056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701F5B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  <w:r w:rsidR="0056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7188,6</w:t>
            </w: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1203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2223,7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2B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2B0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3761</w:t>
            </w:r>
            <w:r w:rsidR="00563D4E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60" w:type="dxa"/>
        <w:tblInd w:w="93" w:type="dxa"/>
        <w:tblLayout w:type="fixed"/>
        <w:tblLook w:val="04A0"/>
      </w:tblPr>
      <w:tblGrid>
        <w:gridCol w:w="700"/>
        <w:gridCol w:w="2277"/>
        <w:gridCol w:w="919"/>
        <w:gridCol w:w="1384"/>
        <w:gridCol w:w="20"/>
        <w:gridCol w:w="1040"/>
        <w:gridCol w:w="926"/>
        <w:gridCol w:w="334"/>
        <w:gridCol w:w="960"/>
        <w:gridCol w:w="287"/>
        <w:gridCol w:w="673"/>
        <w:gridCol w:w="355"/>
        <w:gridCol w:w="605"/>
        <w:gridCol w:w="499"/>
        <w:gridCol w:w="461"/>
        <w:gridCol w:w="1301"/>
        <w:gridCol w:w="1308"/>
        <w:gridCol w:w="51"/>
        <w:gridCol w:w="1508"/>
        <w:gridCol w:w="452"/>
      </w:tblGrid>
      <w:tr w:rsidR="002B0E73" w:rsidRPr="004B60E2" w:rsidTr="002B0E73">
        <w:trPr>
          <w:gridAfter w:val="1"/>
          <w:wAfter w:w="452" w:type="dxa"/>
          <w:trHeight w:val="348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0E73" w:rsidRPr="004B60E2" w:rsidTr="002B0E73">
        <w:trPr>
          <w:gridAfter w:val="1"/>
          <w:wAfter w:w="452" w:type="dxa"/>
          <w:trHeight w:val="6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5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2B0E73" w:rsidRPr="004B60E2" w:rsidTr="002B0E73">
        <w:trPr>
          <w:gridAfter w:val="1"/>
          <w:wAfter w:w="452" w:type="dxa"/>
          <w:trHeight w:val="9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2B0E73" w:rsidRPr="004B60E2" w:rsidTr="002B0E73">
        <w:trPr>
          <w:gridAfter w:val="1"/>
          <w:wAfter w:w="452" w:type="dxa"/>
          <w:trHeight w:val="94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4B60E2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4B60E2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84"/>
        </w:trPr>
        <w:tc>
          <w:tcPr>
            <w:tcW w:w="156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0E73" w:rsidRPr="004B60E2" w:rsidTr="002B0E73">
        <w:trPr>
          <w:trHeight w:val="360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2B0E73">
        <w:trPr>
          <w:trHeight w:val="360"/>
        </w:trPr>
        <w:tc>
          <w:tcPr>
            <w:tcW w:w="16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С.А. Яковенко</w:t>
            </w: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653" w:type="dxa"/>
        <w:tblInd w:w="93" w:type="dxa"/>
        <w:tblLook w:val="04A0"/>
      </w:tblPr>
      <w:tblGrid>
        <w:gridCol w:w="701"/>
        <w:gridCol w:w="4655"/>
        <w:gridCol w:w="1384"/>
        <w:gridCol w:w="1986"/>
        <w:gridCol w:w="1581"/>
        <w:gridCol w:w="1282"/>
        <w:gridCol w:w="1302"/>
        <w:gridCol w:w="1762"/>
      </w:tblGrid>
      <w:tr w:rsidR="002B0E73" w:rsidRPr="004B60E2" w:rsidTr="004B60E2">
        <w:trPr>
          <w:trHeight w:val="660"/>
        </w:trPr>
        <w:tc>
          <w:tcPr>
            <w:tcW w:w="14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2B0E73" w:rsidRPr="004B60E2" w:rsidTr="004B60E2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4B60E2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2B0E73" w:rsidRPr="004B60E2" w:rsidTr="004B60E2">
        <w:trPr>
          <w:trHeight w:val="49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60"/>
        </w:trPr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60"/>
        </w:trPr>
        <w:tc>
          <w:tcPr>
            <w:tcW w:w="1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малого и среднего предпринимательства                                                   С.А. Яковенко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EF1E92"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EF1E92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EF1E92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E92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EF1E92">
              <w:rPr>
                <w:rFonts w:ascii="Times New Roman" w:eastAsia="Times New Roman" w:hAnsi="Times New Roman"/>
              </w:rPr>
              <w:t xml:space="preserve"> </w:t>
            </w: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8"/>
                <w:lang w:eastAsia="en-US"/>
              </w:rPr>
            </w:pPr>
            <w:r w:rsidRPr="006A272A">
              <w:rPr>
                <w:rFonts w:ascii="Times New Roman" w:hAnsi="Times New Roman" w:cs="Times New Roman"/>
                <w:color w:val="00B05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28" w:type="dxa"/>
              <w:tblInd w:w="93" w:type="dxa"/>
              <w:tblLayout w:type="fixed"/>
              <w:tblLook w:val="04A0"/>
            </w:tblPr>
            <w:tblGrid>
              <w:gridCol w:w="696"/>
              <w:gridCol w:w="3572"/>
              <w:gridCol w:w="1384"/>
              <w:gridCol w:w="1451"/>
              <w:gridCol w:w="1166"/>
              <w:gridCol w:w="1028"/>
              <w:gridCol w:w="1104"/>
              <w:gridCol w:w="1280"/>
              <w:gridCol w:w="1701"/>
              <w:gridCol w:w="1946"/>
            </w:tblGrid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4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A272A" w:rsidRPr="00EF1E92" w:rsidTr="004B60E2">
              <w:trPr>
                <w:trHeight w:val="2258"/>
              </w:trPr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6A272A" w:rsidRPr="00EF1E92" w:rsidTr="004B60E2">
              <w:trPr>
                <w:trHeight w:val="62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6A272A" w:rsidRPr="00EF1E92" w:rsidTr="004B60E2">
              <w:trPr>
                <w:trHeight w:val="87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коммунальных отходов путем их ликвидации, планирования территории закрытой свалки, расположенной 400 м западнее ст. Кавказской"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Экологическое оздоровление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администрация муниципального образования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Кавказский район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86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6A272A" w:rsidRPr="00EF1E92" w:rsidTr="004B60E2">
              <w:trPr>
                <w:trHeight w:val="63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Обустройство контейнерных площадок на территории сельских поселений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563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подпрограмме «Обращение с </w:t>
      </w:r>
      <w:proofErr w:type="gramStart"/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645" w:type="dxa"/>
        <w:tblInd w:w="93" w:type="dxa"/>
        <w:tblLayout w:type="fixed"/>
        <w:tblLook w:val="04A0"/>
      </w:tblPr>
      <w:tblGrid>
        <w:gridCol w:w="500"/>
        <w:gridCol w:w="5185"/>
        <w:gridCol w:w="1480"/>
        <w:gridCol w:w="1800"/>
        <w:gridCol w:w="1450"/>
        <w:gridCol w:w="1253"/>
        <w:gridCol w:w="1280"/>
        <w:gridCol w:w="1697"/>
      </w:tblGrid>
      <w:tr w:rsidR="006A272A" w:rsidRPr="00EF1E92" w:rsidTr="004B60E2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A272A" w:rsidRPr="00EF1E92" w:rsidTr="004B60E2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Кавказский</w:t>
            </w:r>
            <w:proofErr w:type="gram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proofErr w:type="spell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4186,8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4186,8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lastRenderedPageBreak/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39D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-                 </w:t>
            </w:r>
            <w:r w:rsidR="00CA3875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10527,</w:t>
            </w:r>
            <w:r w:rsidR="002B0E73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6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7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8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19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"/>
        <w:gridCol w:w="4817"/>
        <w:gridCol w:w="851"/>
        <w:gridCol w:w="708"/>
        <w:gridCol w:w="1560"/>
        <w:gridCol w:w="1559"/>
        <w:gridCol w:w="1559"/>
        <w:gridCol w:w="1701"/>
        <w:gridCol w:w="1559"/>
      </w:tblGrid>
      <w:tr w:rsidR="000F2AF1" w:rsidTr="000F2AF1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0F2AF1" w:rsidTr="000F2AF1">
        <w:trPr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Цель: 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 xml:space="preserve">Задача: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</w:tr>
      <w:tr w:rsidR="000F2AF1" w:rsidTr="000F2AF1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внесенных в Единый Государственный Реестр Недвижимости территориальных зон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13,3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№3 «Внесение изменений в Генеральные планы сельских поселений Кавказского района»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в которых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0F2AF1" w:rsidTr="000F2AF1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B703A" w:rsidRDefault="00DB703A" w:rsidP="00DB70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313"/>
        <w:gridCol w:w="919"/>
        <w:gridCol w:w="1384"/>
        <w:gridCol w:w="1507"/>
        <w:gridCol w:w="1418"/>
        <w:gridCol w:w="1028"/>
        <w:gridCol w:w="1104"/>
        <w:gridCol w:w="1412"/>
        <w:gridCol w:w="1701"/>
        <w:gridCol w:w="1984"/>
      </w:tblGrid>
      <w:tr w:rsidR="002B0E73" w:rsidRPr="006A272A" w:rsidTr="002B0E73">
        <w:trPr>
          <w:trHeight w:val="81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ь(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2B0E73" w:rsidRPr="006A272A" w:rsidTr="002B0E73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2B0E73" w:rsidRPr="006A272A" w:rsidTr="002B0E73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 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проведение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геодезических работ в рамках утвержденного муниципального задания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6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представление сведений о границах территориальных зон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сельских поселений МО Кавказский район   в Единый государственный реестр недвижимости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105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№3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</w:r>
            <w:r w:rsidR="00EF1E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Внесение изменений в Генеральные планы</w:t>
            </w:r>
            <w:r w:rsidR="00EF1E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 Правила застройки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сельских поселений Кавказского района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7 436,0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Внесение изменений в Генеральные планы: 2021 го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д-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Лосевского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сельского поселения и Казанского сельского поселения; 2022 год - Кавказского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8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2 883,5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2 883,5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9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№4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 xml:space="preserve">Подготовка (разработка,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проектов местных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Дмитриевское СП, Мирское СП, Привольное СП, СП им. М.Горького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40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88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 xml:space="preserve">администрации муниципального образования Кавказский район                                    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А.А.Чукина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2660" w:type="dxa"/>
        <w:tblInd w:w="93" w:type="dxa"/>
        <w:tblLook w:val="04A0"/>
      </w:tblPr>
      <w:tblGrid>
        <w:gridCol w:w="2721"/>
        <w:gridCol w:w="2672"/>
        <w:gridCol w:w="1003"/>
        <w:gridCol w:w="1986"/>
        <w:gridCol w:w="1581"/>
        <w:gridCol w:w="1028"/>
        <w:gridCol w:w="1104"/>
        <w:gridCol w:w="1171"/>
      </w:tblGrid>
      <w:tr w:rsidR="0088072F" w:rsidRPr="00EF1E92" w:rsidTr="00A10C5D">
        <w:trPr>
          <w:trHeight w:val="1020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E92">
              <w:rPr>
                <w:rFonts w:ascii="Times New Roman" w:eastAsia="Times New Roman" w:hAnsi="Times New Roman" w:cs="Times New Roman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</w:t>
            </w:r>
            <w:r w:rsidRPr="00EF1E92">
              <w:rPr>
                <w:rFonts w:ascii="Times New Roman" w:eastAsia="Times New Roman" w:hAnsi="Times New Roman" w:cs="Times New Roman"/>
              </w:rPr>
              <w:br/>
              <w:t>на территории Кавказского района»</w:t>
            </w: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88072F" w:rsidRPr="00EF1E92" w:rsidTr="00A10C5D">
        <w:trPr>
          <w:trHeight w:val="40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10527,2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10527,2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3630,7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архитектуры и градостроительства,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5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>Чукина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Кавказский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М.Горького,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711F2"/>
    <w:rsid w:val="00373CA0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370E"/>
    <w:rsid w:val="003E67A5"/>
    <w:rsid w:val="003F15AF"/>
    <w:rsid w:val="003F2CC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D5"/>
    <w:rsid w:val="00607639"/>
    <w:rsid w:val="006102DE"/>
    <w:rsid w:val="00610369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D1300"/>
    <w:rsid w:val="006D2B4E"/>
    <w:rsid w:val="006D32E1"/>
    <w:rsid w:val="006E2CE9"/>
    <w:rsid w:val="006F3D31"/>
    <w:rsid w:val="006F5F26"/>
    <w:rsid w:val="007006F0"/>
    <w:rsid w:val="00700E25"/>
    <w:rsid w:val="00701F5B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901360"/>
    <w:rsid w:val="009042EA"/>
    <w:rsid w:val="009042FD"/>
    <w:rsid w:val="00907C9E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FE5"/>
    <w:rsid w:val="00A20457"/>
    <w:rsid w:val="00A21EC5"/>
    <w:rsid w:val="00A24BFE"/>
    <w:rsid w:val="00A27C2D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A091B"/>
    <w:rsid w:val="00AC0E7E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10FEE"/>
    <w:rsid w:val="00B20433"/>
    <w:rsid w:val="00B212E0"/>
    <w:rsid w:val="00B22925"/>
    <w:rsid w:val="00B22927"/>
    <w:rsid w:val="00B31E63"/>
    <w:rsid w:val="00B359A0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05DF0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463B"/>
    <w:rsid w:val="00C56039"/>
    <w:rsid w:val="00C5645B"/>
    <w:rsid w:val="00C579AC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13004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611"/>
    <w:rsid w:val="00EC577A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F004B7"/>
    <w:rsid w:val="00F0313A"/>
    <w:rsid w:val="00F126B7"/>
    <w:rsid w:val="00F22495"/>
    <w:rsid w:val="00F24D56"/>
    <w:rsid w:val="00F251A5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garantf1://70253464.0/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7361-0631-4DC8-9816-D797803B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139</Pages>
  <Words>33678</Words>
  <Characters>191967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4</cp:revision>
  <cp:lastPrinted>2021-03-17T13:33:00Z</cp:lastPrinted>
  <dcterms:created xsi:type="dcterms:W3CDTF">2022-05-27T09:48:00Z</dcterms:created>
  <dcterms:modified xsi:type="dcterms:W3CDTF">2022-10-03T13:16:00Z</dcterms:modified>
</cp:coreProperties>
</file>