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, </w:t>
      </w:r>
      <w:proofErr w:type="gramStart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. № </w:t>
      </w:r>
      <w:proofErr w:type="gramStart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174,  29.04.2021г. № 693,19.10.2021г. № 1602, 19.11.2021г. № 1702, 23.12.2021г. № 1916</w:t>
      </w:r>
      <w:r w:rsidR="006421EA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.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, </w:t>
      </w:r>
      <w:r w:rsidR="00C73030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10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.03.</w:t>
      </w:r>
      <w:r w:rsidR="00C73030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2022 г.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 № 348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мер, направленных на обеспечение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8179EE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52 103,4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97 205,3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9 633,1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</w:t>
      </w:r>
      <w:r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Реализация поставленных задач позволит улучшить условия проживания на селе, увеличить занятость сельского населения, сблизить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7C3C3E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8179EE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52103,4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D90374" w:rsidP="00D153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7205,3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9633,1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177122">
              <w:rPr>
                <w:rFonts w:ascii="Times New Roman" w:hAnsi="Times New Roman"/>
                <w:lang w:val="ru-RU"/>
              </w:rPr>
              <w:t>4323,4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177122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0B4D8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B4D85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4" w:type="dxa"/>
          </w:tcPr>
          <w:p w:rsidR="007E358F" w:rsidRPr="00466099" w:rsidRDefault="00D77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0B4D85">
              <w:rPr>
                <w:rFonts w:ascii="Times New Roman" w:hAnsi="Times New Roman"/>
                <w:bCs/>
                <w:kern w:val="32"/>
                <w:lang w:val="ru-RU"/>
              </w:rPr>
              <w:t>423,9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028FD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16213,3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10886,5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5326,8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028FD">
              <w:rPr>
                <w:rFonts w:ascii="Times New Roman" w:hAnsi="Times New Roman"/>
                <w:lang w:val="ru-RU"/>
              </w:rPr>
              <w:t>4093,1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8657,5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5435,6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028FD">
              <w:rPr>
                <w:rFonts w:ascii="Times New Roman" w:hAnsi="Times New Roman"/>
                <w:lang w:val="ru-RU"/>
              </w:rPr>
              <w:t>7835,7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028FD">
              <w:rPr>
                <w:rFonts w:ascii="Times New Roman" w:hAnsi="Times New Roman"/>
                <w:lang w:val="ru-RU"/>
              </w:rPr>
              <w:t>2400,1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5435,6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F39A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4910,0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3028FD" w:rsidP="000F39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6170,2</w:t>
            </w:r>
          </w:p>
        </w:tc>
        <w:tc>
          <w:tcPr>
            <w:tcW w:w="1134" w:type="dxa"/>
          </w:tcPr>
          <w:p w:rsidR="00543F15" w:rsidRPr="00466099" w:rsidRDefault="003028F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47539,8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79278C">
              <w:rPr>
                <w:rFonts w:ascii="Times New Roman" w:hAnsi="Times New Roman"/>
                <w:bCs/>
                <w:kern w:val="32"/>
                <w:lang w:val="ru-RU"/>
              </w:rPr>
              <w:t>860,6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79278C">
              <w:rPr>
                <w:rFonts w:ascii="Times New Roman" w:hAnsi="Times New Roman"/>
                <w:bCs/>
                <w:kern w:val="32"/>
                <w:lang w:val="ru-RU"/>
              </w:rPr>
              <w:t>223,9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028FD">
              <w:rPr>
                <w:rFonts w:ascii="Times New Roman" w:hAnsi="Times New Roman"/>
                <w:bCs/>
                <w:kern w:val="32"/>
                <w:lang w:val="ru-RU"/>
              </w:rPr>
              <w:t>850,4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3028FD" w:rsidRDefault="003028FD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3028FD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028FD">
              <w:rPr>
                <w:rFonts w:ascii="Times New Roman" w:hAnsi="Times New Roman"/>
                <w:bCs/>
                <w:kern w:val="32"/>
                <w:lang w:val="ru-RU"/>
              </w:rPr>
              <w:t>959,2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5235,6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5959,2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5235,6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8824,7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4759,7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B2CDA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79278C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79278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3028FD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3028F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1B06FF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1B06FF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1B06FF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6275,4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6275,4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C7AEA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C7AEA" w:rsidRPr="002C12FD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C7AEA" w:rsidRDefault="000C7AEA" w:rsidP="000C7AEA">
            <w:pPr>
              <w:jc w:val="center"/>
            </w:pPr>
            <w:r w:rsidRPr="004F249A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</w:tcPr>
          <w:p w:rsidR="000C7AEA" w:rsidRPr="00466099" w:rsidRDefault="000C7AEA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C7AEA" w:rsidRDefault="000C7AEA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C7AEA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C7AEA" w:rsidRPr="002C12FD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AEA" w:rsidRDefault="000C7AEA" w:rsidP="000C7AEA">
            <w:pPr>
              <w:jc w:val="center"/>
            </w:pPr>
            <w:r w:rsidRPr="00B11F51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C7AEA" w:rsidRDefault="000C7AEA" w:rsidP="000C7AEA">
            <w:pPr>
              <w:jc w:val="center"/>
            </w:pPr>
            <w:r w:rsidRPr="004F249A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</w:tcPr>
          <w:p w:rsidR="000C7AEA" w:rsidRPr="00466099" w:rsidRDefault="000C7AEA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C7AEA" w:rsidRDefault="000C7AEA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C7AEA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C7AEA" w:rsidRPr="002C12FD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AEA" w:rsidRDefault="000C7AEA" w:rsidP="000C7AEA">
            <w:pPr>
              <w:jc w:val="center"/>
            </w:pPr>
            <w:r w:rsidRPr="00B11F51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C7AEA" w:rsidRDefault="000C7AEA" w:rsidP="000C7AEA">
            <w:pPr>
              <w:jc w:val="center"/>
            </w:pPr>
            <w:r w:rsidRPr="004F249A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</w:tcPr>
          <w:p w:rsidR="000C7AEA" w:rsidRPr="00466099" w:rsidRDefault="000C7AEA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C7AEA" w:rsidRDefault="000C7AEA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проведения мониторинга угроз развитию агропромышленного комплекса и обеспечению продовольственной безопасности, выработки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0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8179EE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8179EE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8179EE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8179EE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E05450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450" w:rsidRP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0" w:rsidRPr="00A22C24" w:rsidRDefault="00E649E2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450" w:rsidRPr="00E649E2" w:rsidRDefault="00E649E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143739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897967" w:rsidRPr="008179EE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8179EE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8179EE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8179EE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8179EE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8179EE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8179EE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8179EE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8179EE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32,2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</w:t>
            </w:r>
            <w:r w:rsidR="005D419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</w:t>
            </w:r>
            <w:r w:rsidR="0089796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10,5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60577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8179EE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8179EE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8179EE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8179EE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8179EE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8179EE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ф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8179EE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8179EE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8179EE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=Оф</w:t>
            </w:r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х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8179EE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8179EE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Федеральной службы государственной статистики - статистический бюллетень ф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8179EE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AA649D">
              <w:rPr>
                <w:rFonts w:ascii="Times New Roman" w:hAnsi="Times New Roman"/>
                <w:lang w:val="ru-RU"/>
              </w:rPr>
              <w:t>4910,0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AA649D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6170,2</w:t>
            </w:r>
          </w:p>
        </w:tc>
        <w:tc>
          <w:tcPr>
            <w:tcW w:w="1417" w:type="dxa"/>
            <w:vAlign w:val="center"/>
          </w:tcPr>
          <w:p w:rsidR="0081172B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A649D">
              <w:rPr>
                <w:rFonts w:ascii="Times New Roman" w:hAnsi="Times New Roman"/>
                <w:lang w:val="ru-RU"/>
              </w:rPr>
              <w:t>7539,8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AD7D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 w:rsidR="00D74AA9"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81172B" w:rsidRPr="00026177" w:rsidRDefault="00901DF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AA649D">
              <w:rPr>
                <w:rFonts w:ascii="Times New Roman" w:hAnsi="Times New Roman"/>
                <w:lang w:val="ru-RU"/>
              </w:rPr>
              <w:t>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D74AA9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2A010D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5959,2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2A010D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5959,2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с\х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AC73FA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A649D">
              <w:rPr>
                <w:rFonts w:ascii="Times New Roman" w:hAnsi="Times New Roman"/>
                <w:lang w:val="ru-RU"/>
              </w:rPr>
              <w:t>6040,8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AA649D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46040,8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74AA9" w:rsidRPr="00AC73FA" w:rsidRDefault="00AC73F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C73FA" w:rsidRDefault="00E34F40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74AA9" w:rsidRPr="00AC73FA" w:rsidRDefault="00AA649D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A649D" w:rsidRDefault="00AA649D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AD7DE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AA649D" w:rsidRPr="00AC73FA" w:rsidRDefault="00AA649D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AD7DE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AA649D" w:rsidRPr="00AC73FA" w:rsidRDefault="00AA649D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8179EE" w:rsidTr="008F3D00">
        <w:tc>
          <w:tcPr>
            <w:tcW w:w="534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 w:rsidR="009A06B8"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1DF4" w:rsidRPr="00026177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026177" w:rsidRDefault="00AA649D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6170</w:t>
            </w:r>
            <w:r w:rsidR="001B06FF">
              <w:rPr>
                <w:rFonts w:ascii="Times New Roman" w:hAnsi="Times New Roman"/>
                <w:lang w:val="ru-RU"/>
              </w:rPr>
              <w:t>,2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FE0E52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F7492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AA649D" w:rsidRDefault="00AA649D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FE0E52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CA4560" w:rsidRDefault="00AA649D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F7492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C5308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FE0E52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CA4560" w:rsidRDefault="00AA649D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F7492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C5308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FE0E52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CA4560" w:rsidRDefault="00AA649D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A649D">
              <w:rPr>
                <w:rFonts w:ascii="Times New Roman" w:hAnsi="Times New Roman"/>
                <w:lang w:val="ru-RU"/>
              </w:rPr>
              <w:t>8824,7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A0BD0" w:rsidRPr="00FE0E52" w:rsidRDefault="004A0BD0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A649D">
              <w:rPr>
                <w:rFonts w:ascii="Times New Roman" w:hAnsi="Times New Roman"/>
                <w:lang w:val="ru-RU"/>
              </w:rPr>
              <w:t>4759,7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AA649D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AA649D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8179EE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8179EE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сть в области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457161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84083,7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457161">
              <w:rPr>
                <w:rFonts w:ascii="Times New Roman" w:hAnsi="Times New Roman"/>
                <w:lang w:val="ru-RU"/>
              </w:rPr>
              <w:t>4083,7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457161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57161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bookmarkStart w:id="37" w:name="_GoBack"/>
            <w:bookmarkEnd w:id="37"/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8179EE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 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5F001C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34F15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7161" w:rsidRPr="00FE0E52" w:rsidRDefault="00457161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7811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5F001C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34F15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7161" w:rsidRPr="00FE0E52" w:rsidRDefault="00457161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7811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DF618B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122E0E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DF618B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122E0E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DF618B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122E0E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50103,4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457161">
              <w:rPr>
                <w:rFonts w:ascii="Times New Roman" w:hAnsi="Times New Roman"/>
                <w:lang w:val="ru-RU"/>
              </w:rPr>
              <w:t>7205,3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457161">
              <w:rPr>
                <w:rFonts w:ascii="Times New Roman" w:hAnsi="Times New Roman"/>
                <w:lang w:val="ru-RU"/>
              </w:rPr>
              <w:t>7633,1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6013,3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10886,5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3893,1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8657,5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7635,7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2400,1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F74926" w:rsidRPr="008179EE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F74926" w:rsidRPr="008179EE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6"/>
        <w:gridCol w:w="4480"/>
        <w:gridCol w:w="1202"/>
        <w:gridCol w:w="6978"/>
        <w:gridCol w:w="1470"/>
      </w:tblGrid>
      <w:tr w:rsidR="004E2F88" w:rsidRPr="008179EE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8179EE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Оказание платных услуг МБУ ИКЦ МСП по </w:t>
            </w:r>
            <w:r>
              <w:rPr>
                <w:rFonts w:ascii="Times New Roman" w:hAnsi="Times New Roman"/>
                <w:lang w:val="ru-RU"/>
              </w:rPr>
              <w:lastRenderedPageBreak/>
              <w:t>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</w:t>
            </w:r>
            <w:r w:rsidRPr="005D79C6">
              <w:rPr>
                <w:rFonts w:ascii="Times New Roman" w:hAnsi="Times New Roman"/>
                <w:lang w:val="ru-RU"/>
              </w:rPr>
              <w:lastRenderedPageBreak/>
              <w:t>муниципального образования Кавказский район по оперативной информаци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 xml:space="preserve"> еже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8179EE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8179EE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8179EE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8179EE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8179EE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8179EE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8179EE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8179EE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8179EE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8179EE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8179EE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8179EE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8179EE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8179EE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8179EE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8179EE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8179EE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8179EE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8179EE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8179EE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8179EE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8179EE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8179EE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8179EE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8179EE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8179EE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8179EE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8179EE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9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8179EE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8179EE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8179EE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8179EE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8179EE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8179EE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7AEA"/>
    <w:rsid w:val="000D053F"/>
    <w:rsid w:val="000D5BE9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7122"/>
    <w:rsid w:val="001800CA"/>
    <w:rsid w:val="00185BD5"/>
    <w:rsid w:val="00192B1E"/>
    <w:rsid w:val="001A6640"/>
    <w:rsid w:val="001A6CE5"/>
    <w:rsid w:val="001B06FF"/>
    <w:rsid w:val="001C1FEF"/>
    <w:rsid w:val="001D0A05"/>
    <w:rsid w:val="001D3FDB"/>
    <w:rsid w:val="001D42D3"/>
    <w:rsid w:val="001E63BD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7EFE"/>
    <w:rsid w:val="00620448"/>
    <w:rsid w:val="00626A1E"/>
    <w:rsid w:val="006308A3"/>
    <w:rsid w:val="00632153"/>
    <w:rsid w:val="006367D8"/>
    <w:rsid w:val="006421EA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81172B"/>
    <w:rsid w:val="00814B40"/>
    <w:rsid w:val="00816D6D"/>
    <w:rsid w:val="008179EE"/>
    <w:rsid w:val="00817C8C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14D96"/>
    <w:rsid w:val="00916840"/>
    <w:rsid w:val="0091739D"/>
    <w:rsid w:val="00923967"/>
    <w:rsid w:val="00935E99"/>
    <w:rsid w:val="00936147"/>
    <w:rsid w:val="0093770D"/>
    <w:rsid w:val="009556F7"/>
    <w:rsid w:val="00963F35"/>
    <w:rsid w:val="00965402"/>
    <w:rsid w:val="0096709F"/>
    <w:rsid w:val="00971C08"/>
    <w:rsid w:val="009910F7"/>
    <w:rsid w:val="009A06B8"/>
    <w:rsid w:val="009B3E06"/>
    <w:rsid w:val="009C525A"/>
    <w:rsid w:val="009D40DB"/>
    <w:rsid w:val="009D5145"/>
    <w:rsid w:val="009D553E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06542"/>
    <w:rsid w:val="00D15377"/>
    <w:rsid w:val="00D2664E"/>
    <w:rsid w:val="00D30A7B"/>
    <w:rsid w:val="00D37C61"/>
    <w:rsid w:val="00D44824"/>
    <w:rsid w:val="00D56E13"/>
    <w:rsid w:val="00D71775"/>
    <w:rsid w:val="00D74AA9"/>
    <w:rsid w:val="00D77E3E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5C49"/>
    <w:rsid w:val="00EB2CDA"/>
    <w:rsid w:val="00EB3099"/>
    <w:rsid w:val="00EB3EB9"/>
    <w:rsid w:val="00EB4158"/>
    <w:rsid w:val="00ED48A9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image" Target="media/image6.emf"/><Relationship Id="rId39" Type="http://schemas.openxmlformats.org/officeDocument/2006/relationships/hyperlink" Target="garantF1://70273192.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34" Type="http://schemas.openxmlformats.org/officeDocument/2006/relationships/image" Target="media/image14.emf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38" Type="http://schemas.openxmlformats.org/officeDocument/2006/relationships/hyperlink" Target="garantF1://2384135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29" Type="http://schemas.openxmlformats.org/officeDocument/2006/relationships/image" Target="media/image9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37" Type="http://schemas.openxmlformats.org/officeDocument/2006/relationships/hyperlink" Target="garantF1://2062858.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36" Type="http://schemas.openxmlformats.org/officeDocument/2006/relationships/hyperlink" Target="garantF1://12051309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31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8CCB-D483-48E8-AFB8-6F722F5A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47</Pages>
  <Words>12693</Words>
  <Characters>72351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9</cp:revision>
  <cp:lastPrinted>2021-09-08T08:50:00Z</cp:lastPrinted>
  <dcterms:created xsi:type="dcterms:W3CDTF">2022-03-25T07:43:00Z</dcterms:created>
  <dcterms:modified xsi:type="dcterms:W3CDTF">2022-03-28T13:12:00Z</dcterms:modified>
</cp:coreProperties>
</file>