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D15377" w:rsidRDefault="00D15377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</w:p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\</w:instrText>
      </w:r>
      <w:r w:rsidR="008C5AA2">
        <w:instrText>l</w:instrText>
      </w:r>
      <w:r w:rsidR="008C5AA2" w:rsidRPr="00AA7650">
        <w:rPr>
          <w:lang w:val="ru-RU"/>
        </w:rPr>
        <w:instrText xml:space="preserve"> "</w:instrText>
      </w:r>
      <w:r w:rsidR="008C5AA2">
        <w:instrText>sub</w:instrText>
      </w:r>
      <w:r w:rsidR="008C5AA2" w:rsidRPr="00AA7650">
        <w:rPr>
          <w:lang w:val="ru-RU"/>
        </w:rPr>
        <w:instrText>_0"</w:instrText>
      </w:r>
      <w:r w:rsidR="008C5AA2">
        <w:fldChar w:fldCharType="separate"/>
      </w:r>
      <w:r w:rsidR="00545903" w:rsidRPr="00EB4158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8C5AA2">
        <w:fldChar w:fldCharType="end"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B67DE9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 xml:space="preserve"> 12декабря 2019г.</w:t>
      </w:r>
      <w:r w:rsidR="00BE7DDF">
        <w:rPr>
          <w:rFonts w:ascii="Times New Roman" w:hAnsi="Times New Roman"/>
          <w:bCs/>
          <w:sz w:val="28"/>
          <w:szCs w:val="28"/>
          <w:lang w:val="ru-RU"/>
        </w:rPr>
        <w:t>, 26.августа</w:t>
      </w:r>
      <w:r w:rsidR="00B40BA9">
        <w:rPr>
          <w:rFonts w:ascii="Times New Roman" w:hAnsi="Times New Roman"/>
          <w:bCs/>
          <w:sz w:val="28"/>
          <w:szCs w:val="28"/>
          <w:lang w:val="ru-RU"/>
        </w:rPr>
        <w:t>.2020г.</w:t>
      </w:r>
      <w:r w:rsidR="005D5B47">
        <w:rPr>
          <w:rFonts w:ascii="Times New Roman" w:hAnsi="Times New Roman"/>
          <w:bCs/>
          <w:sz w:val="28"/>
          <w:szCs w:val="28"/>
          <w:lang w:val="ru-RU"/>
        </w:rPr>
        <w:t>, 21</w:t>
      </w:r>
      <w:r w:rsidR="00BD3918">
        <w:rPr>
          <w:rFonts w:ascii="Times New Roman" w:hAnsi="Times New Roman"/>
          <w:bCs/>
          <w:sz w:val="28"/>
          <w:szCs w:val="28"/>
          <w:lang w:val="ru-RU"/>
        </w:rPr>
        <w:t xml:space="preserve"> декабря </w:t>
      </w:r>
      <w:r w:rsidR="00177122">
        <w:rPr>
          <w:rFonts w:ascii="Times New Roman" w:hAnsi="Times New Roman"/>
          <w:bCs/>
          <w:sz w:val="28"/>
          <w:szCs w:val="28"/>
          <w:lang w:val="ru-RU"/>
        </w:rPr>
        <w:t>2020г.</w:t>
      </w:r>
      <w:r w:rsidR="00BD3918">
        <w:rPr>
          <w:rFonts w:ascii="Times New Roman" w:hAnsi="Times New Roman"/>
          <w:bCs/>
          <w:sz w:val="28"/>
          <w:szCs w:val="28"/>
          <w:lang w:val="ru-RU"/>
        </w:rPr>
        <w:t>, 19 февраля</w:t>
      </w:r>
      <w:r w:rsidR="00D77E3E">
        <w:rPr>
          <w:rFonts w:ascii="Times New Roman" w:hAnsi="Times New Roman"/>
          <w:bCs/>
          <w:sz w:val="28"/>
          <w:szCs w:val="28"/>
          <w:lang w:val="ru-RU"/>
        </w:rPr>
        <w:t>2021г.</w:t>
      </w:r>
      <w:r w:rsidR="00D15377">
        <w:rPr>
          <w:rFonts w:ascii="Times New Roman" w:hAnsi="Times New Roman"/>
          <w:bCs/>
          <w:sz w:val="28"/>
          <w:szCs w:val="28"/>
          <w:lang w:val="ru-RU"/>
        </w:rPr>
        <w:t>, 29.апреля 2021г.</w:t>
      </w:r>
      <w:r w:rsidR="00D77E3E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D15377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финансирования муниципальной программы -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D77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45 665,</w:t>
            </w:r>
            <w:r w:rsidR="00D153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за счет средств федерального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 счет средств краевого бюджета – </w:t>
            </w:r>
            <w:r w:rsidR="00D1537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92 542.8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D77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7 857,3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1://12017177.0"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6 октября 1999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184-ФЗ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1://10008787.0"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10 января 1996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4-ФЗ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1://12051309.0"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29 декабря 2006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264-ФЗ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1://23801120.0"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4 марта 1998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120-КЗ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государственном ветеринарном надзоре в Краснодарском крае",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1://23801142.0"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5 августа 1998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142-КЗ 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1://23840721.0"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7 июня 2004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721-КЗ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1://23840725.0"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7 июня 2004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725-КЗ 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1://23840884.0"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15 июля 2005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884-КЗ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1://23841690.0"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28 января 2009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1690-КЗ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1://36802400.0"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7 июня 2011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2253-КЗ 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1://36804984.0"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4 июня 2012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2496-КЗ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1://36891601.0"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4 июня 2012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2510-КЗ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1://36891691.0"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3 июля 2012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2536-КЗ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r w:rsidR="008C5AA2">
        <w:fldChar w:fldCharType="begin"/>
      </w:r>
      <w:r w:rsidR="008C5AA2">
        <w:instrText>HYPERLINK</w:instrText>
      </w:r>
      <w:r w:rsidR="008C5AA2" w:rsidRPr="00AA7650">
        <w:rPr>
          <w:lang w:val="ru-RU"/>
        </w:rPr>
        <w:instrText xml:space="preserve"> "</w:instrText>
      </w:r>
      <w:r w:rsidR="008C5AA2">
        <w:instrText>garantF</w:instrText>
      </w:r>
      <w:r w:rsidR="008C5AA2" w:rsidRPr="00AA7650">
        <w:rPr>
          <w:lang w:val="ru-RU"/>
        </w:rPr>
        <w:instrText>1://36892200.0"</w:instrText>
      </w:r>
      <w:r w:rsidR="008C5AA2">
        <w:fldChar w:fldCharType="separate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от 9 июля 2013 года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2751-КЗ</w:t>
      </w:r>
      <w:r w:rsidR="008C5AA2">
        <w:fldChar w:fldCharType="end"/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хозяйств граждан,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2: 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средств для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8C5AA2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AA7650">
        <w:rPr>
          <w:lang w:val="ru-RU"/>
        </w:rPr>
        <w:instrText xml:space="preserve"> \</w:instrText>
      </w:r>
      <w:r>
        <w:instrText>l</w:instrText>
      </w:r>
      <w:r w:rsidRPr="00AA7650">
        <w:rPr>
          <w:lang w:val="ru-RU"/>
        </w:rPr>
        <w:instrText xml:space="preserve"> "</w:instrText>
      </w:r>
      <w:r>
        <w:instrText>sub</w:instrText>
      </w:r>
      <w:r w:rsidRPr="00AA7650">
        <w:rPr>
          <w:lang w:val="ru-RU"/>
        </w:rPr>
        <w:instrText>_1001"</w:instrText>
      </w:r>
      <w:r>
        <w:fldChar w:fldCharType="separate"/>
      </w:r>
      <w:r w:rsidR="00546900" w:rsidRPr="00EB4158">
        <w:rPr>
          <w:rFonts w:ascii="Times New Roman" w:hAnsi="Times New Roman"/>
          <w:sz w:val="28"/>
          <w:szCs w:val="28"/>
          <w:lang w:val="ru-RU"/>
        </w:rPr>
        <w:t>Подпрограмма</w:t>
      </w:r>
      <w:r>
        <w:fldChar w:fldCharType="end"/>
      </w:r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D15377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Раз-витие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D77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145665,</w:t>
            </w:r>
            <w:r w:rsidR="00D15377"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B40BA9" w:rsidP="00D153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</w:t>
            </w:r>
            <w:r w:rsidR="00D15377">
              <w:rPr>
                <w:rFonts w:ascii="Times New Roman" w:hAnsi="Times New Roman"/>
                <w:b/>
                <w:bCs/>
                <w:kern w:val="32"/>
                <w:lang w:val="ru-RU"/>
              </w:rPr>
              <w:t>2542</w:t>
            </w:r>
            <w:r w:rsidR="00177122">
              <w:rPr>
                <w:rFonts w:ascii="Times New Roman" w:hAnsi="Times New Roman"/>
                <w:b/>
                <w:bCs/>
                <w:kern w:val="32"/>
                <w:lang w:val="ru-RU"/>
              </w:rPr>
              <w:t>,</w:t>
            </w:r>
            <w:r w:rsidR="00D15377"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</w:t>
            </w:r>
            <w:r w:rsidR="00D77E3E">
              <w:rPr>
                <w:rFonts w:ascii="Times New Roman" w:hAnsi="Times New Roman"/>
                <w:b/>
                <w:bCs/>
                <w:kern w:val="32"/>
                <w:lang w:val="ru-RU"/>
              </w:rPr>
              <w:t>7857,3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 w:rsidR="00177122">
              <w:rPr>
                <w:rFonts w:ascii="Times New Roman" w:hAnsi="Times New Roman"/>
                <w:lang w:val="ru-RU"/>
              </w:rPr>
              <w:t>4323,4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177122" w:rsidP="000717C9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D77E3E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12074,</w:t>
            </w:r>
            <w:r w:rsidR="00D153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EB2CDA">
              <w:rPr>
                <w:rFonts w:ascii="Times New Roman" w:hAnsi="Times New Roman"/>
                <w:lang w:val="ru-RU"/>
              </w:rPr>
              <w:t>818,</w:t>
            </w:r>
            <w:r w:rsidR="00D153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7E358F" w:rsidRPr="00466099" w:rsidRDefault="00D77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4256,2</w:t>
            </w:r>
          </w:p>
        </w:tc>
        <w:tc>
          <w:tcPr>
            <w:tcW w:w="992" w:type="dxa"/>
          </w:tcPr>
          <w:p w:rsidR="007E358F" w:rsidRPr="00EB2CDA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2C12FD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2681,8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863,3</w:t>
            </w:r>
          </w:p>
        </w:tc>
        <w:tc>
          <w:tcPr>
            <w:tcW w:w="992" w:type="dxa"/>
          </w:tcPr>
          <w:p w:rsidR="00EB2CDA" w:rsidRPr="00EB2CDA" w:rsidRDefault="00EB2CDA" w:rsidP="002E4A92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B2CDA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495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52873,6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59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09,5</w:t>
            </w:r>
          </w:p>
        </w:tc>
        <w:tc>
          <w:tcPr>
            <w:tcW w:w="1134" w:type="dxa"/>
          </w:tcPr>
          <w:p w:rsidR="00543F15" w:rsidRPr="00466099" w:rsidRDefault="00495E3E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45764,0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4692,9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="00EB2CDA"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543F15" w:rsidRPr="00466099" w:rsidRDefault="00495E3E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4056,2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EB2CDA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EB2CDA" w:rsidRPr="000C5CA8" w:rsidRDefault="00EB2CDA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EB2CDA" w:rsidRPr="0058737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2CDA" w:rsidRPr="0046609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36,7</w:t>
            </w:r>
          </w:p>
        </w:tc>
        <w:tc>
          <w:tcPr>
            <w:tcW w:w="1134" w:type="dxa"/>
          </w:tcPr>
          <w:p w:rsidR="00EB2CDA" w:rsidRPr="00466099" w:rsidRDefault="00EB2CDA" w:rsidP="002E4A92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663,3</w:t>
            </w:r>
          </w:p>
        </w:tc>
        <w:tc>
          <w:tcPr>
            <w:tcW w:w="992" w:type="dxa"/>
          </w:tcPr>
          <w:p w:rsidR="00EB2CDA" w:rsidRPr="00587379" w:rsidRDefault="00EB2CDA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хозяйство-вания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86679,2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</w:t>
            </w:r>
            <w:r w:rsidR="00EB2CDA">
              <w:rPr>
                <w:rFonts w:ascii="Times New Roman" w:hAnsi="Times New Roman"/>
                <w:b/>
                <w:bCs/>
                <w:kern w:val="32"/>
                <w:lang w:val="ru-RU"/>
              </w:rPr>
              <w:t>2614,2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EB2CDA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EB2CDA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DC4F81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0717C9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0717C9" w:rsidRPr="000C5CA8" w:rsidRDefault="000717C9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0717C9" w:rsidRPr="002C12FD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7C9" w:rsidRDefault="000717C9" w:rsidP="000717C9">
            <w:pPr>
              <w:jc w:val="center"/>
            </w:pPr>
            <w:r w:rsidRPr="003776C6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17C9" w:rsidRPr="00466099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0717C9" w:rsidRPr="00466099" w:rsidRDefault="000717C9" w:rsidP="008F3D00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6826,1</w:t>
            </w:r>
          </w:p>
        </w:tc>
        <w:tc>
          <w:tcPr>
            <w:tcW w:w="1134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0717C9" w:rsidRPr="00ED72C5" w:rsidRDefault="000717C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3. «Предупреждение риска заноса,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рас-пространения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на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4019,</w:t>
            </w:r>
            <w:r w:rsidR="00C82CE9"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4019,</w:t>
            </w:r>
            <w:r w:rsidR="00C82CE9">
              <w:rPr>
                <w:rFonts w:ascii="Times New Roman" w:hAnsi="Times New Roman"/>
                <w:b/>
                <w:bCs/>
                <w:kern w:val="32"/>
                <w:lang w:val="ru-RU"/>
              </w:rPr>
              <w:t>1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0717C9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CA2318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</w:t>
            </w:r>
            <w:r w:rsidR="00B86A09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CA2318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CA2318" w:rsidRPr="000C5CA8" w:rsidRDefault="00CA2318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CA2318" w:rsidRPr="002C12FD" w:rsidRDefault="00CA231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318" w:rsidRPr="00466099" w:rsidRDefault="00CA2318" w:rsidP="002E4A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CA2318" w:rsidRPr="00466099" w:rsidRDefault="00CA2318" w:rsidP="002E4A92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355,7</w:t>
            </w:r>
          </w:p>
        </w:tc>
        <w:tc>
          <w:tcPr>
            <w:tcW w:w="1134" w:type="dxa"/>
          </w:tcPr>
          <w:p w:rsidR="00CA2318" w:rsidRPr="00466099" w:rsidRDefault="00CA2318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CA2318" w:rsidRDefault="00CA2318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Вместе с тем для решения задачи повышения конкурентоспособности агропромышленного комплекса района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>в сфере реализации муниципальной программы «Развитие сельского хозяйства и 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D15377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AA7650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Управление сельского хозяйства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админист-рации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AA7650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малым формам хозяйствования в АПК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D1537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AA7650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D1537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малым формам хозяйствования в агропромышленном комплексе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D15377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D1537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0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4"/>
      <w:bookmarkEnd w:id="14"/>
      <w:r w:rsidRPr="00A22C24">
        <w:rPr>
          <w:rFonts w:ascii="Times New Roman" w:hAnsi="Times New Roman"/>
          <w:sz w:val="28"/>
          <w:szCs w:val="28"/>
          <w:lang w:val="ru-RU"/>
        </w:rPr>
        <w:t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1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5"/>
      <w:r w:rsidRPr="00A22C24">
        <w:rPr>
          <w:rFonts w:ascii="Times New Roman" w:hAnsi="Times New Roman"/>
          <w:sz w:val="28"/>
          <w:szCs w:val="28"/>
          <w:lang w:val="ru-RU"/>
        </w:rPr>
        <w:t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6"/>
      <w:r w:rsidRPr="00A22C24">
        <w:rPr>
          <w:rFonts w:ascii="Times New Roman" w:hAnsi="Times New Roman"/>
          <w:sz w:val="28"/>
          <w:szCs w:val="28"/>
          <w:lang w:val="ru-RU"/>
        </w:rPr>
        <w:t>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1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3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число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6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9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3"/>
      <w:bookmarkEnd w:id="30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3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6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9. Механизм реализации муниципальной программы и контроль за ее выполнением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D15377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D15377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D15377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D15377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897967" w:rsidRPr="00D15377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D15377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D1537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D1537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D1537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D15377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D15377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D15377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D15377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2E4A92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605779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</w:t>
            </w:r>
            <w:r w:rsidR="00AD7DE6">
              <w:rPr>
                <w:rFonts w:ascii="Times New Roman" w:hAnsi="Times New Roman"/>
                <w:lang w:val="ru-RU"/>
              </w:rPr>
              <w:t>873,6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</w:t>
            </w:r>
            <w:r w:rsidR="00CD1FB5">
              <w:rPr>
                <w:rFonts w:ascii="Times New Roman" w:hAnsi="Times New Roman"/>
                <w:lang w:val="ru-RU"/>
              </w:rPr>
              <w:t>09,5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457</w:t>
            </w:r>
            <w:r w:rsidR="00AD7DE6">
              <w:rPr>
                <w:rFonts w:ascii="Times New Roman" w:hAnsi="Times New Roman"/>
                <w:lang w:val="ru-RU"/>
              </w:rPr>
              <w:t>64,0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AD7D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4692,9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 w:rsidR="00D74AA9"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81172B" w:rsidRPr="00026177" w:rsidRDefault="00901DF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D74AA9" w:rsidRPr="00026177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663</w:t>
            </w:r>
            <w:r w:rsidRPr="00026177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увеличения производства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44265,0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E34F40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44265,0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74AA9" w:rsidRPr="00026177" w:rsidRDefault="00E34F40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AA9" w:rsidRPr="00026177" w:rsidRDefault="00D74AA9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4AA9" w:rsidRPr="00026177" w:rsidRDefault="00D74AA9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E34F40" w:rsidP="00D74AA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vAlign w:val="center"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74AA9" w:rsidRPr="00CA4560" w:rsidTr="00AD7DE6">
        <w:tc>
          <w:tcPr>
            <w:tcW w:w="53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74AA9" w:rsidRPr="009C09CD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44798E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4AA9" w:rsidRPr="00026177" w:rsidRDefault="00D74AA9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</w:tcPr>
          <w:p w:rsidR="00D74AA9" w:rsidRDefault="00D74AA9" w:rsidP="00D74AA9">
            <w:pPr>
              <w:jc w:val="center"/>
            </w:pPr>
            <w:r w:rsidRPr="00FB0A7C"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</w:tcPr>
          <w:p w:rsidR="00D74AA9" w:rsidRDefault="00D74AA9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74AA9" w:rsidRPr="00CA4560" w:rsidRDefault="00D74AA9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D15377" w:rsidTr="008F3D00">
        <w:tc>
          <w:tcPr>
            <w:tcW w:w="534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-хозяйственного производства в Краснодарском крае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1DF4" w:rsidRPr="00026177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026177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026177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5909,5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8F3D00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1DF4" w:rsidRPr="00FE0E52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1DF4" w:rsidRDefault="00901DF4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1DF4" w:rsidRDefault="00901DF4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1DF4" w:rsidRPr="00CA4560" w:rsidTr="004814BF">
        <w:tc>
          <w:tcPr>
            <w:tcW w:w="534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1DF4" w:rsidRPr="009C09CD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1DF4" w:rsidRDefault="00901DF4" w:rsidP="00E95C49">
            <w:pPr>
              <w:jc w:val="center"/>
            </w:pPr>
            <w:r w:rsidRPr="0026038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1DF4" w:rsidRPr="00FE0E52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1DF4" w:rsidRDefault="00901DF4" w:rsidP="00AF15C5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1DF4" w:rsidRPr="00CA4560" w:rsidRDefault="00901DF4" w:rsidP="00AF15C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1DF4" w:rsidRPr="00CA4560" w:rsidRDefault="00901DF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86679,2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82614,2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527F7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D15377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D15377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DA51CF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81938,2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81938,2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дации очагов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итории  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распростра-нения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D15377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ветери</w:t>
            </w:r>
            <w:r w:rsidRPr="00CA4560">
              <w:rPr>
                <w:rFonts w:ascii="Times New Roman" w:hAnsi="Times New Roman"/>
                <w:lang w:val="ru-RU"/>
              </w:rPr>
              <w:t>нарно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</w:t>
            </w:r>
            <w:r w:rsidR="00CD1F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</w:t>
            </w:r>
            <w:r w:rsidR="00CD1F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</w:t>
            </w:r>
            <w:r w:rsidR="00CD1F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4019,</w:t>
            </w:r>
            <w:r w:rsidR="00CD1F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</w:t>
            </w:r>
            <w:r w:rsidR="00CD1F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CA4560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8F3D00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355,7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Итого по основным направлениям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143665,</w:t>
            </w:r>
            <w:r w:rsidR="00571EE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9254</w:t>
            </w:r>
            <w:r w:rsidR="00571EE5"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45857,3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11874,</w:t>
            </w:r>
            <w:r w:rsidR="00571EE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</w:t>
            </w:r>
            <w:r w:rsidR="00571EE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4056,2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12481,8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7818,5</w:t>
            </w:r>
          </w:p>
        </w:tc>
        <w:tc>
          <w:tcPr>
            <w:tcW w:w="1417" w:type="dxa"/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4663,3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bookmarkStart w:id="37" w:name="_GoBack"/>
      <w:bookmarkEnd w:id="37"/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D15377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D1537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D1537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r w:rsidRPr="009D40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консультаций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D15377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D15377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D15377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D15377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тыс.рублей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r w:rsidRPr="00A22C24">
        <w:rPr>
          <w:rFonts w:ascii="Times New Roman" w:hAnsi="Times New Roman"/>
          <w:lang w:val="ru-RU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D1537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D1537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D1537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D1537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D15377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 источники финансирования подпрограммы, в том числе на финансовое обеспечение проектов и(или)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2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2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 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3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D15377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в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по качественному и организованному проведению ремонта сельскохозяйственной техники и ее готовности к весеннее полевым и уборочным работам.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D15377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D15377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r w:rsidRPr="00FE0E52">
        <w:rPr>
          <w:rFonts w:ascii="Times New Roman" w:hAnsi="Times New Roman"/>
        </w:rPr>
        <w:t>труда</w:t>
      </w:r>
      <w:proofErr w:type="spell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D15377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D15377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2. Поощрение механизаторов 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D15377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545903"/>
    <w:rsid w:val="00007326"/>
    <w:rsid w:val="00010F0F"/>
    <w:rsid w:val="00011CF9"/>
    <w:rsid w:val="00014750"/>
    <w:rsid w:val="0002215B"/>
    <w:rsid w:val="00027626"/>
    <w:rsid w:val="00027F10"/>
    <w:rsid w:val="000316DF"/>
    <w:rsid w:val="0004621C"/>
    <w:rsid w:val="00047DD0"/>
    <w:rsid w:val="00052245"/>
    <w:rsid w:val="000717C9"/>
    <w:rsid w:val="000867A6"/>
    <w:rsid w:val="00092B69"/>
    <w:rsid w:val="000955CA"/>
    <w:rsid w:val="000970F5"/>
    <w:rsid w:val="000A19BC"/>
    <w:rsid w:val="000A2071"/>
    <w:rsid w:val="000B4CEF"/>
    <w:rsid w:val="000B6AB2"/>
    <w:rsid w:val="000C0BB4"/>
    <w:rsid w:val="000C0FE2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7122"/>
    <w:rsid w:val="00185BD5"/>
    <w:rsid w:val="00192B1E"/>
    <w:rsid w:val="001A6CE5"/>
    <w:rsid w:val="001C1FEF"/>
    <w:rsid w:val="001D3FDB"/>
    <w:rsid w:val="001E63BD"/>
    <w:rsid w:val="00201F4C"/>
    <w:rsid w:val="00206C8A"/>
    <w:rsid w:val="002105B8"/>
    <w:rsid w:val="00213E03"/>
    <w:rsid w:val="00231D78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85563"/>
    <w:rsid w:val="003A3396"/>
    <w:rsid w:val="003A5AC7"/>
    <w:rsid w:val="003B76A5"/>
    <w:rsid w:val="003B7BB9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9423C"/>
    <w:rsid w:val="00495E3E"/>
    <w:rsid w:val="004A39E6"/>
    <w:rsid w:val="004A3BF3"/>
    <w:rsid w:val="004A773F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D5B47"/>
    <w:rsid w:val="005E09DD"/>
    <w:rsid w:val="005F0625"/>
    <w:rsid w:val="006024D6"/>
    <w:rsid w:val="00605633"/>
    <w:rsid w:val="00605779"/>
    <w:rsid w:val="00612D4F"/>
    <w:rsid w:val="00617EFE"/>
    <w:rsid w:val="00620448"/>
    <w:rsid w:val="006308A3"/>
    <w:rsid w:val="00632153"/>
    <w:rsid w:val="006450F0"/>
    <w:rsid w:val="006455F5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D0CA8"/>
    <w:rsid w:val="006E1A26"/>
    <w:rsid w:val="006F51C4"/>
    <w:rsid w:val="0071008E"/>
    <w:rsid w:val="0073769B"/>
    <w:rsid w:val="00744806"/>
    <w:rsid w:val="00747F6A"/>
    <w:rsid w:val="007620DC"/>
    <w:rsid w:val="00763FAB"/>
    <w:rsid w:val="0076571B"/>
    <w:rsid w:val="0077279F"/>
    <w:rsid w:val="007757AA"/>
    <w:rsid w:val="007925A5"/>
    <w:rsid w:val="00797EA6"/>
    <w:rsid w:val="007B711A"/>
    <w:rsid w:val="007E30DB"/>
    <w:rsid w:val="007E358F"/>
    <w:rsid w:val="007F4027"/>
    <w:rsid w:val="0081172B"/>
    <w:rsid w:val="00814B40"/>
    <w:rsid w:val="00816D6D"/>
    <w:rsid w:val="00817C8C"/>
    <w:rsid w:val="0084710A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D09F1"/>
    <w:rsid w:val="008D1238"/>
    <w:rsid w:val="008E4247"/>
    <w:rsid w:val="008F3D00"/>
    <w:rsid w:val="008F44F6"/>
    <w:rsid w:val="00901DF4"/>
    <w:rsid w:val="00914D96"/>
    <w:rsid w:val="00916840"/>
    <w:rsid w:val="0091739D"/>
    <w:rsid w:val="00935E99"/>
    <w:rsid w:val="00936147"/>
    <w:rsid w:val="0093770D"/>
    <w:rsid w:val="009556F7"/>
    <w:rsid w:val="00963F35"/>
    <w:rsid w:val="00965402"/>
    <w:rsid w:val="00971C08"/>
    <w:rsid w:val="009910F7"/>
    <w:rsid w:val="009B3E06"/>
    <w:rsid w:val="009D40DB"/>
    <w:rsid w:val="009D5145"/>
    <w:rsid w:val="009D553E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7650"/>
    <w:rsid w:val="00AB0F0E"/>
    <w:rsid w:val="00AB65D5"/>
    <w:rsid w:val="00AD5F64"/>
    <w:rsid w:val="00AD7DE6"/>
    <w:rsid w:val="00AE21DF"/>
    <w:rsid w:val="00AE7403"/>
    <w:rsid w:val="00B04E02"/>
    <w:rsid w:val="00B169CD"/>
    <w:rsid w:val="00B350CA"/>
    <w:rsid w:val="00B40BA9"/>
    <w:rsid w:val="00B538E5"/>
    <w:rsid w:val="00B54F4C"/>
    <w:rsid w:val="00B553C7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2DE7"/>
    <w:rsid w:val="00C175C0"/>
    <w:rsid w:val="00C27336"/>
    <w:rsid w:val="00C276BC"/>
    <w:rsid w:val="00C31F2D"/>
    <w:rsid w:val="00C62337"/>
    <w:rsid w:val="00C63D54"/>
    <w:rsid w:val="00C71E84"/>
    <w:rsid w:val="00C720DA"/>
    <w:rsid w:val="00C75D7B"/>
    <w:rsid w:val="00C82CE9"/>
    <w:rsid w:val="00C90E4B"/>
    <w:rsid w:val="00C92F0E"/>
    <w:rsid w:val="00CA2318"/>
    <w:rsid w:val="00CA78F0"/>
    <w:rsid w:val="00CC0417"/>
    <w:rsid w:val="00CC649D"/>
    <w:rsid w:val="00CD1FB5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15377"/>
    <w:rsid w:val="00D2664E"/>
    <w:rsid w:val="00D30A7B"/>
    <w:rsid w:val="00D37C61"/>
    <w:rsid w:val="00D56E13"/>
    <w:rsid w:val="00D71775"/>
    <w:rsid w:val="00D74AA9"/>
    <w:rsid w:val="00D77E3E"/>
    <w:rsid w:val="00D97AFC"/>
    <w:rsid w:val="00DA3053"/>
    <w:rsid w:val="00DA51CF"/>
    <w:rsid w:val="00DA6D1C"/>
    <w:rsid w:val="00DB0F1F"/>
    <w:rsid w:val="00DB1F38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17229"/>
    <w:rsid w:val="00E200C2"/>
    <w:rsid w:val="00E30688"/>
    <w:rsid w:val="00E34F40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95C49"/>
    <w:rsid w:val="00EB2CD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207A"/>
    <w:rsid w:val="00FD4984"/>
    <w:rsid w:val="00FE56C5"/>
    <w:rsid w:val="00FF0AAD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51309.0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hyperlink" Target="garantF1://70273192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hyperlink" Target="garantF1://23841354.0" TargetMode="Externa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2B30-CE65-4A84-ACDD-4E1502DF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11867</Words>
  <Characters>67648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2</cp:revision>
  <cp:lastPrinted>2018-06-28T05:22:00Z</cp:lastPrinted>
  <dcterms:created xsi:type="dcterms:W3CDTF">2021-07-07T05:41:00Z</dcterms:created>
  <dcterms:modified xsi:type="dcterms:W3CDTF">2021-07-07T05:41:00Z</dcterms:modified>
</cp:coreProperties>
</file>