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12декабря 2019г.</w:t>
      </w:r>
      <w:r w:rsidR="00B40BA9">
        <w:rPr>
          <w:rFonts w:ascii="Times New Roman" w:hAnsi="Times New Roman"/>
          <w:bCs/>
          <w:sz w:val="28"/>
          <w:szCs w:val="28"/>
          <w:lang w:val="ru-RU"/>
        </w:rPr>
        <w:t>, 26.08.2020г</w:t>
      </w:r>
      <w:proofErr w:type="gramStart"/>
      <w:r w:rsidR="00B40BA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B40BA9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Объемы и источники финансирования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B40BA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49491,6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B40BA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96 355,4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47 871,2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675258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B40BA9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B40BA9">
              <w:rPr>
                <w:rFonts w:ascii="Times New Roman" w:hAnsi="Times New Roman"/>
                <w:b/>
                <w:bCs/>
                <w:kern w:val="32"/>
                <w:lang w:val="ru-RU"/>
              </w:rPr>
              <w:t>49491</w:t>
            </w: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B40B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96355</w:t>
            </w:r>
            <w:r w:rsidR="007E358F">
              <w:rPr>
                <w:rFonts w:ascii="Times New Roman" w:hAnsi="Times New Roman"/>
                <w:b/>
                <w:bCs/>
                <w:kern w:val="32"/>
                <w:lang w:val="ru-RU"/>
              </w:rPr>
              <w:t>,4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47871,2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0717C9">
              <w:rPr>
                <w:rFonts w:ascii="Times New Roman" w:hAnsi="Times New Roman"/>
                <w:lang w:val="ru-RU"/>
              </w:rPr>
              <w:t>7621,2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717C9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12793,5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0717C9">
              <w:rPr>
                <w:rFonts w:ascii="Times New Roman" w:hAnsi="Times New Roman"/>
                <w:lang w:val="ru-RU"/>
              </w:rPr>
              <w:t>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35785">
              <w:rPr>
                <w:rFonts w:ascii="Times New Roman" w:hAnsi="Times New Roman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0717C9" w:rsidRPr="002C12FD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35785">
              <w:rPr>
                <w:rFonts w:ascii="Times New Roman" w:hAnsi="Times New Roman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0717C9" w:rsidRPr="002C12FD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35785">
              <w:rPr>
                <w:rFonts w:ascii="Times New Roman" w:hAnsi="Times New Roman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0717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7947,1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0717C9" w:rsidRPr="002C12FD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52903,8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5925,9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45777,9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89977,0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85912,0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4517,5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4517,5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сфере реализации муниципальной программы «Развитие сельского хозяйства и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B40BA9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малым формам хозяйствования в агропромышленном комплексе субсидий на возмещение части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40BA9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B40BA9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0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B40BA9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B40BA9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B40BA9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B40BA9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участие в семинарах, форумах,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B40BA9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B40BA9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B40BA9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B40BA9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B40BA9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B40BA9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ких мероприятий против особо опасных заболеваний, общих для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B40BA9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B40BA9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B40BA9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52903,8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45777,9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B40BA9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89977,0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85912,0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324A2B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324A2B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324A2B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B40BA9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B40BA9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вам, индивидуальным предпринимателям ведущим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7925A5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B73300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B73300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B73300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B40BA9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4517,5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147491,6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96355,4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45871,2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17421,2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12793,5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122A0F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6B51BD"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066FC9"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122A0F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6B51BD"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066FC9"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122A0F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6B51BD"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066FC9"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37" w:name="_GoBack"/>
      <w:bookmarkEnd w:id="37"/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B40BA9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B40BA9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B40BA9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B40BA9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B40BA9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B40BA9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B40BA9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B40BA9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B40BA9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B40BA9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B40BA9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B40BA9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B40BA9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B40BA9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B40BA9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B40BA9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B40BA9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B40BA9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0F0F"/>
    <w:rsid w:val="00011CF9"/>
    <w:rsid w:val="0002215B"/>
    <w:rsid w:val="00027626"/>
    <w:rsid w:val="00027F10"/>
    <w:rsid w:val="000316DF"/>
    <w:rsid w:val="0004621C"/>
    <w:rsid w:val="00047DD0"/>
    <w:rsid w:val="00052245"/>
    <w:rsid w:val="000717C9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24D6"/>
    <w:rsid w:val="00605633"/>
    <w:rsid w:val="00612D4F"/>
    <w:rsid w:val="00617EFE"/>
    <w:rsid w:val="00620448"/>
    <w:rsid w:val="006308A3"/>
    <w:rsid w:val="00632153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D0CA8"/>
    <w:rsid w:val="006E1A26"/>
    <w:rsid w:val="006F51C4"/>
    <w:rsid w:val="0071008E"/>
    <w:rsid w:val="0073769B"/>
    <w:rsid w:val="00747F6A"/>
    <w:rsid w:val="007620DC"/>
    <w:rsid w:val="00763FAB"/>
    <w:rsid w:val="0076571B"/>
    <w:rsid w:val="0077279F"/>
    <w:rsid w:val="007757AA"/>
    <w:rsid w:val="007925A5"/>
    <w:rsid w:val="00797EA6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D09F1"/>
    <w:rsid w:val="008D1238"/>
    <w:rsid w:val="008E4247"/>
    <w:rsid w:val="008F3D00"/>
    <w:rsid w:val="008F44F6"/>
    <w:rsid w:val="00914D96"/>
    <w:rsid w:val="00916840"/>
    <w:rsid w:val="0091739D"/>
    <w:rsid w:val="00935E99"/>
    <w:rsid w:val="00936147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7DE9"/>
    <w:rsid w:val="00B75E9D"/>
    <w:rsid w:val="00B83F3A"/>
    <w:rsid w:val="00B8625A"/>
    <w:rsid w:val="00B9730C"/>
    <w:rsid w:val="00BA425A"/>
    <w:rsid w:val="00BB3189"/>
    <w:rsid w:val="00BC74B9"/>
    <w:rsid w:val="00BD018D"/>
    <w:rsid w:val="00BF321F"/>
    <w:rsid w:val="00C12DE7"/>
    <w:rsid w:val="00C175C0"/>
    <w:rsid w:val="00C27336"/>
    <w:rsid w:val="00C276BC"/>
    <w:rsid w:val="00C31F2D"/>
    <w:rsid w:val="00C62337"/>
    <w:rsid w:val="00C63D54"/>
    <w:rsid w:val="00C720DA"/>
    <w:rsid w:val="00C75D7B"/>
    <w:rsid w:val="00C90E4B"/>
    <w:rsid w:val="00C92F0E"/>
    <w:rsid w:val="00CA78F0"/>
    <w:rsid w:val="00CC0417"/>
    <w:rsid w:val="00CC649D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56E13"/>
    <w:rsid w:val="00D71775"/>
    <w:rsid w:val="00D97AFC"/>
    <w:rsid w:val="00DA3053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207A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F2EF-3581-443F-92DC-CE22748F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44</Pages>
  <Words>11859</Words>
  <Characters>67600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4</cp:revision>
  <cp:lastPrinted>2018-06-28T05:22:00Z</cp:lastPrinted>
  <dcterms:created xsi:type="dcterms:W3CDTF">2020-08-12T11:55:00Z</dcterms:created>
  <dcterms:modified xsi:type="dcterms:W3CDTF">2020-09-02T05:07:00Z</dcterms:modified>
</cp:coreProperties>
</file>