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63B" w:rsidRPr="00217496" w:rsidRDefault="001A363B" w:rsidP="00E507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Муниципальная программа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муниципального образования Кавказский район Информационное общество муниципального образования Кавказский район"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(утв. </w:t>
      </w:r>
      <w:hyperlink w:anchor="sub_0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муниципального образования Кавказский район от 14 ноября 2014 г. N 1776</w:t>
      </w:r>
      <w:r w:rsidR="00E507CA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изменениями и дополнениями от 25 февраля, 26 марта, 18 августа, 28 октября</w:t>
      </w:r>
      <w:r w:rsidR="00AA109F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14 декабря, 29</w:t>
      </w:r>
      <w:r w:rsidR="00E507CA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декабря 2015 г</w:t>
      </w:r>
      <w:r w:rsidR="00AA109F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ода, 20 апреля, 23 июня, 2 сентября, 16 сентября, 24 ноября 2016 года</w:t>
      </w:r>
      <w:r w:rsidR="009B3006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18 января 2017года</w:t>
      </w:r>
      <w:proofErr w:type="gramEnd"/>
      <w:r w:rsidR="00D23C74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gramStart"/>
      <w:r w:rsidR="00D23C74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 апреля 2017, 22</w:t>
      </w:r>
      <w:r w:rsidR="00207470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июня 2017 года</w:t>
      </w:r>
      <w:r w:rsidR="008C75B8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24 октября 2017 года</w:t>
      </w:r>
      <w:r w:rsidR="001D0FB1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13 декабря 2017 года</w:t>
      </w:r>
      <w:r w:rsidR="00623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19 февраля 2018 года</w:t>
      </w:r>
      <w:r w:rsidR="00702D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24 мая 2018 года</w:t>
      </w:r>
      <w:r w:rsidR="00905D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21 июня 2018 года</w:t>
      </w:r>
      <w:r w:rsidR="00BB04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13 августа 2018 года</w:t>
      </w:r>
      <w:r w:rsidR="00A939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16 октября 2018 года, 21 ноября 2018 года</w:t>
      </w:r>
      <w:r w:rsidR="005365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11 февраля 2019 года</w:t>
      </w:r>
      <w:r w:rsidR="00D816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 апреля 2019 года</w:t>
      </w:r>
      <w:r w:rsidR="000F29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,21 июня 2019 года</w:t>
      </w:r>
      <w:r w:rsidR="00532D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23 сентября 2019 года</w:t>
      </w:r>
      <w:r w:rsidR="00E84A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12 декабря 2019 года</w:t>
      </w:r>
      <w:r w:rsidR="00B268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B26867" w:rsidRPr="007702A1">
        <w:rPr>
          <w:rFonts w:ascii="Times New Roman" w:hAnsi="Times New Roman" w:cs="Times New Roman"/>
          <w:bCs/>
          <w:sz w:val="28"/>
          <w:szCs w:val="28"/>
        </w:rPr>
        <w:t>20</w:t>
      </w:r>
      <w:proofErr w:type="gramEnd"/>
      <w:r w:rsidR="00B26867" w:rsidRPr="007702A1">
        <w:rPr>
          <w:rFonts w:ascii="Times New Roman" w:hAnsi="Times New Roman" w:cs="Times New Roman"/>
          <w:bCs/>
          <w:sz w:val="28"/>
          <w:szCs w:val="28"/>
        </w:rPr>
        <w:t xml:space="preserve"> апреля 2020 года, 19 июня 2020 года</w:t>
      </w:r>
      <w:r w:rsidR="009E5375">
        <w:rPr>
          <w:rFonts w:ascii="Times New Roman" w:hAnsi="Times New Roman" w:cs="Times New Roman"/>
          <w:bCs/>
          <w:sz w:val="28"/>
          <w:szCs w:val="28"/>
        </w:rPr>
        <w:t>, 26 августа 2020 года</w:t>
      </w:r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63B" w:rsidRPr="00217496" w:rsidRDefault="001A363B" w:rsidP="001A363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Паспорт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муниципальной программы муниципального образования Кавказский район "Информационное общество муниципального образования Кавказский район"</w:t>
      </w:r>
    </w:p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574" w:type="dxa"/>
        <w:tblInd w:w="108" w:type="dxa"/>
        <w:tblLayout w:type="fixed"/>
        <w:tblLook w:val="0000"/>
      </w:tblPr>
      <w:tblGrid>
        <w:gridCol w:w="3807"/>
        <w:gridCol w:w="5767"/>
      </w:tblGrid>
      <w:tr w:rsidR="00E84A17" w:rsidRPr="00217496" w:rsidTr="008E17B5"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76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информационной политики администрации муниципального образования Кавказский район</w:t>
            </w:r>
          </w:p>
        </w:tc>
      </w:tr>
      <w:tr w:rsidR="00E84A17" w:rsidRPr="00217496" w:rsidTr="008E17B5"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76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отсутствуют</w:t>
            </w:r>
          </w:p>
        </w:tc>
      </w:tr>
      <w:tr w:rsidR="00E84A17" w:rsidRPr="00217496" w:rsidTr="008E17B5"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6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предусмотрены</w:t>
            </w:r>
          </w:p>
        </w:tc>
      </w:tr>
      <w:tr w:rsidR="00E84A17" w:rsidRPr="00217496" w:rsidTr="008E17B5"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76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предусмотрены</w:t>
            </w:r>
          </w:p>
        </w:tc>
      </w:tr>
      <w:tr w:rsidR="00E84A17" w:rsidRPr="00217496" w:rsidTr="008E17B5"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sub_10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Цели муниципальной программы</w:t>
            </w:r>
            <w:bookmarkEnd w:id="0"/>
          </w:p>
        </w:tc>
        <w:tc>
          <w:tcPr>
            <w:tcW w:w="576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информационной </w:t>
            </w: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Кавказский район и реализации прав граждан на получение полной и объективной информации о важнейших событиях</w:t>
            </w:r>
          </w:p>
        </w:tc>
      </w:tr>
      <w:tr w:rsidR="00E84A17" w:rsidRPr="00217496" w:rsidTr="008E17B5">
        <w:tc>
          <w:tcPr>
            <w:tcW w:w="380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sub_20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муниципальной программы</w:t>
            </w:r>
            <w:bookmarkEnd w:id="1"/>
          </w:p>
        </w:tc>
        <w:tc>
          <w:tcPr>
            <w:tcW w:w="5767" w:type="dxa"/>
          </w:tcPr>
          <w:p w:rsidR="00E84A17" w:rsidRPr="00217496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доступа к информации о деятельности органов местного самоуправления муниципального образования Кавказский район, освещение важнейших событий с использованием районных и краевых периодических изданий, телевидения, радио, сети "Интернет" и других </w:t>
            </w: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информационных способов</w:t>
            </w:r>
          </w:p>
        </w:tc>
      </w:tr>
      <w:tr w:rsidR="00E84A17" w:rsidRPr="00217496" w:rsidTr="008E17B5">
        <w:tc>
          <w:tcPr>
            <w:tcW w:w="3807" w:type="dxa"/>
          </w:tcPr>
          <w:p w:rsidR="00E84A17" w:rsidRPr="00C30EAF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EAF">
              <w:rPr>
                <w:rFonts w:ascii="Times New Roman" w:hAnsi="Times New Roman"/>
                <w:sz w:val="28"/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5767" w:type="dxa"/>
          </w:tcPr>
          <w:p w:rsidR="00E84A17" w:rsidRPr="00C30EAF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EAF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E84A17" w:rsidRPr="00217496" w:rsidTr="008E17B5">
        <w:tc>
          <w:tcPr>
            <w:tcW w:w="3807" w:type="dxa"/>
          </w:tcPr>
          <w:p w:rsidR="00E84A17" w:rsidRPr="00C30EAF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EAF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67" w:type="dxa"/>
          </w:tcPr>
          <w:p w:rsidR="00E84A17" w:rsidRPr="00C30EAF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EAF">
              <w:rPr>
                <w:rFonts w:ascii="Times New Roman" w:hAnsi="Times New Roman"/>
                <w:sz w:val="28"/>
                <w:szCs w:val="28"/>
              </w:rPr>
              <w:t>Срок реализации: 2015 - 202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30EAF">
              <w:rPr>
                <w:rFonts w:ascii="Times New Roman" w:hAnsi="Times New Roman"/>
                <w:sz w:val="28"/>
                <w:szCs w:val="28"/>
              </w:rPr>
              <w:t xml:space="preserve"> годы, </w:t>
            </w:r>
          </w:p>
          <w:p w:rsidR="00E84A17" w:rsidRPr="00C30EAF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EA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30EAF">
              <w:rPr>
                <w:rFonts w:ascii="Times New Roman" w:hAnsi="Times New Roman"/>
                <w:sz w:val="28"/>
                <w:szCs w:val="28"/>
              </w:rPr>
              <w:t xml:space="preserve"> этап: 2015-2019 годы, </w:t>
            </w:r>
          </w:p>
          <w:p w:rsidR="00E84A17" w:rsidRPr="00C30EAF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EA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30EAF">
              <w:rPr>
                <w:rFonts w:ascii="Times New Roman" w:hAnsi="Times New Roman"/>
                <w:sz w:val="28"/>
                <w:szCs w:val="28"/>
              </w:rPr>
              <w:t xml:space="preserve"> этап: 2020-2024 годы  </w:t>
            </w:r>
          </w:p>
          <w:p w:rsidR="00E84A17" w:rsidRPr="00C30EAF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EAF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E84A17" w:rsidRPr="00217496" w:rsidTr="008E17B5">
        <w:tc>
          <w:tcPr>
            <w:tcW w:w="3807" w:type="dxa"/>
          </w:tcPr>
          <w:p w:rsidR="00E84A17" w:rsidRPr="00C30EAF" w:rsidRDefault="00E84A17" w:rsidP="008E17B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EAF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муниципальной программы, в том числе на финансовое обеспечение проектов и (или) программ </w:t>
            </w:r>
          </w:p>
        </w:tc>
        <w:tc>
          <w:tcPr>
            <w:tcW w:w="5767" w:type="dxa"/>
          </w:tcPr>
          <w:p w:rsidR="00E84A17" w:rsidRPr="00C30EAF" w:rsidRDefault="00E84A17" w:rsidP="008E17B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EAF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муниципальной программы  за счет средств местного бюджета составляет </w:t>
            </w:r>
            <w:r w:rsidR="00B26867" w:rsidRPr="007702A1">
              <w:rPr>
                <w:rFonts w:ascii="Times New Roman" w:hAnsi="Times New Roman"/>
                <w:sz w:val="28"/>
                <w:szCs w:val="28"/>
              </w:rPr>
              <w:t>20</w:t>
            </w:r>
            <w:r w:rsidR="00D767BD">
              <w:rPr>
                <w:rFonts w:ascii="Times New Roman" w:hAnsi="Times New Roman"/>
                <w:sz w:val="28"/>
                <w:szCs w:val="28"/>
              </w:rPr>
              <w:t>8</w:t>
            </w:r>
            <w:r w:rsidRPr="007702A1">
              <w:rPr>
                <w:rFonts w:ascii="Times New Roman" w:hAnsi="Times New Roman"/>
                <w:sz w:val="28"/>
                <w:szCs w:val="28"/>
              </w:rPr>
              <w:t>17,3</w:t>
            </w:r>
            <w:r w:rsidRPr="00C30EAF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4A17" w:rsidRPr="00C30EAF" w:rsidRDefault="00E84A17" w:rsidP="008E17B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8D8" w:rsidRPr="00217496" w:rsidRDefault="004F18D8" w:rsidP="004F18D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" w:name="sub_1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Характеристика текущего состояния и прогноз развития сферы "Телевидение, радиовещание, печать и другие средства массовой информации" муниципального образования Кавказский район</w:t>
      </w:r>
    </w:p>
    <w:bookmarkEnd w:id="2"/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 Российской Федерации определены права каждого гражданина на ознакомление с документами и материалами, непосредственно затрагивающими его права и свободы. В свою очередь, органы местного самоуправления обязаны создавать доступные для каждого жителя района информационные ресурсы по вопросам своей деятельности и деятельности подведомственных организаций, в пределах своей компетенции осуществлять массовое информационное обеспечение населения по вопросам безопасности, реализации на территории района конституционных прав, свобод и обязанностей граждан, а так же и по другим вопросам, представляющим общественный интерес. В связи с этим возникает необходимость вести целенаправленную работу по информированию жителей района о деятельности и решениях органов местного самоуправления, разъяснять стратегию социально-экономического развития муниципалитета, вести работу по информационному сопровождению социально значимых проектов, реализуемых на территории муниципального образования.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2006 году вступил в действие закон о местном самоуправлении, который, прежде всего, предполагает самостоятельное и под свою ответственность решение населением вопросов местного значения, как непосредственно, так и через органы местного самоуправления в тех формах, которые определены </w:t>
      </w:r>
      <w:hyperlink r:id="rId6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Кавказский район.</w:t>
      </w:r>
    </w:p>
    <w:p w:rsidR="004F18D8" w:rsidRPr="00217496" w:rsidRDefault="008D6CC9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proofErr w:type="gramStart"/>
        <w:r w:rsidR="004F18D8"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="004F18D8"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9 февраля 2009 года N 8-ФЗ "Об обеспечении доступа к информации о деятельности государственных органов и органов местного самоуправления" предусмотрено, что органы местного самоуправления обязаны обеспечить реализацию прав граждан и организаций на доступ к информации о деятельности органов местного </w:t>
      </w:r>
      <w:r w:rsidR="004F18D8"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самоуправления, а также создать условия для обеспечения гласности и открытости принимаемых решений.</w:t>
      </w:r>
      <w:proofErr w:type="gramEnd"/>
      <w:r w:rsidR="004F18D8"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этого необходимо проведение целенаправленной информационной политики, направленной на более широкое освещение своей деятельности.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Очевидно, что положительный эффект от деятельности органов местного самоуправления муниципального образования Кавказский район существенно снижается, если эта деятельность не обеспечена соответствующей информационной поддержкой.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 этой связи возникает необходимость своевременного оповещения жителей, опубликования и обнародования (доведение до всеобщего сведения) официальной информации, используя печатные и электронные СМИ. Не вызывает сомнений, что любая официальная информация требует комментариев, разъяснений и предоставления возможности для жителей оперативно получать ответы на вопросы. Сегодня медийное пространство района представлено печатным изданием (</w:t>
      </w:r>
      <w:r w:rsidR="0003766A"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ООО</w:t>
      </w: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"Редакция газеты "Огни Кубани") и электронным СМИ (МАУ "Муниципальная телерадиокомпания "Кропоткин").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Программой предусмотрен комплексный подход в создании системы информационного обеспечения населения района на основе анализа взаимодействия администрации района и СМИ, с учетом максимального охвата различных категорий граждан, возможности оперативного и объективного предоставления качественной информации.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тем, что масштаб реформ затрагивает все стороны жизни гражданского общества и существенным образом изменяет привычную систему взаимоотношений, становится особенно востребованной работа СМИ по оперативному информированию населения и проведению необходимых разъяснений в телепередачах и на страницах газет.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предусматривает оптимальный перечень передач, публикаций в различных СМИ, содержание которых направлено на повышение престижа Кавказского района на территории Краснодарского края.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Ожидаемые конечные результаты будут заключаться в повышении социальной значимости и эффективности решений, принимаемых органами местного самоуправления муниципального образования Кавказский район;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 формировании позитивного общественного мнения о деятельности органов местного самоуправления муниципального образования Кавказский район через оперативное информирование населения района о деятельности органов местного самоуправления и краевой власти. Повышение общественно-политической, экономической и правовой грамотности населения и привлечение населения к участию в решении районных проблем.</w:t>
      </w:r>
    </w:p>
    <w:p w:rsidR="0017266B" w:rsidRPr="00217496" w:rsidRDefault="0017266B" w:rsidP="0017266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" w:name="sub_2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bookmarkEnd w:id="3"/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Целью муниципальной Программы является: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обеспечение информационной открытости деятельности администрации представительных и исполнительных органов местного самоуправления муниципального образования Кавказский район и реализации прав граждан на получение полной и объективной информации о важнейших общественно-политических, социально-культурных событиях в районе.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целью поставлена задача Программы: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доступа к информации о деятельности администрации и Совета муниципального образования Кавказский район, освещение важнейших общественно-политических, социально-культурных событий района с использованием районных и краевых периодических изданий, телевидения, радио, сети "Интернет" и других информационных способов.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Цели, задачи и целевые показатели, сроки и </w:t>
      </w:r>
      <w:proofErr w:type="gramStart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этапы реализации муниципальной Программы, позволяющие оценить эффективность ее реализации по годам приведены</w:t>
      </w:r>
      <w:proofErr w:type="gramEnd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w:anchor="sub_1100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1</w:t>
        </w:r>
      </w:hyperlink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настоящей Программе.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9E2" w:rsidRPr="00217496" w:rsidRDefault="008D19E2" w:rsidP="008D19E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" w:name="sub_3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4"/>
    <w:p w:rsidR="008D19E2" w:rsidRPr="00217496" w:rsidRDefault="008D19E2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9E2" w:rsidRPr="00217496" w:rsidRDefault="008D19E2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Подпрограммы и ведомственные целевые программы в муниципальной программе "Информационное общество муниципального образования Кавказский район" не предусмотрены. Перечень основных мероприятий муниципальной программы представлен в </w:t>
      </w:r>
      <w:hyperlink w:anchor="sub_1200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2</w:t>
        </w:r>
      </w:hyperlink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0FDF" w:rsidRPr="00217496" w:rsidRDefault="00A10FDF" w:rsidP="00A10FD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Обоснование ресурсного обеспечения муниципальной программы</w:t>
      </w:r>
    </w:p>
    <w:p w:rsidR="00A10FDF" w:rsidRPr="00217496" w:rsidRDefault="00E84A17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EAF">
        <w:rPr>
          <w:rFonts w:ascii="Times New Roman" w:hAnsi="Times New Roman"/>
          <w:sz w:val="28"/>
          <w:szCs w:val="28"/>
        </w:rPr>
        <w:t>Ресурсное обеспечение муниципальной программы представлено в приложении № 3 к муниципальной программе.</w:t>
      </w:r>
    </w:p>
    <w:p w:rsidR="00DD780B" w:rsidRPr="00217496" w:rsidRDefault="00DD780B" w:rsidP="00DD78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5" w:name="sub_5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5"/>
    <w:p w:rsidR="00DD780B" w:rsidRPr="00217496" w:rsidRDefault="00DD780B" w:rsidP="00DD7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780B" w:rsidRPr="00217496" w:rsidRDefault="00DD780B" w:rsidP="00DD7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 программой не предусмотрен.</w:t>
      </w:r>
    </w:p>
    <w:p w:rsidR="000366BC" w:rsidRPr="00217496" w:rsidRDefault="000366BC" w:rsidP="000366B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" w:name="sub_6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bookmarkEnd w:id="6"/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Факторами риска невыполнения муниципальной программы являются:</w:t>
      </w:r>
    </w:p>
    <w:p w:rsidR="000366BC" w:rsidRPr="00217496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 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lastRenderedPageBreak/>
        <w:t>целевых показателей, приведут к нарушению сроков выполнения мероприятий, отрицательной динамике значений показателей;</w:t>
      </w:r>
    </w:p>
    <w:p w:rsidR="000366BC" w:rsidRPr="00217496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 -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0366BC" w:rsidRPr="00217496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-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7" w:name="sub_7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7"/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sub_8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8. Методика оценки эффективности реализации муниципальной программы</w:t>
      </w:r>
    </w:p>
    <w:bookmarkEnd w:id="8"/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09F" w:rsidRPr="00217496" w:rsidRDefault="00D110A8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174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Оценка эффективности реализации муниципальной программы муниципального образования Кавказский район «Информационное общество муниципального образования Кавказский район»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</w:t>
      </w:r>
      <w:proofErr w:type="gramEnd"/>
      <w:r w:rsidRPr="002174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</w:t>
      </w:r>
    </w:p>
    <w:p w:rsidR="00FD5050" w:rsidRPr="00217496" w:rsidRDefault="00FD5050" w:rsidP="00FD50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sub_9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контроль за</w:t>
      </w:r>
      <w:proofErr w:type="gramEnd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ее выполнением</w:t>
      </w:r>
    </w:p>
    <w:bookmarkEnd w:id="9"/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Текущее управление муниципальной программой Кавказского района "Информационное общество муниципального образования Кавказский район" осуществляет ее координатор, который: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организует реализацию муниципальной программы, координацию деятельности участников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иные полномочия, установленные муниципальной программой.</w:t>
      </w:r>
    </w:p>
    <w:p w:rsidR="00A5789F" w:rsidRPr="00217496" w:rsidRDefault="001854ED" w:rsidP="00A5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5789F" w:rsidRPr="00217496">
        <w:rPr>
          <w:rFonts w:ascii="Times New Roman" w:hAnsi="Times New Roman"/>
          <w:color w:val="000000" w:themeColor="text1"/>
          <w:sz w:val="28"/>
          <w:szCs w:val="28"/>
        </w:rPr>
        <w:t>Координатор муниципальной программы ежегодно, не                           позднее 31 декабря текущего финансового года, утверждает план реализации муниципальной программы на очередной год (далее - план реализации муниципальной программы) по форме согласно приложению № 3 к муниципальной программе.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документальное подтверждение результата.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Для основных мероприятий: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  <w:t>направленных на внедрение новых управленческих механизмов в сфере реализации муниципальной программы,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направленных на обеспечение реализации муниципальных функций,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функций;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В процессе реализации муниципальной программы ее координатор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 w:rsidRPr="00217496">
        <w:rPr>
          <w:rFonts w:ascii="Times New Roman" w:hAnsi="Times New Roman"/>
          <w:color w:val="000000" w:themeColor="text1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A5789F" w:rsidRPr="00217496" w:rsidRDefault="00A5789F" w:rsidP="00A5789F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A5789F" w:rsidRPr="00217496" w:rsidRDefault="00A5789F" w:rsidP="00A5789F">
      <w:pPr>
        <w:pStyle w:val="a3"/>
        <w:spacing w:after="0" w:line="240" w:lineRule="auto"/>
        <w:ind w:left="39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Доклад о ходе реализации муниципальной программы должен содержать: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средств местного бюджета;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lastRenderedPageBreak/>
        <w:t>оценку эффективности реализации муниципальной программы.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217496">
        <w:rPr>
          <w:rFonts w:ascii="Times New Roman" w:hAnsi="Times New Roman"/>
          <w:color w:val="000000" w:themeColor="text1"/>
          <w:sz w:val="28"/>
          <w:szCs w:val="28"/>
        </w:rPr>
        <w:t>факторов</w:t>
      </w:r>
      <w:proofErr w:type="gramEnd"/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1451E3" w:rsidRPr="00217496" w:rsidSect="00E456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«ПРИЛОЖЕНИЕ № 1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C30EAF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от 14.11.2014 № 1776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7702A1" w:rsidRPr="00C30EAF" w:rsidRDefault="007702A1" w:rsidP="007702A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ЦЕЛИ, ЗАДАЧИ И ЦЕЛЕВЫЕ ПОКАЗАТЕЛИ МУНИЦИПАЛЬНОЙ ПРОГРАММЫ</w:t>
      </w:r>
    </w:p>
    <w:p w:rsidR="007702A1" w:rsidRPr="00C30EAF" w:rsidRDefault="007702A1" w:rsidP="007702A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«Информационное общество муниципального образования Кавказский район»</w:t>
      </w:r>
    </w:p>
    <w:p w:rsidR="007702A1" w:rsidRPr="00802C71" w:rsidRDefault="007702A1" w:rsidP="007702A1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0"/>
        <w:tblW w:w="1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652"/>
        <w:gridCol w:w="992"/>
        <w:gridCol w:w="709"/>
        <w:gridCol w:w="959"/>
        <w:gridCol w:w="958"/>
        <w:gridCol w:w="851"/>
        <w:gridCol w:w="1026"/>
        <w:gridCol w:w="992"/>
        <w:gridCol w:w="951"/>
        <w:gridCol w:w="843"/>
        <w:gridCol w:w="1059"/>
        <w:gridCol w:w="1134"/>
        <w:gridCol w:w="925"/>
      </w:tblGrid>
      <w:tr w:rsidR="007702A1" w:rsidRPr="00802C71" w:rsidTr="008E17B5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7702A1" w:rsidRPr="00802C71" w:rsidRDefault="007702A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702A1" w:rsidRPr="00802C71" w:rsidRDefault="007702A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2C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02C7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02C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7702A1" w:rsidRPr="00802C71" w:rsidRDefault="007702A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802C71">
              <w:rPr>
                <w:rFonts w:ascii="Times New Roman" w:hAnsi="Times New Roman"/>
                <w:sz w:val="24"/>
                <w:szCs w:val="24"/>
              </w:rPr>
              <w:t>целевого</w:t>
            </w:r>
            <w:proofErr w:type="gramEnd"/>
          </w:p>
          <w:p w:rsidR="007702A1" w:rsidRPr="00802C71" w:rsidRDefault="007702A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7702A1" w:rsidRPr="00802C71" w:rsidRDefault="007702A1" w:rsidP="008E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Един</w:t>
            </w:r>
          </w:p>
          <w:p w:rsidR="007702A1" w:rsidRPr="00802C71" w:rsidRDefault="007702A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2C71">
              <w:rPr>
                <w:rFonts w:ascii="Times New Roman" w:hAnsi="Times New Roman"/>
                <w:sz w:val="24"/>
                <w:szCs w:val="24"/>
              </w:rPr>
              <w:t>измер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7702A1" w:rsidRPr="00802C71" w:rsidRDefault="007702A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2A1" w:rsidRPr="00802C71" w:rsidRDefault="007702A1" w:rsidP="008E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Ста</w:t>
            </w:r>
          </w:p>
          <w:p w:rsidR="007702A1" w:rsidRPr="00802C71" w:rsidRDefault="007702A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2C71">
              <w:rPr>
                <w:rFonts w:ascii="Times New Roman" w:hAnsi="Times New Roman"/>
                <w:sz w:val="24"/>
                <w:szCs w:val="24"/>
              </w:rPr>
              <w:t>тус</w:t>
            </w:r>
            <w:proofErr w:type="spellEnd"/>
          </w:p>
        </w:tc>
        <w:tc>
          <w:tcPr>
            <w:tcW w:w="9698" w:type="dxa"/>
            <w:gridSpan w:val="10"/>
            <w:tcBorders>
              <w:top w:val="single" w:sz="4" w:space="0" w:color="auto"/>
            </w:tcBorders>
            <w:vAlign w:val="center"/>
          </w:tcPr>
          <w:p w:rsidR="007702A1" w:rsidRPr="00802C71" w:rsidRDefault="007702A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7702A1" w:rsidRPr="00802C71" w:rsidTr="008E17B5">
        <w:trPr>
          <w:trHeight w:val="625"/>
          <w:tblHeader/>
        </w:trPr>
        <w:tc>
          <w:tcPr>
            <w:tcW w:w="709" w:type="dxa"/>
            <w:vMerge/>
          </w:tcPr>
          <w:p w:rsidR="007702A1" w:rsidRPr="00802C71" w:rsidRDefault="007702A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7702A1" w:rsidRPr="00802C71" w:rsidRDefault="007702A1" w:rsidP="008E17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702A1" w:rsidRPr="00802C71" w:rsidRDefault="007702A1" w:rsidP="008E17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702A1" w:rsidRPr="00802C71" w:rsidRDefault="007702A1" w:rsidP="008E17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7702A1" w:rsidRPr="00802C71" w:rsidRDefault="007702A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7702A1" w:rsidRPr="00802C71" w:rsidRDefault="007702A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7702A1" w:rsidRPr="00802C71" w:rsidRDefault="007702A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7702A1" w:rsidRPr="00802C71" w:rsidRDefault="007702A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702A1" w:rsidRPr="00802C71" w:rsidRDefault="007702A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7702A1" w:rsidRPr="00802C71" w:rsidRDefault="007702A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7702A1" w:rsidRPr="00802C71" w:rsidRDefault="007702A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7702A1" w:rsidRPr="00802C71" w:rsidRDefault="007702A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702A1" w:rsidRPr="00802C71" w:rsidRDefault="007702A1" w:rsidP="008E17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7702A1" w:rsidRPr="00802C71" w:rsidRDefault="007702A1" w:rsidP="008E17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7702A1" w:rsidRPr="00802C71" w:rsidRDefault="007702A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059" w:type="dxa"/>
            <w:tcBorders>
              <w:top w:val="single" w:sz="4" w:space="0" w:color="auto"/>
            </w:tcBorders>
          </w:tcPr>
          <w:p w:rsidR="007702A1" w:rsidRPr="00802C71" w:rsidRDefault="007702A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702A1" w:rsidRPr="00802C71" w:rsidRDefault="007702A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702A1" w:rsidRPr="00802C71" w:rsidRDefault="007702A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7702A1" w:rsidRPr="00802C71" w:rsidRDefault="007702A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7702A1" w:rsidRPr="00802C71" w:rsidTr="008E17B5">
        <w:trPr>
          <w:trHeight w:val="253"/>
          <w:tblHeader/>
        </w:trPr>
        <w:tc>
          <w:tcPr>
            <w:tcW w:w="709" w:type="dxa"/>
            <w:vAlign w:val="center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  <w:vAlign w:val="center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  <w:vAlign w:val="center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  <w:vAlign w:val="center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6" w:type="dxa"/>
            <w:vAlign w:val="center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1" w:type="dxa"/>
            <w:vAlign w:val="center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  <w:vAlign w:val="center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59" w:type="dxa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" w:type="dxa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702A1" w:rsidRPr="00802C71" w:rsidTr="008E17B5">
        <w:trPr>
          <w:trHeight w:val="259"/>
          <w:tblHeader/>
        </w:trPr>
        <w:tc>
          <w:tcPr>
            <w:tcW w:w="709" w:type="dxa"/>
          </w:tcPr>
          <w:p w:rsidR="007702A1" w:rsidRPr="00802C71" w:rsidRDefault="007702A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1" w:type="dxa"/>
            <w:gridSpan w:val="13"/>
          </w:tcPr>
          <w:p w:rsidR="007702A1" w:rsidRPr="00802C71" w:rsidRDefault="007702A1" w:rsidP="008E17B5">
            <w:pPr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 xml:space="preserve">Цель: Обеспечение информационной </w:t>
            </w:r>
            <w:proofErr w:type="gramStart"/>
            <w:r w:rsidRPr="00802C71">
              <w:rPr>
                <w:rFonts w:ascii="Times New Roman" w:hAnsi="Times New Roman"/>
                <w:sz w:val="24"/>
                <w:szCs w:val="24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802C71">
              <w:rPr>
                <w:rFonts w:ascii="Times New Roman" w:hAnsi="Times New Roman"/>
                <w:sz w:val="24"/>
                <w:szCs w:val="24"/>
              </w:rPr>
              <w:t xml:space="preserve"> Кавказский район и реализации прав граждан на получение  полной и объективной информации о важнейших событиях</w:t>
            </w:r>
          </w:p>
        </w:tc>
      </w:tr>
      <w:tr w:rsidR="007702A1" w:rsidRPr="00802C71" w:rsidTr="008E17B5">
        <w:trPr>
          <w:trHeight w:val="928"/>
          <w:tblHeader/>
        </w:trPr>
        <w:tc>
          <w:tcPr>
            <w:tcW w:w="709" w:type="dxa"/>
          </w:tcPr>
          <w:p w:rsidR="007702A1" w:rsidRPr="00802C71" w:rsidRDefault="007702A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51" w:type="dxa"/>
            <w:gridSpan w:val="13"/>
          </w:tcPr>
          <w:p w:rsidR="007702A1" w:rsidRPr="00802C71" w:rsidRDefault="007702A1" w:rsidP="008E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Задача: Обеспечение доступа к информации о деятельности органов местного самоуправления  муниципального  образования Кавказский район, освещение важнейших событий с использованием районных и краевых периодических изданий, телевидения, радио, сети «Интернет» и других информационных способов</w:t>
            </w:r>
          </w:p>
          <w:p w:rsidR="007702A1" w:rsidRPr="00802C71" w:rsidRDefault="007702A1" w:rsidP="008E17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A1" w:rsidRPr="00802C71" w:rsidTr="008E17B5">
        <w:trPr>
          <w:trHeight w:val="259"/>
          <w:tblHeader/>
        </w:trPr>
        <w:tc>
          <w:tcPr>
            <w:tcW w:w="709" w:type="dxa"/>
          </w:tcPr>
          <w:p w:rsidR="007702A1" w:rsidRPr="00802C71" w:rsidRDefault="007702A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51" w:type="dxa"/>
            <w:gridSpan w:val="13"/>
            <w:hideMark/>
          </w:tcPr>
          <w:p w:rsidR="007702A1" w:rsidRPr="00802C71" w:rsidRDefault="007702A1" w:rsidP="008E1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Основное мероприятие 1: 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</w:tr>
      <w:tr w:rsidR="007702A1" w:rsidRPr="00802C71" w:rsidTr="008E17B5">
        <w:trPr>
          <w:trHeight w:val="461"/>
          <w:tblHeader/>
        </w:trPr>
        <w:tc>
          <w:tcPr>
            <w:tcW w:w="709" w:type="dxa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652" w:type="dxa"/>
          </w:tcPr>
          <w:p w:rsidR="007702A1" w:rsidRPr="00802C71" w:rsidRDefault="007702A1" w:rsidP="008E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 xml:space="preserve">Целевые показатели: </w:t>
            </w:r>
          </w:p>
          <w:p w:rsidR="007702A1" w:rsidRPr="00802C71" w:rsidRDefault="007702A1" w:rsidP="008E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02A1" w:rsidRPr="00802C71" w:rsidRDefault="007702A1" w:rsidP="008E1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702A1" w:rsidRPr="00802C71" w:rsidRDefault="007702A1" w:rsidP="008E1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A1" w:rsidRPr="00802C71" w:rsidTr="008E17B5">
        <w:trPr>
          <w:trHeight w:val="736"/>
          <w:tblHeader/>
        </w:trPr>
        <w:tc>
          <w:tcPr>
            <w:tcW w:w="709" w:type="dxa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7702A1" w:rsidRPr="00802C71" w:rsidRDefault="007702A1" w:rsidP="008E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 xml:space="preserve">количество информации о деятельности органов местного самоуправления </w:t>
            </w:r>
          </w:p>
          <w:p w:rsidR="007702A1" w:rsidRPr="00802C71" w:rsidRDefault="007702A1" w:rsidP="008E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МО Кавказский район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2A1" w:rsidRPr="00802C71" w:rsidRDefault="007702A1" w:rsidP="008E1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2C7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802C71">
              <w:rPr>
                <w:rFonts w:ascii="Times New Roman" w:hAnsi="Times New Roman"/>
                <w:sz w:val="24"/>
                <w:szCs w:val="24"/>
              </w:rPr>
              <w:t>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2A1" w:rsidRPr="00802C71" w:rsidRDefault="007702A1" w:rsidP="008E1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370715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333713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78984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65375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56626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72259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12048</w:t>
            </w:r>
          </w:p>
        </w:tc>
        <w:tc>
          <w:tcPr>
            <w:tcW w:w="1059" w:type="dxa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12048</w:t>
            </w:r>
          </w:p>
        </w:tc>
        <w:tc>
          <w:tcPr>
            <w:tcW w:w="1134" w:type="dxa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12048</w:t>
            </w:r>
          </w:p>
        </w:tc>
        <w:tc>
          <w:tcPr>
            <w:tcW w:w="925" w:type="dxa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12048</w:t>
            </w:r>
          </w:p>
        </w:tc>
      </w:tr>
      <w:tr w:rsidR="007702A1" w:rsidRPr="00802C71" w:rsidTr="008E17B5">
        <w:trPr>
          <w:trHeight w:val="736"/>
          <w:tblHeader/>
        </w:trPr>
        <w:tc>
          <w:tcPr>
            <w:tcW w:w="709" w:type="dxa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7702A1" w:rsidRPr="00802C71" w:rsidRDefault="007702A1" w:rsidP="008E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количество опубликованных муниципальных правовых актов в печатном издании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2A1" w:rsidRPr="00802C71" w:rsidRDefault="007702A1" w:rsidP="008E1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802C7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7702A1" w:rsidRPr="00802C71" w:rsidRDefault="007702A1" w:rsidP="008E1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126544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223076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320512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76923</w:t>
            </w:r>
          </w:p>
        </w:tc>
        <w:tc>
          <w:tcPr>
            <w:tcW w:w="1059" w:type="dxa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76923</w:t>
            </w:r>
          </w:p>
        </w:tc>
        <w:tc>
          <w:tcPr>
            <w:tcW w:w="1134" w:type="dxa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76923</w:t>
            </w:r>
          </w:p>
        </w:tc>
        <w:tc>
          <w:tcPr>
            <w:tcW w:w="925" w:type="dxa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76923</w:t>
            </w:r>
          </w:p>
        </w:tc>
      </w:tr>
      <w:tr w:rsidR="007702A1" w:rsidRPr="00802C71" w:rsidTr="008E17B5">
        <w:trPr>
          <w:trHeight w:val="736"/>
          <w:tblHeader/>
        </w:trPr>
        <w:tc>
          <w:tcPr>
            <w:tcW w:w="709" w:type="dxa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7702A1" w:rsidRPr="00802C71" w:rsidRDefault="007702A1" w:rsidP="008E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количество опубликованных муниципальных правовых актов в сетевом издании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2A1" w:rsidRPr="00802C71" w:rsidRDefault="007702A1" w:rsidP="008E1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2A1" w:rsidRPr="00802C71" w:rsidRDefault="007702A1" w:rsidP="008E17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59" w:type="dxa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25" w:type="dxa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7702A1" w:rsidRPr="00802C71" w:rsidTr="008E17B5">
        <w:trPr>
          <w:trHeight w:val="250"/>
          <w:tblHeader/>
        </w:trPr>
        <w:tc>
          <w:tcPr>
            <w:tcW w:w="709" w:type="dxa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33" w:type="dxa"/>
            <w:gridSpan w:val="10"/>
            <w:shd w:val="clear" w:color="auto" w:fill="auto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Основное мероприятие 2: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1059" w:type="dxa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A1" w:rsidRPr="00802C71" w:rsidTr="008E17B5">
        <w:trPr>
          <w:trHeight w:val="250"/>
          <w:tblHeader/>
        </w:trPr>
        <w:tc>
          <w:tcPr>
            <w:tcW w:w="709" w:type="dxa"/>
          </w:tcPr>
          <w:p w:rsidR="007702A1" w:rsidRPr="00802C71" w:rsidRDefault="007702A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652" w:type="dxa"/>
          </w:tcPr>
          <w:p w:rsidR="007702A1" w:rsidRPr="00802C71" w:rsidRDefault="007702A1" w:rsidP="008E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Целевой показатель: Количество информационных сюжетов  на телевидении, радио, в сети «Интернет»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2A1" w:rsidRPr="00802C71" w:rsidRDefault="007702A1" w:rsidP="008E1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2A1" w:rsidRPr="00802C71" w:rsidRDefault="007702A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7702A1" w:rsidRPr="00802C71" w:rsidRDefault="007702A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7702A1" w:rsidRPr="00802C71" w:rsidRDefault="007702A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2A1" w:rsidRPr="00802C71" w:rsidRDefault="007702A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7702A1" w:rsidRPr="00802C71" w:rsidRDefault="007702A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2A1" w:rsidRPr="00802C71" w:rsidRDefault="007702A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7702A1" w:rsidRPr="00802C71" w:rsidRDefault="007702A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</w:t>
            </w:r>
            <w:r w:rsidR="008E17B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7702A1" w:rsidRPr="00802C71" w:rsidRDefault="007702A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59" w:type="dxa"/>
            <w:vAlign w:val="center"/>
          </w:tcPr>
          <w:p w:rsidR="007702A1" w:rsidRPr="00802C71" w:rsidRDefault="007702A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vAlign w:val="center"/>
          </w:tcPr>
          <w:p w:rsidR="007702A1" w:rsidRPr="00802C71" w:rsidRDefault="007702A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25" w:type="dxa"/>
            <w:vAlign w:val="center"/>
          </w:tcPr>
          <w:p w:rsidR="007702A1" w:rsidRPr="00802C71" w:rsidRDefault="007702A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</w:tbl>
    <w:p w:rsidR="007702A1" w:rsidRPr="004C1C12" w:rsidRDefault="007702A1" w:rsidP="007702A1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7702A1" w:rsidRDefault="007702A1" w:rsidP="007702A1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7702A1" w:rsidRDefault="007702A1" w:rsidP="007702A1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7702A1" w:rsidRPr="00E108A9" w:rsidRDefault="007702A1" w:rsidP="007702A1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E108A9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7702A1" w:rsidRDefault="007702A1" w:rsidP="007702A1">
      <w:pPr>
        <w:rPr>
          <w:rFonts w:ascii="Times New Roman" w:hAnsi="Times New Roman"/>
          <w:color w:val="000000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 xml:space="preserve">  С.В.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08A9">
        <w:rPr>
          <w:rFonts w:ascii="Times New Roman" w:hAnsi="Times New Roman"/>
          <w:color w:val="000000"/>
          <w:sz w:val="24"/>
          <w:szCs w:val="24"/>
        </w:rPr>
        <w:t>Филатова</w:t>
      </w:r>
    </w:p>
    <w:p w:rsidR="00DF6502" w:rsidRDefault="00DF6502" w:rsidP="00DF6502">
      <w:pPr>
        <w:rPr>
          <w:rFonts w:ascii="Times New Roman" w:hAnsi="Times New Roman"/>
          <w:color w:val="000000"/>
          <w:sz w:val="24"/>
          <w:szCs w:val="24"/>
        </w:rPr>
      </w:pP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lastRenderedPageBreak/>
        <w:t xml:space="preserve">«ПРИЛОЖЕНИЕ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4C1C1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от 14.11.2014 № 1776</w:t>
      </w:r>
    </w:p>
    <w:p w:rsidR="00DF6502" w:rsidRPr="00E108A9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41FF7" w:rsidRPr="00E108A9" w:rsidRDefault="00B41FF7" w:rsidP="00B41FF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Перечень основных мероприятий муниципальной программы муниципального образования Кавказский район</w:t>
      </w:r>
    </w:p>
    <w:p w:rsidR="00B41FF7" w:rsidRPr="00D335E3" w:rsidRDefault="00B41FF7" w:rsidP="00B41FF7">
      <w:pPr>
        <w:widowControl w:val="0"/>
        <w:shd w:val="clear" w:color="auto" w:fill="FFFFFF"/>
        <w:suppressAutoHyphens/>
        <w:spacing w:after="0" w:line="240" w:lineRule="auto"/>
        <w:ind w:left="1069"/>
        <w:jc w:val="center"/>
        <w:rPr>
          <w:rFonts w:ascii="Times New Roman" w:hAnsi="Times New Roman"/>
          <w:color w:val="000000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«Информационное общество муниципального образования Кавказский район» </w:t>
      </w:r>
    </w:p>
    <w:p w:rsidR="00B41FF7" w:rsidRPr="00D335E3" w:rsidRDefault="00B41FF7" w:rsidP="00B41FF7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15182" w:type="dxa"/>
        <w:tblInd w:w="94" w:type="dxa"/>
        <w:tblLayout w:type="fixed"/>
        <w:tblLook w:val="04A0"/>
      </w:tblPr>
      <w:tblGrid>
        <w:gridCol w:w="540"/>
        <w:gridCol w:w="3018"/>
        <w:gridCol w:w="709"/>
        <w:gridCol w:w="1134"/>
        <w:gridCol w:w="1134"/>
        <w:gridCol w:w="1134"/>
        <w:gridCol w:w="1134"/>
        <w:gridCol w:w="1134"/>
        <w:gridCol w:w="1134"/>
        <w:gridCol w:w="1984"/>
        <w:gridCol w:w="2127"/>
      </w:tblGrid>
      <w:tr w:rsidR="00B41FF7" w:rsidRPr="002B1F71" w:rsidTr="008E17B5">
        <w:trPr>
          <w:trHeight w:val="7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2D2D2D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FF7" w:rsidRPr="0051294C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Стату</w:t>
            </w:r>
            <w:r w:rsidRPr="0051294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реали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 xml:space="preserve">зации </w:t>
            </w:r>
            <w:proofErr w:type="spellStart"/>
            <w:proofErr w:type="gramStart"/>
            <w:r w:rsidRPr="002B1F71">
              <w:rPr>
                <w:rFonts w:ascii="Times New Roman" w:hAnsi="Times New Roman"/>
                <w:sz w:val="24"/>
                <w:szCs w:val="24"/>
              </w:rPr>
              <w:t>прог-раммы</w:t>
            </w:r>
            <w:proofErr w:type="spellEnd"/>
            <w:proofErr w:type="gramEnd"/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Непосредственный результат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B41FF7" w:rsidRPr="002B1F71" w:rsidTr="008E17B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112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F71">
              <w:rPr>
                <w:rFonts w:ascii="Times New Roman" w:hAnsi="Times New Roman"/>
                <w:sz w:val="24"/>
                <w:szCs w:val="24"/>
              </w:rPr>
              <w:t>федер</w:t>
            </w:r>
            <w:proofErr w:type="spellEnd"/>
            <w:r w:rsidRPr="002B1F71">
              <w:rPr>
                <w:rFonts w:ascii="Times New Roman" w:hAnsi="Times New Roman"/>
                <w:sz w:val="24"/>
                <w:szCs w:val="24"/>
              </w:rPr>
              <w:t>.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небюд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жетные</w:t>
            </w:r>
            <w:proofErr w:type="spellEnd"/>
            <w:proofErr w:type="gramEnd"/>
            <w:r w:rsidRPr="002B1F71">
              <w:rPr>
                <w:rFonts w:ascii="Times New Roman" w:hAnsi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B41FF7" w:rsidRPr="00A52868" w:rsidTr="008E17B5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1FF7" w:rsidRPr="00A52868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1FF7" w:rsidRPr="00A52868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41FF7" w:rsidRPr="00A52868" w:rsidRDefault="00B41FF7" w:rsidP="008E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A52868" w:rsidRDefault="00B41FF7" w:rsidP="008E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BF7E2F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10987,3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BF7E2F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BF7E2F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BF7E2F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10987,3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41FF7" w:rsidRPr="00A52868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A52868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Информа-ционное</w:t>
            </w:r>
            <w:proofErr w:type="spellEnd"/>
            <w:proofErr w:type="gramEnd"/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обеспечение населения о деятельности органов местного самоуправления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C30EAF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 Администрация муниципального образования Кавказский район</w:t>
            </w:r>
          </w:p>
        </w:tc>
      </w:tr>
      <w:tr w:rsidR="00B41FF7" w:rsidRPr="002B1F71" w:rsidTr="008E17B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BF7E2F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BF7E2F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BF7E2F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BF7E2F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4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B41FF7" w:rsidRPr="002B1F71" w:rsidRDefault="00B41FF7" w:rsidP="008E17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B41FF7" w:rsidRPr="002B1F71" w:rsidTr="008E17B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41FF7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 П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убликация информации о деятельности органов местного самоуправления МО Кавказский район в средствах печати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BF7E2F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7 907,3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BF7E2F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BF7E2F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BF7E2F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7 907,3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BF7E2F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BF7E2F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BF7E2F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BF7E2F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41FF7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1.2. П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убликация муниципальных правовых актов органов местного самоуправления МО Кавказский район в печатном издании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BF7E2F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2 680,0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BF7E2F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BF7E2F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BF7E2F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2 680,0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49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125D5E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580</w:t>
            </w: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BF7E2F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BF7E2F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BF7E2F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BF7E2F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125D5E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125D5E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B41FF7" w:rsidRPr="002B1F71" w:rsidRDefault="00B41FF7" w:rsidP="008E17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B41FF7" w:rsidRPr="002B1F71" w:rsidRDefault="00B41FF7" w:rsidP="008E17B5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B41FF7" w:rsidRPr="002B1F71" w:rsidRDefault="00B41FF7" w:rsidP="008E17B5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B41FF7" w:rsidRPr="002B1F71" w:rsidRDefault="00B41FF7" w:rsidP="008E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color w:val="000000"/>
              </w:rPr>
              <w:t> </w:t>
            </w:r>
          </w:p>
          <w:p w:rsidR="00B41FF7" w:rsidRPr="002B1F71" w:rsidRDefault="00B41FF7" w:rsidP="008E17B5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B41FF7" w:rsidRPr="002B1F71" w:rsidRDefault="00B41FF7" w:rsidP="008E17B5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B41FF7" w:rsidRPr="002B1F71" w:rsidRDefault="00B41FF7" w:rsidP="008E17B5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B41FF7" w:rsidRPr="002B1F71" w:rsidRDefault="00B41FF7" w:rsidP="008E17B5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B41FF7" w:rsidRPr="002B1F71" w:rsidRDefault="00B41FF7" w:rsidP="008E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color w:val="000000"/>
              </w:rPr>
              <w:lastRenderedPageBreak/>
              <w:t> </w:t>
            </w:r>
          </w:p>
        </w:tc>
      </w:tr>
      <w:tr w:rsidR="00B41FF7" w:rsidRPr="002B1F71" w:rsidTr="008E17B5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41FF7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 П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убликация муниципальных правовых актов органов местного самоуправления МО Кавказский район в сетевом издании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125D5E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125D5E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  <w:p w:rsidR="00B41FF7" w:rsidRPr="00125D5E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125D5E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125D5E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125D5E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125D5E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125D5E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125D5E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125D5E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125D5E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41FF7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125D5E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125D5E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A52868" w:rsidTr="008E17B5">
        <w:trPr>
          <w:trHeight w:val="49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A52868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A52868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41FF7" w:rsidRPr="00A52868" w:rsidRDefault="00B41FF7" w:rsidP="008E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A52868" w:rsidRDefault="00B41FF7" w:rsidP="008E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BF7E2F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8E17B5">
              <w:rPr>
                <w:rFonts w:ascii="Times New Roman" w:hAnsi="Times New Roman"/>
                <w:sz w:val="24"/>
                <w:szCs w:val="24"/>
              </w:rPr>
              <w:t>8</w:t>
            </w:r>
            <w:r w:rsidRPr="00BF7E2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BF7E2F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BF7E2F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BF7E2F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8E17B5">
              <w:rPr>
                <w:rFonts w:ascii="Times New Roman" w:hAnsi="Times New Roman"/>
                <w:sz w:val="24"/>
                <w:szCs w:val="24"/>
              </w:rPr>
              <w:t>8</w:t>
            </w:r>
            <w:r w:rsidRPr="00BF7E2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BF7E2F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A52868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A52868" w:rsidRDefault="00B41FF7" w:rsidP="008E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1 650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650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BF7E2F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8E17B5">
              <w:rPr>
                <w:rFonts w:ascii="Times New Roman" w:hAnsi="Times New Roman"/>
                <w:sz w:val="24"/>
                <w:szCs w:val="24"/>
              </w:rPr>
              <w:t>5</w:t>
            </w:r>
            <w:r w:rsidRPr="00BF7E2F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BF7E2F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BF7E2F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BF7E2F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8E17B5">
              <w:rPr>
                <w:rFonts w:ascii="Times New Roman" w:hAnsi="Times New Roman"/>
                <w:sz w:val="24"/>
                <w:szCs w:val="24"/>
              </w:rPr>
              <w:t>5</w:t>
            </w:r>
            <w:r w:rsidRPr="00BF7E2F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B41FF7" w:rsidRPr="002B1F71" w:rsidRDefault="00B41FF7" w:rsidP="008E17B5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B41FF7" w:rsidRPr="002B1F71" w:rsidRDefault="00B41FF7" w:rsidP="008E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color w:val="000000"/>
              </w:rPr>
              <w:t> </w:t>
            </w:r>
          </w:p>
          <w:p w:rsidR="00B41FF7" w:rsidRPr="002B1F71" w:rsidRDefault="00B41FF7" w:rsidP="008E17B5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B41FF7" w:rsidRPr="002B1F71" w:rsidRDefault="00B41FF7" w:rsidP="008E17B5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B41FF7" w:rsidRPr="002B1F71" w:rsidRDefault="00B41FF7" w:rsidP="008E17B5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B41FF7" w:rsidRPr="002B1F71" w:rsidRDefault="00B41FF7" w:rsidP="008E17B5">
            <w:pPr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B41FF7" w:rsidRPr="002B1F71" w:rsidRDefault="00B41FF7" w:rsidP="008E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color w:val="000000"/>
              </w:rPr>
              <w:t> 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41FF7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8E17B5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BF7E2F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8E17B5">
              <w:rPr>
                <w:rFonts w:ascii="Times New Roman" w:hAnsi="Times New Roman"/>
                <w:sz w:val="24"/>
                <w:szCs w:val="24"/>
              </w:rPr>
              <w:t>8</w:t>
            </w:r>
            <w:r w:rsidRPr="00BF7E2F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BF7E2F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BF7E2F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BF7E2F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8E17B5">
              <w:rPr>
                <w:rFonts w:ascii="Times New Roman" w:hAnsi="Times New Roman"/>
                <w:sz w:val="24"/>
                <w:szCs w:val="24"/>
              </w:rPr>
              <w:t>8</w:t>
            </w:r>
            <w:r w:rsidRPr="00BF7E2F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7" w:rsidRPr="002B1F71" w:rsidRDefault="00B41FF7" w:rsidP="008E17B5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7" w:rsidRPr="002B1F71" w:rsidRDefault="00B41FF7" w:rsidP="008E17B5">
            <w:pPr>
              <w:rPr>
                <w:color w:val="000000"/>
              </w:rPr>
            </w:pPr>
          </w:p>
        </w:tc>
      </w:tr>
      <w:tr w:rsidR="00B41FF7" w:rsidRPr="002B1F71" w:rsidTr="008E17B5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7" w:rsidRPr="002B1F71" w:rsidRDefault="00B41FF7" w:rsidP="008E17B5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7" w:rsidRPr="002B1F71" w:rsidRDefault="00B41FF7" w:rsidP="008E17B5">
            <w:pPr>
              <w:rPr>
                <w:color w:val="000000"/>
              </w:rPr>
            </w:pPr>
          </w:p>
        </w:tc>
      </w:tr>
      <w:tr w:rsidR="00B41FF7" w:rsidRPr="002B1F71" w:rsidTr="008E17B5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7" w:rsidRPr="002B1F71" w:rsidRDefault="00B41FF7" w:rsidP="008E17B5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7" w:rsidRPr="002B1F71" w:rsidRDefault="00B41FF7" w:rsidP="008E17B5">
            <w:pPr>
              <w:rPr>
                <w:color w:val="000000"/>
              </w:rPr>
            </w:pPr>
          </w:p>
        </w:tc>
      </w:tr>
      <w:tr w:rsidR="00B41FF7" w:rsidRPr="002B1F71" w:rsidTr="008E17B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7" w:rsidRPr="002B1F71" w:rsidRDefault="00B41FF7" w:rsidP="008E17B5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7" w:rsidRPr="002B1F71" w:rsidRDefault="00B41FF7" w:rsidP="008E17B5">
            <w:pPr>
              <w:rPr>
                <w:color w:val="000000"/>
              </w:rPr>
            </w:pPr>
          </w:p>
        </w:tc>
      </w:tr>
      <w:tr w:rsidR="00B41FF7" w:rsidRPr="002B1F71" w:rsidTr="008E17B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7" w:rsidRPr="002B1F71" w:rsidRDefault="00B41FF7" w:rsidP="008E17B5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7" w:rsidRPr="002B1F71" w:rsidRDefault="00B41FF7" w:rsidP="008E17B5">
            <w:pPr>
              <w:rPr>
                <w:color w:val="000000"/>
              </w:rPr>
            </w:pPr>
          </w:p>
        </w:tc>
      </w:tr>
      <w:tr w:rsidR="00B41FF7" w:rsidRPr="002B1F71" w:rsidTr="008E17B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3 170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7" w:rsidRPr="002B1F71" w:rsidRDefault="00B41FF7" w:rsidP="008E17B5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7" w:rsidRPr="002B1F71" w:rsidRDefault="00B41FF7" w:rsidP="008E17B5">
            <w:pPr>
              <w:rPr>
                <w:color w:val="000000"/>
              </w:rPr>
            </w:pPr>
          </w:p>
        </w:tc>
      </w:tr>
      <w:tr w:rsidR="00B41FF7" w:rsidRPr="002B1F71" w:rsidTr="008E17B5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BF7E2F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8E17B5">
              <w:rPr>
                <w:rFonts w:ascii="Times New Roman" w:hAnsi="Times New Roman"/>
                <w:sz w:val="24"/>
                <w:szCs w:val="24"/>
              </w:rPr>
              <w:t>5</w:t>
            </w:r>
            <w:r w:rsidRPr="00BF7E2F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BF7E2F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BF7E2F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BF7E2F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8E17B5">
              <w:rPr>
                <w:rFonts w:ascii="Times New Roman" w:hAnsi="Times New Roman"/>
                <w:sz w:val="24"/>
                <w:szCs w:val="24"/>
              </w:rPr>
              <w:t>5</w:t>
            </w:r>
            <w:r w:rsidRPr="00BF7E2F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7" w:rsidRPr="002B1F71" w:rsidRDefault="00B41FF7" w:rsidP="008E17B5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7" w:rsidRPr="002B1F71" w:rsidRDefault="00B41FF7" w:rsidP="008E17B5">
            <w:pPr>
              <w:rPr>
                <w:color w:val="000000"/>
              </w:rPr>
            </w:pPr>
          </w:p>
        </w:tc>
      </w:tr>
      <w:tr w:rsidR="00B41FF7" w:rsidRPr="002B1F71" w:rsidTr="008E17B5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color w:val="000000"/>
              </w:rPr>
            </w:pPr>
          </w:p>
        </w:tc>
      </w:tr>
      <w:tr w:rsidR="00B41FF7" w:rsidRPr="002B1F71" w:rsidTr="008E17B5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color w:val="000000"/>
              </w:rPr>
            </w:pPr>
          </w:p>
        </w:tc>
      </w:tr>
      <w:tr w:rsidR="00B41FF7" w:rsidRPr="002B1F71" w:rsidTr="008E17B5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color w:val="000000"/>
              </w:rPr>
            </w:pPr>
          </w:p>
        </w:tc>
      </w:tr>
      <w:tr w:rsidR="00B41FF7" w:rsidRPr="002B1F71" w:rsidTr="008E17B5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41FF7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8E17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7" w:rsidRPr="002B1F71" w:rsidRDefault="00B41FF7" w:rsidP="008E17B5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B41FF7" w:rsidRPr="00E108A9" w:rsidRDefault="00B41FF7" w:rsidP="00B41FF7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E108A9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DF6502" w:rsidRPr="00C30EAF" w:rsidRDefault="00B41FF7" w:rsidP="008E17B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>С.В.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08A9">
        <w:rPr>
          <w:rFonts w:ascii="Times New Roman" w:hAnsi="Times New Roman"/>
          <w:color w:val="000000"/>
          <w:sz w:val="24"/>
          <w:szCs w:val="24"/>
        </w:rPr>
        <w:t>Филатова</w:t>
      </w:r>
      <w:r w:rsidR="00DF6502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DF650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4C1C1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от 14.11.2014 № 1776</w:t>
      </w:r>
    </w:p>
    <w:p w:rsidR="00DF6502" w:rsidRDefault="00DF6502" w:rsidP="00DF650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99"/>
        <w:gridCol w:w="2854"/>
        <w:gridCol w:w="1843"/>
        <w:gridCol w:w="1842"/>
        <w:gridCol w:w="1701"/>
        <w:gridCol w:w="1560"/>
        <w:gridCol w:w="1559"/>
        <w:gridCol w:w="1594"/>
      </w:tblGrid>
      <w:tr w:rsidR="002268C1" w:rsidRPr="006004A1" w:rsidTr="008E17B5"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2268C1" w:rsidRPr="006004A1" w:rsidRDefault="002268C1" w:rsidP="008E17B5">
            <w:pPr>
              <w:spacing w:before="108" w:after="108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68C1" w:rsidRDefault="002268C1" w:rsidP="008E17B5">
            <w:pPr>
              <w:widowControl w:val="0"/>
              <w:shd w:val="clear" w:color="auto" w:fill="FFFFFF"/>
              <w:suppressAutoHyphens/>
              <w:spacing w:after="0" w:line="240" w:lineRule="auto"/>
              <w:ind w:left="10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6699">
              <w:rPr>
                <w:rFonts w:ascii="Times New Roman" w:hAnsi="Times New Roman"/>
                <w:bCs/>
                <w:sz w:val="24"/>
                <w:szCs w:val="24"/>
              </w:rPr>
              <w:t xml:space="preserve">Обоснование </w:t>
            </w:r>
          </w:p>
          <w:p w:rsidR="002268C1" w:rsidRPr="00EC6699" w:rsidRDefault="002268C1" w:rsidP="008E17B5">
            <w:pPr>
              <w:widowControl w:val="0"/>
              <w:shd w:val="clear" w:color="auto" w:fill="FFFFFF"/>
              <w:suppressAutoHyphens/>
              <w:spacing w:after="0" w:line="240" w:lineRule="auto"/>
              <w:ind w:left="10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6699">
              <w:rPr>
                <w:rFonts w:ascii="Times New Roman" w:hAnsi="Times New Roman"/>
                <w:bCs/>
                <w:sz w:val="24"/>
                <w:szCs w:val="24"/>
              </w:rPr>
              <w:t xml:space="preserve">ресурсного обеспечения муниципальной программы муниципального образования Кавказский район </w:t>
            </w:r>
            <w:r w:rsidRPr="00EC6699">
              <w:rPr>
                <w:rFonts w:ascii="Times New Roman" w:hAnsi="Times New Roman"/>
                <w:color w:val="000000"/>
                <w:sz w:val="24"/>
                <w:szCs w:val="24"/>
              </w:rPr>
              <w:t>«Информационное общество муниципального образования Кавказский район</w:t>
            </w:r>
          </w:p>
          <w:p w:rsidR="002268C1" w:rsidRPr="006004A1" w:rsidRDefault="002268C1" w:rsidP="008E17B5">
            <w:pPr>
              <w:widowControl w:val="0"/>
              <w:shd w:val="clear" w:color="auto" w:fill="FFFFFF"/>
              <w:suppressAutoHyphens/>
              <w:spacing w:after="0" w:line="240" w:lineRule="auto"/>
              <w:ind w:left="10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268C1" w:rsidRPr="00802C71" w:rsidTr="008E17B5">
        <w:trPr>
          <w:trHeight w:val="445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8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C1" w:rsidRPr="00802C71" w:rsidRDefault="002268C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2268C1" w:rsidRPr="00802C71" w:rsidTr="008E17B5">
        <w:trPr>
          <w:trHeight w:val="397"/>
        </w:trPr>
        <w:tc>
          <w:tcPr>
            <w:tcW w:w="425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C1" w:rsidRPr="00802C71" w:rsidRDefault="002268C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2268C1" w:rsidRPr="00802C71" w:rsidTr="008E17B5">
        <w:trPr>
          <w:trHeight w:val="800"/>
        </w:trPr>
        <w:tc>
          <w:tcPr>
            <w:tcW w:w="425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C1" w:rsidRPr="00802C71" w:rsidRDefault="002268C1" w:rsidP="008E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2268C1" w:rsidRPr="00802C71" w:rsidTr="008E17B5">
        <w:trPr>
          <w:trHeight w:val="221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268C1" w:rsidRPr="00802C71" w:rsidTr="008E17B5">
        <w:trPr>
          <w:trHeight w:val="397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Общий объем финансирования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</w:t>
            </w:r>
            <w:r w:rsidR="008E17B5">
              <w:rPr>
                <w:rFonts w:ascii="Times New Roman" w:hAnsi="Times New Roman"/>
                <w:sz w:val="24"/>
                <w:szCs w:val="24"/>
              </w:rPr>
              <w:t>8</w:t>
            </w:r>
            <w:r w:rsidRPr="00802C71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</w:t>
            </w:r>
            <w:r w:rsidR="008E17B5">
              <w:rPr>
                <w:rFonts w:ascii="Times New Roman" w:hAnsi="Times New Roman"/>
                <w:sz w:val="24"/>
                <w:szCs w:val="24"/>
              </w:rPr>
              <w:t>8</w:t>
            </w:r>
            <w:r w:rsidRPr="00802C71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8E17B5">
        <w:trPr>
          <w:trHeight w:val="397"/>
        </w:trPr>
        <w:tc>
          <w:tcPr>
            <w:tcW w:w="4253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2600,0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2600,0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8E17B5"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2767,3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2767,3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8E17B5"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2780,0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2780,0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8E17B5"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2800,0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2800,0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8E17B5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3170,0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3170,0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8E17B5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8E17B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8E17B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8E17B5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8E17B5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8E17B5">
        <w:trPr>
          <w:trHeight w:val="58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8E17B5">
        <w:trPr>
          <w:trHeight w:val="330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8E17B5">
        <w:trPr>
          <w:trHeight w:val="397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Основное мероприятие №1</w:t>
            </w:r>
            <w:r w:rsidRPr="00802C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02C71">
              <w:rPr>
                <w:rFonts w:ascii="Times New Roman" w:hAnsi="Times New Roman"/>
                <w:sz w:val="24"/>
                <w:szCs w:val="24"/>
              </w:rPr>
              <w:t>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87,3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8E17B5">
        <w:trPr>
          <w:trHeight w:val="397"/>
        </w:trPr>
        <w:tc>
          <w:tcPr>
            <w:tcW w:w="4253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1450,0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1450,0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8E17B5"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1487,3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1487,3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8E17B5"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1580,0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1580,0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8E17B5"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1350,0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1350,0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8E17B5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1520,0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520,0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8E17B5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8E17B5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8E17B5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8E17B5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8E17B5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8E17B5">
        <w:tc>
          <w:tcPr>
            <w:tcW w:w="425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Основное мероприятие №2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8E17B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8E17B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8E17B5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1150,0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1150,0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8E17B5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1280,0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1280,0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8E17B5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1200,0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8E17B5">
        <w:trPr>
          <w:trHeight w:val="365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1450,0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1450,0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8E17B5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650,0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8E17B5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E17B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E17B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8E17B5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8E17B5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8E17B5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C30EAF" w:rsidTr="008E17B5">
        <w:tc>
          <w:tcPr>
            <w:tcW w:w="425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68C1" w:rsidRPr="00C30EAF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C30EAF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C30EAF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C30EAF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C30EAF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C30EAF" w:rsidRDefault="002268C1" w:rsidP="008E17B5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C30EAF" w:rsidRDefault="002268C1" w:rsidP="008E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2268C1" w:rsidRPr="00C30EAF" w:rsidRDefault="002268C1" w:rsidP="002268C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68C1" w:rsidRDefault="002268C1" w:rsidP="002268C1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268C1" w:rsidRDefault="002268C1" w:rsidP="002268C1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268C1" w:rsidRDefault="002268C1" w:rsidP="002268C1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268C1" w:rsidRPr="00E108A9" w:rsidRDefault="002268C1" w:rsidP="002268C1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E108A9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2268C1" w:rsidRPr="00E108A9" w:rsidRDefault="002268C1" w:rsidP="002268C1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E108A9">
        <w:rPr>
          <w:rFonts w:ascii="Times New Roman" w:hAnsi="Times New Roman"/>
          <w:color w:val="000000"/>
          <w:sz w:val="24"/>
          <w:szCs w:val="24"/>
        </w:rPr>
        <w:t>С.В.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08A9">
        <w:rPr>
          <w:rFonts w:ascii="Times New Roman" w:hAnsi="Times New Roman"/>
          <w:color w:val="000000"/>
          <w:sz w:val="24"/>
          <w:szCs w:val="24"/>
        </w:rPr>
        <w:t>Филатова</w:t>
      </w:r>
    </w:p>
    <w:p w:rsidR="00534ECC" w:rsidRDefault="00534EC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4F629F" w:rsidRPr="00217496" w:rsidRDefault="00534ECC" w:rsidP="00534EC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4F629F" w:rsidRPr="00217496">
        <w:rPr>
          <w:rFonts w:ascii="Times New Roman" w:hAnsi="Times New Roman"/>
          <w:color w:val="000000" w:themeColor="text1"/>
          <w:sz w:val="24"/>
          <w:szCs w:val="24"/>
        </w:rPr>
        <w:t>«ПРИЛОЖЕНИЕ № 3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к муниципальной программе  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 Кавказский район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«Информационное общество муниципального образования Кавказский район»,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утвержденной постановлением администрации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образования Кавказский район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от 14.11.2014 № 1776</w:t>
      </w: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0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4F629F" w:rsidRPr="00217496" w:rsidTr="00082755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4F629F" w:rsidRPr="00217496" w:rsidRDefault="004F629F" w:rsidP="000827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4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4F629F" w:rsidRPr="00217496" w:rsidRDefault="004F629F" w:rsidP="000827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74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«Информационное общество муниципального образования Кавказский район»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>/п</w:t>
            </w:r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Ста-тус</w:t>
            </w:r>
            <w:hyperlink w:anchor="sub_70" w:history="1">
              <w:r w:rsidRPr="00217496">
                <w:rPr>
                  <w:rStyle w:val="a6"/>
                  <w:color w:val="000000" w:themeColor="text1"/>
                  <w:vertAlign w:val="superscript"/>
                </w:rPr>
                <w:t>2</w:t>
              </w:r>
            </w:hyperlink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)</w:t>
            </w:r>
            <w:proofErr w:type="gram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 за реализацию мероприятия, выполнение контрольное событие </w:t>
            </w:r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Срок реализации мероприятия, дата контрольного события</w:t>
            </w:r>
            <w:proofErr w:type="gramStart"/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4</w:t>
            </w:r>
            <w:proofErr w:type="gramEnd"/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Код </w:t>
            </w:r>
            <w:proofErr w:type="spellStart"/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классифи-кации</w:t>
            </w:r>
            <w:proofErr w:type="spellEnd"/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Поквартальное распределение прогноза кассовых выплат, тыс</w:t>
            </w: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>ублей</w:t>
            </w:r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5)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IV кв.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....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1)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</w:t>
      </w:r>
      <w:proofErr w:type="gramStart"/>
      <w:r w:rsidRPr="00217496">
        <w:rPr>
          <w:rFonts w:ascii="Times New Roman" w:hAnsi="Times New Roman"/>
          <w:color w:val="000000" w:themeColor="text1"/>
          <w:sz w:val="24"/>
          <w:szCs w:val="24"/>
        </w:rPr>
        <w:t>,).</w:t>
      </w:r>
      <w:proofErr w:type="gramEnd"/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2) 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Контрольное событие отмечается в следующих случаях: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3) </w:t>
      </w:r>
      <w:proofErr w:type="gramStart"/>
      <w:r w:rsidRPr="00217496">
        <w:rPr>
          <w:rFonts w:ascii="Times New Roman" w:hAnsi="Times New Roman"/>
          <w:color w:val="000000" w:themeColor="text1"/>
          <w:sz w:val="24"/>
          <w:szCs w:val="24"/>
        </w:rPr>
        <w:t>Ответственным</w:t>
      </w:r>
      <w:proofErr w:type="gramEnd"/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4) 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5) 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widowControl w:val="0"/>
        <w:tabs>
          <w:tab w:val="right" w:pos="9213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главы </w:t>
      </w:r>
      <w:proofErr w:type="gramStart"/>
      <w:r w:rsidRPr="0021749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proofErr w:type="gramEnd"/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образования Кавказский район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С.В.Филатова</w:t>
      </w: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rPr>
          <w:color w:val="000000" w:themeColor="text1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1451E3" w:rsidRPr="00217496" w:rsidSect="00090467">
      <w:type w:val="continuous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34F4"/>
    <w:multiLevelType w:val="hybridMultilevel"/>
    <w:tmpl w:val="1C9AB2BC"/>
    <w:lvl w:ilvl="0" w:tplc="8F5C3A1E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272B1"/>
    <w:multiLevelType w:val="hybridMultilevel"/>
    <w:tmpl w:val="33B2BDF8"/>
    <w:lvl w:ilvl="0" w:tplc="C4100E3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50C02B60"/>
    <w:multiLevelType w:val="multilevel"/>
    <w:tmpl w:val="7702E8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51100AD1"/>
    <w:multiLevelType w:val="hybridMultilevel"/>
    <w:tmpl w:val="70201052"/>
    <w:lvl w:ilvl="0" w:tplc="5F5486F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7F106751"/>
    <w:multiLevelType w:val="hybridMultilevel"/>
    <w:tmpl w:val="A0D6C762"/>
    <w:lvl w:ilvl="0" w:tplc="FB9ACD0A">
      <w:start w:val="2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A363B"/>
    <w:rsid w:val="000366BC"/>
    <w:rsid w:val="0003766A"/>
    <w:rsid w:val="00082755"/>
    <w:rsid w:val="00090467"/>
    <w:rsid w:val="000F2995"/>
    <w:rsid w:val="000F5500"/>
    <w:rsid w:val="001451E3"/>
    <w:rsid w:val="00150E50"/>
    <w:rsid w:val="0017266B"/>
    <w:rsid w:val="00176A93"/>
    <w:rsid w:val="001854ED"/>
    <w:rsid w:val="001A363B"/>
    <w:rsid w:val="001B41CA"/>
    <w:rsid w:val="001D0FB1"/>
    <w:rsid w:val="001E10E8"/>
    <w:rsid w:val="00207470"/>
    <w:rsid w:val="00207A7F"/>
    <w:rsid w:val="00217496"/>
    <w:rsid w:val="002268C1"/>
    <w:rsid w:val="0029773B"/>
    <w:rsid w:val="002A2E92"/>
    <w:rsid w:val="00304108"/>
    <w:rsid w:val="003264F4"/>
    <w:rsid w:val="00343EF1"/>
    <w:rsid w:val="00350E5C"/>
    <w:rsid w:val="00362761"/>
    <w:rsid w:val="00384990"/>
    <w:rsid w:val="00396373"/>
    <w:rsid w:val="003E1393"/>
    <w:rsid w:val="003E65D0"/>
    <w:rsid w:val="004446FC"/>
    <w:rsid w:val="00456D1A"/>
    <w:rsid w:val="0049574E"/>
    <w:rsid w:val="004A00B3"/>
    <w:rsid w:val="004B5E05"/>
    <w:rsid w:val="004F18D8"/>
    <w:rsid w:val="004F629F"/>
    <w:rsid w:val="00532D99"/>
    <w:rsid w:val="00534ECC"/>
    <w:rsid w:val="00536581"/>
    <w:rsid w:val="005A673E"/>
    <w:rsid w:val="005B11D8"/>
    <w:rsid w:val="005F2E0E"/>
    <w:rsid w:val="005F3626"/>
    <w:rsid w:val="0062307E"/>
    <w:rsid w:val="0062611E"/>
    <w:rsid w:val="0064208B"/>
    <w:rsid w:val="00684939"/>
    <w:rsid w:val="006B62EF"/>
    <w:rsid w:val="006D48E4"/>
    <w:rsid w:val="00702D08"/>
    <w:rsid w:val="00712670"/>
    <w:rsid w:val="00736D5C"/>
    <w:rsid w:val="007702A1"/>
    <w:rsid w:val="00797384"/>
    <w:rsid w:val="007E391A"/>
    <w:rsid w:val="007E528C"/>
    <w:rsid w:val="007F6B67"/>
    <w:rsid w:val="00803133"/>
    <w:rsid w:val="00827F47"/>
    <w:rsid w:val="00846B00"/>
    <w:rsid w:val="00857718"/>
    <w:rsid w:val="00861797"/>
    <w:rsid w:val="00883439"/>
    <w:rsid w:val="0089324D"/>
    <w:rsid w:val="00897250"/>
    <w:rsid w:val="008A7C9F"/>
    <w:rsid w:val="008C588C"/>
    <w:rsid w:val="008C75B8"/>
    <w:rsid w:val="008D19E2"/>
    <w:rsid w:val="008D6CC9"/>
    <w:rsid w:val="008E17B5"/>
    <w:rsid w:val="008F6B55"/>
    <w:rsid w:val="00905DCD"/>
    <w:rsid w:val="00935BF6"/>
    <w:rsid w:val="009647AC"/>
    <w:rsid w:val="009B3006"/>
    <w:rsid w:val="009D71CE"/>
    <w:rsid w:val="009E5375"/>
    <w:rsid w:val="00A011D7"/>
    <w:rsid w:val="00A10FDF"/>
    <w:rsid w:val="00A12CB4"/>
    <w:rsid w:val="00A16AAE"/>
    <w:rsid w:val="00A2445C"/>
    <w:rsid w:val="00A44F6B"/>
    <w:rsid w:val="00A46CA5"/>
    <w:rsid w:val="00A5789F"/>
    <w:rsid w:val="00A93948"/>
    <w:rsid w:val="00AA109F"/>
    <w:rsid w:val="00AF2527"/>
    <w:rsid w:val="00AF5A1D"/>
    <w:rsid w:val="00B26867"/>
    <w:rsid w:val="00B343A2"/>
    <w:rsid w:val="00B41FF7"/>
    <w:rsid w:val="00BB04D5"/>
    <w:rsid w:val="00C746CD"/>
    <w:rsid w:val="00CC46AD"/>
    <w:rsid w:val="00CF222A"/>
    <w:rsid w:val="00D110A8"/>
    <w:rsid w:val="00D12C9B"/>
    <w:rsid w:val="00D23C74"/>
    <w:rsid w:val="00D52C2B"/>
    <w:rsid w:val="00D52F00"/>
    <w:rsid w:val="00D767BD"/>
    <w:rsid w:val="00D816CB"/>
    <w:rsid w:val="00D87A37"/>
    <w:rsid w:val="00D952CA"/>
    <w:rsid w:val="00D964CC"/>
    <w:rsid w:val="00DD5740"/>
    <w:rsid w:val="00DD780B"/>
    <w:rsid w:val="00DE5BEC"/>
    <w:rsid w:val="00DF6502"/>
    <w:rsid w:val="00E01E25"/>
    <w:rsid w:val="00E35ECF"/>
    <w:rsid w:val="00E456E2"/>
    <w:rsid w:val="00E507CA"/>
    <w:rsid w:val="00E571FE"/>
    <w:rsid w:val="00E84A17"/>
    <w:rsid w:val="00E8709F"/>
    <w:rsid w:val="00EB7B4F"/>
    <w:rsid w:val="00ED2CD7"/>
    <w:rsid w:val="00F36CD3"/>
    <w:rsid w:val="00F6592F"/>
    <w:rsid w:val="00FC7081"/>
    <w:rsid w:val="00FD5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CA"/>
    <w:pPr>
      <w:ind w:left="720"/>
      <w:contextualSpacing/>
    </w:pPr>
    <w:rPr>
      <w:rFonts w:ascii="Calibri" w:eastAsia="MS Mincho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0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50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4F629F"/>
    <w:rPr>
      <w:rFonts w:ascii="Times New Roman" w:hAnsi="Times New Roman" w:cs="Times New Roman" w:hint="default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9">
    <w:name w:val="Знак"/>
    <w:basedOn w:val="a"/>
    <w:rsid w:val="00DF65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DF650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F650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F6502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DF650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DF650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487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31424785.1000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24A4E-4AB0-4C2A-AC92-47B141C2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17</Pages>
  <Words>4379</Words>
  <Characters>24962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Света Пресса</cp:lastModifiedBy>
  <cp:revision>57</cp:revision>
  <dcterms:created xsi:type="dcterms:W3CDTF">2017-07-19T12:27:00Z</dcterms:created>
  <dcterms:modified xsi:type="dcterms:W3CDTF">2020-09-25T12:12:00Z</dcterms:modified>
</cp:coreProperties>
</file>