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8" w:after="108"/>
        <w:rPr/>
      </w:pPr>
      <w:r>
        <w:rPr>
          <w:rFonts w:cs="Times New Roman" w:ascii="Times New Roman" w:hAnsi="Times New Roman"/>
          <w:sz w:val="28"/>
          <w:szCs w:val="28"/>
        </w:rPr>
        <w:t>Муниципальная программа</w:t>
        <w:br/>
        <w:t>муниципального образования Кавказский район "Развитие образования"</w:t>
      </w:r>
      <w:r>
        <w:rPr>
          <w:rFonts w:cs="Times New Roman" w:ascii="Times New Roman" w:hAnsi="Times New Roman"/>
          <w:b w:val="false"/>
          <w:sz w:val="28"/>
          <w:szCs w:val="28"/>
        </w:rPr>
        <w:br/>
        <w:t xml:space="preserve">(утв. </w:t>
      </w:r>
      <w:hyperlink w:anchor="sub_0">
        <w:r>
          <w:rPr>
            <w:rStyle w:val="Style10"/>
            <w:rFonts w:cs="Times New Roman" w:ascii="Times New Roman" w:hAnsi="Times New Roman"/>
            <w:b w:val="false"/>
            <w:bCs w:val="false"/>
            <w:color w:val="auto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ад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министрации муниципального образования Кавказский район от 31 октября 2014 г. N 1733, с изменениями и дополнениями от 28 января, 24 марта, 17 июня, 29 июля, 29 октября, 14 декабря, 30 декабря 2015 г.,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20 февраля .2016г., 20 апреля 2016, 25 мая 2016 г., 23 июня 2016 г., 2 сентября 2016 года № 1190, 10 октября 2016 г. № 1345, 24 ноября 2016 г. № 1551, 26 декабря 2016 г.  № 1706, 20 февраля 2017 г. № 392, 20 апреля 2017 № 747, 17 мая 2007 года № 840, 22 июня 2017 года № 1005, 21 августа 2017 года № 1303, 24 октября 2017 года №1609, 22 ноября 2017 года № 1726, 13 декабря 2017 года № 1803, 19 февраля 2018 года № 203, 12 апреля 2018 года № 487, 24 мая 2018 года № 637, 21 июня 2018 года № 839, 13 августа 2018 года № 1143, 16 октября 2018 года № 1434,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21 ноября 2018 года № 1598, 05 декабря 2018 года № 1656, 11 февраля 2019 года № 157, 19 апреля 2019 года № 494, 30 апреля 2019 года № 581, 13 июня 2019 года № 780, 21 июня 2019 года № 847, 1 августа 2019 года №1181, 6 августа 2019 года № 1220, 22 августа 2019 года № 1293, 23 сентября 2019 № 1445, </w:t>
      </w:r>
      <w:r>
        <w:rPr>
          <w:rFonts w:cs="Times New Roman" w:ascii="Times New Roman" w:hAnsi="Times New Roman"/>
          <w:b w:val="false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12 декабря 2019 года № 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1967, 27 декабря 2019 года №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2095, </w:t>
      </w:r>
      <w:r>
        <w:rPr>
          <w:rFonts w:eastAsia="Segoe U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>19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февраля 2020 года № 178, 20 апреля 2020 года № 451, 19 июня 2020 г. № 647, 15 июля 2020 года № 777, 26 августа 2020 года № 1061, 22 сентября 2020 года № 1208, 19 ноября 2020 года № 1573, 21 декабря 2020 года № 1796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)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</w:t>
        <w:br/>
        <w:t>муниципальной программы муниципального образования Кавказский район "Развитие образования"</w:t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6969"/>
      </w:tblGrid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Учреждения, подведомственные управлению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bookmarkStart w:id="0" w:name="sub_1175"/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bookmarkStart w:id="1" w:name="sub_707"/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сети учреждений, оказывающих услуги дошкольного образования, присмотра и ухода;</w:t>
            </w:r>
          </w:p>
          <w:p>
            <w:pPr>
              <w:pStyle w:val="Style35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обновление технологий дошкольного образования, обеспечивающих раннее развитие детей, образование детей от 5 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 </w:t>
            </w:r>
            <w:r>
              <w:rPr>
                <w:rFonts w:ascii="Times New Roman" w:hAnsi="Times New Roman"/>
                <w:sz w:val="28"/>
                <w:szCs w:val="28"/>
              </w:rPr>
              <w:t>лет, и инклюзивного образования дошкольников с ограниченными возможностями;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внедрение эффективных механизмов управления качеством дошкольного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дошкольных образовательных учреждений (ДОУ);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общего образования для всех уровней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и текущего ремонта зданий, помещений и сооружений общеобразовательных учреждений;</w:t>
            </w:r>
          </w:p>
          <w:p>
            <w:pPr>
              <w:pStyle w:val="Style35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строительство  пристроек к существующим зданиям и сооружениям муниципальных общеобразовательных организаций;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неограниченного круглосуточного доступа к корпоративной сети с выходом в информационно-телекоммуникационную сеть "Интернет",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учреждений;</w:t>
            </w:r>
          </w:p>
          <w:p>
            <w:pPr>
              <w:pStyle w:val="Style35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школ, в том числе учителей;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возможности участия детей в олимпиадах, конкурсах краевого, всероссийского уровня;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проведение государственной итоговой аттестации в форме ОГЭ, ЕГЭ и ГВЭ в муниципальном образовании Кавказский район;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учреждениях дополнительного образования детей, увеличение количества учащихся привлекаемых к занятиям физической культурой и спортом;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ремонта спортивных залов муниципальных общеобразовательных организаций,  помещений  при них, других помещений физкультурно – спортивного  назначения, физкультурно – оздоровительных  комплексов;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педагогических работников сбалансированным горячим питанием, формирование у педагогов навыков здорового питания;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обогащение пищи детей дополнительной витаминизацией;</w:t>
            </w:r>
          </w:p>
          <w:p>
            <w:pPr>
              <w:pStyle w:val="Style35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>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развитие инфраструктуры и укрепление материально-технической базы учреждений дополнительного образования;</w:t>
            </w:r>
          </w:p>
          <w:p>
            <w:pPr>
              <w:pStyle w:val="Normal"/>
              <w:spacing w:lineRule="auto" w:line="240" w:before="0" w:after="143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квалификации, профессиональная переподготовка руководителей и педагогических работников учреждений дополнительного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дополнительного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высокого качества управления процессами развития образования на муниципальном уровне, в пределах своей компетенции;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деятельности муниципального бюджетного учреждения детского лагеря "Кубаночка";</w:t>
            </w:r>
          </w:p>
          <w:p>
            <w:pPr>
              <w:pStyle w:val="Style35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информационное и методическое сопровождение деятельности учреждений отрасли образования»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;</w:t>
            </w:r>
          </w:p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- создание и обеспечение условий для проведения и участия в олимпиадах, конкурсах и иных мероприятиях различного уровня для одаренных детей.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bookmarkStart w:id="2" w:name="sub_709"/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программы</w:t>
            </w:r>
            <w:bookmarkEnd w:id="2"/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дошкольного возраста различными формами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построенных пристроек к существующим зданиям и сооружениям и отдельно стоящих зданий;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капитальный ремонт зданий и сооружений и благоустройство территорий, прилегающих к зданиям и сооружениям муниципальных образовательных организаций;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в возрасте от 6,6 до 18 лет общим образованием (в общеобразовательных учреждениях);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в общеобразовательных учреждениях;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по программам общего образования в расчете на 1 учителя;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создана материально– техническая база для реализации основных и дополнительных общеобразовательных программ цифрового и гуманитарного профилей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капитальный и текущий ремонт;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текущий ремонт;</w:t>
            </w:r>
          </w:p>
          <w:p>
            <w:pPr>
              <w:pStyle w:val="Normal"/>
              <w:spacing w:lineRule="auto" w:line="240" w:before="0" w:after="29"/>
              <w:ind w:left="0" w:right="92" w:hanging="0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количество  муниципальных образовательных организаций, в которых проведены работы по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капитальному  ремонту зданий и сооружений и   благоустройству территорий, прилегающих к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зданиям и сооружениям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общеобразовательных организаций;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приобретение движимого имущества для оснащения вновь созданных мест в муниципальных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оснащенных мест в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и содержание сайта общеобразовательных учреждений;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пропускной способности и оплата Интернет - трафика до 10 М/б;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педагогических кадров, прошедших обучение по программам переподготовки и повышения квалификации педагогических работников, образования;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учащихся, принимавших участие во Всероссийских олимпиадах и иных интеллектуальных и творческих конкурсах от общей численности обучающихся;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учащихся, обучающихся по новым федеральным государственным образовательным стандартам;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 - оздоровительных комплексов;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охваченных горячим питанием;</w:t>
            </w:r>
          </w:p>
          <w:p>
            <w:pPr>
              <w:pStyle w:val="Normal"/>
              <w:spacing w:lineRule="auto" w:line="240" w:before="0" w:after="29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горячим питанием школьников;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педагогических работников, охваченных горячим питанием;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 из многодетных семей, получающих льготное питание;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получающих молоко и молочную продукцию 2 раза в неделю;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детей, занимающихся в организациях дополнительного образования;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количество муниципальных образовательных организаций дополнительного образования, в которых проведены работы по текущему и капитальному  ремонту зданий и сооружений и благоустройству территорий, прилегающих к  ним;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- ч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8"/>
                <w:szCs w:val="28"/>
                <w:u w:val="none"/>
                <w:em w:val="none"/>
              </w:rPr>
              <w:t>исленность лиц, занимающихся физической культурой и спортом, прошедших медицинские осмотры по углубленной программе медицинского обследования;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оснащенных организаций, в соответствии с требованиями ФГОС;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8"/>
                <w:szCs w:val="28"/>
                <w:u w:val="none"/>
                <w:em w:val="none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в планах прохождения курсовой подготовки, от численности нуждающихся в повышении квалификации;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дополнительного образования детей к средней заработной плате учителей;</w:t>
            </w:r>
          </w:p>
          <w:p>
            <w:pPr>
              <w:pStyle w:val="Normal"/>
              <w:spacing w:lineRule="auto" w:line="240" w:before="0" w:after="86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 и управление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отдохнувших детей;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спортивных клубах общеобразовательных учреждений;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число педагогов, получающих выплату за работу  с детьми  в спортивных клубах муниципальных организаций дополнительного образования детей системы образования Краснодарского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введение ставок педагогов дополнительного образования для работы с детьми в спортивных клубах учреждений дополнительного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учреждений дополнительного образования;</w:t>
            </w:r>
          </w:p>
          <w:p>
            <w:pPr>
              <w:pStyle w:val="Normal"/>
              <w:spacing w:lineRule="auto" w:line="240" w:before="0" w:after="86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учреждений дополнительного образования;</w:t>
            </w:r>
          </w:p>
          <w:p>
            <w:pPr>
              <w:pStyle w:val="Normal"/>
              <w:spacing w:lineRule="auto" w:line="240" w:before="0" w:after="86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- 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оличество общеобразовательных учреждений, в которых обновлена материально-техническая база;</w:t>
            </w:r>
          </w:p>
          <w:p>
            <w:pPr>
              <w:pStyle w:val="Normal"/>
              <w:spacing w:lineRule="auto" w:line="240" w:before="0" w:after="29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-  количество 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людей.</w:t>
            </w:r>
          </w:p>
          <w:p>
            <w:pPr>
              <w:pStyle w:val="Normal"/>
              <w:spacing w:lineRule="auto" w:line="240" w:before="0" w:after="29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- д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  <w:p>
            <w:pPr>
              <w:pStyle w:val="Normal"/>
              <w:spacing w:lineRule="auto" w:line="240" w:before="0" w:after="29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sub_70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реализации муниципальной программы: </w:t>
            </w:r>
          </w:p>
          <w:p>
            <w:pPr>
              <w:pStyle w:val="Style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этап: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2015-2019 годы;</w:t>
            </w:r>
          </w:p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этап: 2020-2024 годы.</w:t>
            </w:r>
          </w:p>
        </w:tc>
      </w:tr>
      <w:tr>
        <w:trPr>
          <w:trHeight w:val="3261" w:hRule="atLeast"/>
        </w:trPr>
        <w:tc>
          <w:tcPr>
            <w:tcW w:w="2669" w:type="dxa"/>
            <w:tcBorders/>
            <w:shd w:fill="auto" w:val="clear"/>
          </w:tcPr>
          <w:p>
            <w:pPr>
              <w:pStyle w:val="Style35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Объёмы и источники финансирования муниципальной программы, в том числе на финансовой обеспечение проектов и (или) программ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spacing w:lineRule="auto" w:line="240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Объём  финансирования муниципальной программы   составляет – 12 923 761,2 тыс. руб., в том числе</w:t>
            </w:r>
          </w:p>
          <w:p>
            <w:pPr>
              <w:pStyle w:val="Style35"/>
              <w:spacing w:lineRule="auto" w:line="240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из средств краевого бюджета – 8 410 894,3 тыс. руб.;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из средств краевого бюджета, источником финансового обеспечения которого являются средства федерального бюджета – 338 605,0 тыс. руб.;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из средств местного бюджета – 3 458 572,9 тыс. руб.;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bCs/>
                <w:color w:val="auto"/>
                <w:sz w:val="28"/>
                <w:szCs w:val="28"/>
              </w:rPr>
              <w:t>из внебюджетных источников –  715 689,0 тыс. руб.,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ind w:left="0" w:right="0" w:firstLine="851"/>
        <w:jc w:val="center"/>
        <w:rPr>
          <w:rFonts w:ascii="Times New Roman" w:hAnsi="Times New Roman" w:eastAsia="Times New Roman"/>
          <w:b/>
          <w:b/>
          <w:color w:val="000000"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ru-RU"/>
        </w:rPr>
        <w:t>Характеристика текущего состояния и прогноз развития в сфере образования муниципального образования Кавказский район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C9211E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В системе образования муниципального образования Кавказский район в настоящее время функционирует: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32 дошкольных образовательных учреждения;       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25 общеобразовательных учреждений,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из них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- 1 школа основного общего образования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открытое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(сменное) общеобразовательное учреждение;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 учреждения дополнительного образования детей.</w:t>
      </w:r>
    </w:p>
    <w:p>
      <w:pPr>
        <w:pStyle w:val="Normal"/>
        <w:spacing w:before="0" w:after="0"/>
        <w:ind w:left="0" w:right="0"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них обучается 12961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ребёнок</w:t>
      </w:r>
      <w:r>
        <w:rPr>
          <w:rFonts w:ascii="Times New Roman" w:hAnsi="Times New Roman"/>
          <w:color w:val="000000"/>
          <w:sz w:val="28"/>
          <w:szCs w:val="28"/>
        </w:rPr>
        <w:t xml:space="preserve">.   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образование: определяющее влияние на развитие дошкольного, общего и дополнительного образования оказывают демографические тенденции и процессы миграции.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Следствием спада рождаемости и уменьшения численности обучающихся в 90-е годы 20 века стало сокращение количества дошкольных учреждений и численности обучающихся в общеобразовательных учреждениях.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 последние пять лет численность воспитанников в детских садах муниципального образования Кавказский район выросло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 тыс.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5,2 </w:t>
      </w:r>
      <w:r>
        <w:rPr>
          <w:rFonts w:ascii="Times New Roman" w:hAnsi="Times New Roman"/>
          <w:sz w:val="28"/>
          <w:szCs w:val="28"/>
        </w:rPr>
        <w:t>тыс. воспитанников.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2">
        <w:r>
          <w:rPr>
            <w:rStyle w:val="Style10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sz w:val="28"/>
          <w:szCs w:val="28"/>
        </w:rPr>
        <w:t xml:space="preserve"> 599 "О мерах по реализации государственной политики в области образования и науки" для обеспечения детей доступным дошкольным образованием в районе разработан план мероприятий ("дорожная карта") "Изменения в дошкольном образовании, направленные на повышение эффективности и качества услуг в сфере образования на 2015-20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21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В последние годы в Кавказском районе активно создавались новые места для детей дошкольного возраста. Сеть дошкольных мест расширялась за счёт вариативных форм дошкольного образования (групп кратковременного пребывания и групп семейного воспитания),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строительства новых детских садов.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 2000 года рост показателей рождаемости и нарастающая миграция обусловили рост численности детей, состоящих на учёте для предоставления места в дошкольных образовательных учреждениях. В последние годы в районе остаются высокими как уровень рождаемости, так и уровень миграционных процессов. Существ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овавшая</w:t>
      </w:r>
      <w:r>
        <w:rPr>
          <w:rFonts w:ascii="Times New Roman" w:hAnsi="Times New Roman"/>
          <w:sz w:val="28"/>
          <w:szCs w:val="28"/>
        </w:rPr>
        <w:t xml:space="preserve"> сеть детских садов не удовлетворя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ла</w:t>
      </w:r>
      <w:r>
        <w:rPr>
          <w:rFonts w:ascii="Times New Roman" w:hAnsi="Times New Roman"/>
          <w:sz w:val="28"/>
          <w:szCs w:val="28"/>
        </w:rPr>
        <w:t xml:space="preserve"> потребности населения. Почти 25% детей в районе были лишены возможности посещать дошкольные образовательные учреждения. В результате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возрастала</w:t>
      </w:r>
      <w:r>
        <w:rPr>
          <w:rFonts w:ascii="Times New Roman" w:hAnsi="Times New Roman"/>
          <w:sz w:val="28"/>
          <w:szCs w:val="28"/>
        </w:rPr>
        <w:t xml:space="preserve"> очередь 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 детские сады. Уровень охвата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 78,8%. При этом в районе сохраня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ся дефицит мест в детских садах. В общей очереди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на услуги дошкольного образования наход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ились</w:t>
      </w:r>
      <w:r>
        <w:rPr>
          <w:rFonts w:ascii="Times New Roman" w:hAnsi="Times New Roman"/>
          <w:sz w:val="28"/>
          <w:szCs w:val="28"/>
        </w:rPr>
        <w:t xml:space="preserve"> 3339 тысячи человек, из них от 3-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158 человек.  Введение дополнительных мест за счёт внутренних резервов детских садов, использование новых вариативных форм дошкольного образования, таких как группы кратковременного пребывания, семейные группы не мог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ли</w:t>
      </w:r>
      <w:r>
        <w:rPr>
          <w:rFonts w:ascii="Times New Roman" w:hAnsi="Times New Roman"/>
          <w:sz w:val="28"/>
          <w:szCs w:val="28"/>
        </w:rPr>
        <w:t xml:space="preserve"> кардинально повлиять на доступность дошкольного образования. Для изменения сложившейся ситуации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были приняты</w:t>
      </w:r>
      <w:r>
        <w:rPr>
          <w:rFonts w:ascii="Times New Roman" w:hAnsi="Times New Roman"/>
          <w:sz w:val="28"/>
          <w:szCs w:val="28"/>
        </w:rPr>
        <w:t xml:space="preserve"> радикальные меры, главным образом направленные на сокращение дефицита мест так в 2015 году заверш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илось</w:t>
      </w:r>
      <w:r>
        <w:rPr>
          <w:rFonts w:ascii="Times New Roman" w:hAnsi="Times New Roman"/>
          <w:sz w:val="28"/>
          <w:szCs w:val="28"/>
        </w:rPr>
        <w:t xml:space="preserve"> строительство нов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ых</w:t>
      </w:r>
      <w:r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их</w:t>
      </w:r>
      <w:r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</w:t>
      </w:r>
      <w:r>
        <w:rPr>
          <w:rFonts w:ascii="Times New Roman" w:hAnsi="Times New Roman"/>
          <w:sz w:val="28"/>
          <w:szCs w:val="28"/>
        </w:rPr>
        <w:t xml:space="preserve"> на 250 мест в г. Кропоткине и на 250 мест в станице Кавказской,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декабре 2018 года в связи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передачей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ЧДОУ Детский сад № 94 ОАО «РЖД» был создан МАДОУ ЦРР-детский сад № 34 города Кропоткин на 233 места, в  МБДОУ ЦРР- д/с № 21 посёлка им.М.Горького построена пристройка на 60 мест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ст. Дмитриевской.</w:t>
      </w:r>
    </w:p>
    <w:p>
      <w:pPr>
        <w:pStyle w:val="Normal"/>
        <w:widowControl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сегодняшний день охват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100</w:t>
      </w:r>
      <w:r>
        <w:rPr>
          <w:rFonts w:ascii="Times New Roman" w:hAnsi="Times New Roman"/>
          <w:sz w:val="28"/>
          <w:szCs w:val="28"/>
        </w:rPr>
        <w:t xml:space="preserve">%. В очереди на услуги дошкольного образования детей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нет.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будут достигнуты следующие результаты: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всем детям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будут предоставлены услуги дошкольного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созданы передовые модели современных детских садов;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дошкольных образовательных учреждениях будет внедрён федеральный государственный стандарт;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вырастет доля первоклассников, у которых сформирована готовность к освоению программ начального общего образования.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Общее образование: в результате реализации приоритетного национального проекта "Образование", национальной образовательной инициативы "Наша новая школа" регионального проекта модернизации систем общего образования существенно обновлена инфраструктура общего образования. В настоящее время во всех общеобразовательных учреждениях имеются интерактивные доски и мультимедийные проекты, ими оснащены 100% учебных кабинетов, в том числе 100% кабинетов начальных классов. </w:t>
        <w:tab/>
        <w:t>Доля общеобразовательных учреждений, имеющих доступ к сети "Интернет" на скорости более 2 Мб/с, составляет 97%. Во всех средних школах оборудованы локальные вычислительные сети, что обеспечило повсеместный переход на электронные дневники, журналы и электронную систему управления, доступ к сети "Интернет" в учебных кабинетах, библиотеках.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Созданы дополнительные условия для сохранения и укрепления здоровья школьников. Во многие школьные спортивные залы поставлено новое спортивное оборудование, что повысило уровень физкультурно-оздоровительной и спортивно-массовой работы. В районе во всех образовательных учреждениях медицинские кабинеты оснащены современным оборудованием и имеют лицензи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ю</w:t>
      </w:r>
      <w:r>
        <w:rPr>
          <w:rFonts w:ascii="Times New Roman" w:hAnsi="Times New Roman"/>
          <w:sz w:val="28"/>
          <w:szCs w:val="28"/>
        </w:rPr>
        <w:t xml:space="preserve">. 100% школ имеют в пищеблоках новое высокотехнологическое оборудование, что заметно улучшило организацию и повысило качество питания обучающихся.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Горячим питанием охвачены 100% учащихся.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Решены вопросы безопасности школьных перевозок. Весь парк школьных автобусов соответствует требованиям ГОСТа. Проведена необходимая модернизация и оснащение бортовым навигационным оборудованием ГЛОНАСС. Регулярно осуществляется замена устаревших школьных автобусов.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ходе модернизации значительно укрепилась школьная инфраструктура. В настоящее время </w:t>
      </w:r>
      <w:r>
        <w:rPr>
          <w:rFonts w:ascii="Times New Roman" w:hAnsi="Times New Roman"/>
          <w:color w:val="000000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% школьных окон обновлены (от общего количества), произведена замена оконных блоков на металлопластиковые. Капитально отремонтировано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школьных спортивных залов, в 2016 году построен новый спортивный зал в МБОУ СОШ № 10 пос. Степной.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Вместе с тем сохраняется дифференциация по уровню соответствия инфраструктуре современным требованиям. В ряде школ требуется капитальный ремонт спортивных залов, системы электропроводки и теплоснабжение, необходимо ограждение по периметру школьных территорий и дополнительная установка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камер</w:t>
      </w:r>
      <w:r>
        <w:rPr>
          <w:rFonts w:ascii="Times New Roman" w:hAnsi="Times New Roman"/>
          <w:sz w:val="28"/>
          <w:szCs w:val="28"/>
        </w:rPr>
        <w:t xml:space="preserve"> видеонаблюдения.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существенно обновляется содержание общего образования: поэтапно внедряются федеральные государственные требования к структуре основной общеобразовательной программы дошкольного образования, федеральный государственный образовательный стандарт начального, основного и полного общего образования. Тем не менее, по-прежнему актуально создание условий для введения новых федеральных государственных образовательных стандартов.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 дальнейшего совершенствования система оценки качества образования на всех уровнях, в том числе процедура проведения единого государственного экзамена.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единого государственного экзамена показывают, что средний уровень подготовки школьников Кавказского района по двум предметам превышает среднекраевой уровень, а по отдельным предметам сопоставим с ним. Из года в год выпускники района выполняют экзаменационные работы на высший балл - 100. Одарённые школьники района показывают хорошие результаты на всероссийских олимпиадах и творческих конкурсах.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технологий. В настоящее время этой формой обучения охвачено </w:t>
      </w:r>
      <w:r>
        <w:rPr>
          <w:rFonts w:ascii="Times New Roman" w:hAnsi="Times New Roman"/>
          <w:color w:val="000000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детей, имеющих необходимые медицинские показания.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не менее 100 процентов школьников будет обучаться по новым федеральным образовательным стандартам начального общего образования и не менее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процентов школьников будут обучаться по новым федеральным образовательным стандартам основного общего образования, для этого в общеобразовательных учреждениях будут созданы определённые условия;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общеобразовательные учреждения района будут иметь современную базовую инфраструктуру: обновлённые металлопластиковые окна, модернизированные пищеблоки;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старшеклассники получат возможность обучаться по образовательным программам профильного обучения и получать профессиональную подготовку;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улучшатся показатели готовности учащихся к освоению программ основного общего, среднего общего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района;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Дополнительное образование: в муниципальном образовании Кавказский район большое внимание уделяется организации дополнительного образования детей в сфере образования, культуры и спорта. </w:t>
        <w:tab/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дополнительного образования детей создают равные "стартовые" возможности каждому ребёнку для самореализации, оказывают помощь и поддержку одарённым и талантливым. Дополнительное образование остаётся бесплатным. Более половины детей, занимающихся в системе дополнительного образования детей, из семей с достаточно низким уровнем достатка.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качества и доступности дополнительного образования детей позволяет сделать вывод о том, </w:t>
      </w:r>
      <w:r>
        <w:rPr>
          <w:rFonts w:ascii="Times New Roman" w:hAnsi="Times New Roman"/>
          <w:sz w:val="28"/>
          <w:szCs w:val="28"/>
          <w:lang w:val="ru-RU"/>
        </w:rPr>
        <w:t xml:space="preserve">что </w:t>
      </w:r>
      <w:r>
        <w:rPr>
          <w:rFonts w:ascii="Times New Roman" w:hAnsi="Times New Roman"/>
          <w:sz w:val="28"/>
          <w:szCs w:val="28"/>
        </w:rPr>
        <w:t>остаются проблемы получения услуг дополнительного образования детьми с ограниченными возможностями здоровья. Таким образом, полностью обеспечить равный доступ дополнительного образования детям с разными потребностями и возможностями пока не удалось.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В сфере дополнительного образования детей не используются дистанционные формы образования, требуют совершенствования новые образовательные технологии - проектные, исследовательские, профессиональные, ориентированные, особенно в области техники, естественных наук и профориентации подростков.</w:t>
      </w:r>
    </w:p>
    <w:p>
      <w:pPr>
        <w:pStyle w:val="1"/>
        <w:widowControl w:val="false"/>
        <w:numPr>
          <w:ilvl w:val="0"/>
          <w:numId w:val="0"/>
        </w:numPr>
        <w:shd w:val="clear" w:fill="auto"/>
        <w:tabs>
          <w:tab w:val="clear" w:pos="720"/>
          <w:tab w:val="left" w:pos="142" w:leader="none"/>
          <w:tab w:val="left" w:pos="709" w:leader="none"/>
        </w:tabs>
        <w:suppressAutoHyphens w:val="true"/>
        <w:overflowPunct w:val="true"/>
        <w:bidi w:val="0"/>
        <w:spacing w:lineRule="auto" w:line="276" w:before="0" w:after="0"/>
        <w:ind w:left="113" w:right="0" w:firstLine="510"/>
        <w:jc w:val="both"/>
        <w:outlineLvl w:val="0"/>
        <w:rPr>
          <w:i w:val="false"/>
          <w:i w:val="false"/>
          <w:iCs w:val="false"/>
          <w:highlight w:val="yellow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муниципальном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>управление  образовани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zh-CN" w:bidi="ar-SA"/>
        </w:rPr>
        <w:t>я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администрации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муниципального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ru-RU" w:eastAsia="ru-RU" w:bidi="ar-SA"/>
        </w:rPr>
        <w:t>муниципальном образовании Кавказский район</w:t>
      </w: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/>
          <w:iCs/>
          <w:color w:val="C9211E"/>
          <w:sz w:val="28"/>
          <w:szCs w:val="28"/>
          <w:lang w:eastAsia="ru-RU"/>
        </w:rPr>
      </w:pPr>
      <w:r>
        <w:rPr>
          <w:rFonts w:eastAsia="Times New Roman" w:ascii="Times New Roman" w:hAnsi="Times New Roman"/>
          <w:iCs/>
          <w:color w:val="C9211E"/>
          <w:sz w:val="28"/>
          <w:szCs w:val="28"/>
          <w:lang w:eastAsia="ru-RU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- не менее 7</w:t>
      </w:r>
      <w:r>
        <w:rPr>
          <w:rFonts w:ascii="Times New Roman" w:hAnsi="Times New Roman"/>
          <w:color w:val="111111"/>
          <w:kern w:val="0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процентов детей от 5 до 18 лет будут охвачены программами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находящиеся в трудной жизненной ситуации, дети из семей с низким социально-экономическим статусом получат возможность бесплатного обучения по программам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база учреждений дополнительного образования будет укреплена учебно-производственным, спортивным инвентарём, музыкальным инструментами и техническими средствами обучения;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открыты новые направления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повысятся показатели уровня социализации выпускников основных общеобразовательных учреждений.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Уровень жизни педагогических работников: повышение заработной платы учителей стало одной из целей реализуемого с 2011 года проекта модернизации системы общего образования. В сравнении средняя заработная плата педагогических работников школ по итогу работы за 2015 год составила в среднем по району 27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681</w:t>
      </w:r>
      <w:r>
        <w:rPr>
          <w:rFonts w:ascii="Times New Roman" w:hAnsi="Times New Roman"/>
          <w:sz w:val="28"/>
          <w:szCs w:val="28"/>
        </w:rPr>
        <w:t xml:space="preserve"> рубль, 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30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692</w:t>
      </w:r>
      <w:r>
        <w:rPr>
          <w:rFonts w:ascii="Times New Roman" w:hAnsi="Times New Roman"/>
          <w:sz w:val="28"/>
          <w:szCs w:val="28"/>
        </w:rPr>
        <w:t xml:space="preserve"> рубля. Наряду с учительской повышается заработная плата и педагогических работников детских садов. 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24172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 xml:space="preserve">, а </w:t>
      </w:r>
      <w:bookmarkStart w:id="4" w:name="__DdeLink__18870_3654207489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</w:t>
      </w:r>
      <w:bookmarkEnd w:id="4"/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29442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реализуется программа поэтапного повышения заработной платы педагогических работников учреждений дополнительного образования.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23677</w:t>
      </w:r>
      <w:r>
        <w:rPr>
          <w:rFonts w:ascii="Times New Roman" w:hAnsi="Times New Roman"/>
          <w:sz w:val="28"/>
          <w:szCs w:val="28"/>
        </w:rPr>
        <w:t xml:space="preserve"> рублей, а за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31396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709" w:leader="none"/>
        </w:tabs>
        <w:spacing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В районе введена новая система оплаты труда, стимулирующая качество результатов деятельности педагогов и мотивацию профессионального развития.</w:t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</w:r>
    </w:p>
    <w:p>
      <w:pPr>
        <w:pStyle w:val="1"/>
        <w:spacing w:before="0" w:after="0"/>
        <w:rPr/>
      </w:pPr>
      <w:r>
        <w:rPr>
          <w:rFonts w:eastAsia="Times New Roman"/>
          <w:b w:val="false"/>
          <w:color w:val="000000"/>
          <w:sz w:val="28"/>
          <w:szCs w:val="28"/>
          <w:lang w:val="ru-RU"/>
        </w:rPr>
        <w:t xml:space="preserve">   </w:t>
      </w:r>
      <w:r>
        <w:rPr>
          <w:rFonts w:eastAsia="Times New Roman" w:ascii="Times New Roman" w:hAnsi="Times New Roman"/>
          <w:b w:val="false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ascii="Times New Roman" w:hAnsi="Times New Roman"/>
          <w:color w:val="000000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201"/>
      <w:bookmarkEnd w:id="5"/>
      <w:r>
        <w:rPr>
          <w:rFonts w:ascii="Times New Roman" w:hAnsi="Times New Roman"/>
          <w:color w:val="000000"/>
          <w:sz w:val="28"/>
          <w:szCs w:val="28"/>
        </w:rPr>
        <w:t>Основная цель программы 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потенциала.</w:t>
      </w:r>
    </w:p>
    <w:p>
      <w:pPr>
        <w:pStyle w:val="Normal"/>
        <w:ind w:left="0" w:right="0" w:firstLine="851"/>
        <w:jc w:val="both"/>
        <w:rPr/>
      </w:pPr>
      <w:bookmarkStart w:id="6" w:name="sub_2011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указанной цели необходимо решить задачи, приведенные в Паспорте Программы в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разделе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Задачи муниципальной программы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 разработана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 кубанским образованием.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определяется на основе системы целевых индикаторов и показателей,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социально-экономическое развитие Кавказского района.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таблице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№1</w:t>
      </w:r>
      <w:r>
        <w:rPr>
          <w:rFonts w:ascii="Times New Roman" w:hAnsi="Times New Roman"/>
          <w:color w:val="000000"/>
          <w:sz w:val="28"/>
          <w:szCs w:val="28"/>
        </w:rPr>
        <w:t xml:space="preserve"> и в таблице 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 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>
      <w:pPr>
        <w:pStyle w:val="Style35"/>
        <w:spacing w:before="0" w:after="0"/>
        <w:ind w:left="0" w:right="0" w:firstLine="851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Сроки реализации муниципальной программы: 2015-2021 годы, этапы реализации: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2015-2019 годы;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2020-2024 годы.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7" w:name="sub_208"/>
      <w:bookmarkStart w:id="8" w:name="sub_20811"/>
      <w:bookmarkStart w:id="9" w:name="sub_208"/>
      <w:bookmarkStart w:id="10" w:name="sub_20811"/>
      <w:bookmarkEnd w:id="9"/>
      <w:bookmarkEnd w:id="1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Перечень основных мероприятий муниципальной программы</w:t>
      </w:r>
      <w:bookmarkStart w:id="11" w:name="sub_300"/>
      <w:bookmarkEnd w:id="1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Перечень основных мероприятий муниципальной программы приведен в </w:t>
      </w:r>
      <w:hyperlink w:anchor="sub_12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Приложении N 2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4. Обоснование ресурсного обеспечения Программы</w:t>
      </w:r>
    </w:p>
    <w:p>
      <w:pPr>
        <w:pStyle w:val="Normal"/>
        <w:spacing w:before="0" w:after="14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муниципального бюджета, краевого бюджета, федерального бюджета и внебюджетных источников.</w:t>
      </w:r>
    </w:p>
    <w:p>
      <w:pPr>
        <w:pStyle w:val="Normal"/>
        <w:ind w:left="0" w:righ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Объем финансовых ресурсов, предусмотренных на реализацию муниципальной программы «Развитие образования» приведен в Приложении № 2.1 к муниципальной программе.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0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Прогноз сводных показателей на оказание муниципальных услуг (выполнение работ) муниципальными учреждениями в сфере реализации программы "Развитие образования"</w:t>
      </w:r>
      <w:bookmarkStart w:id="12" w:name="sub_500"/>
      <w:bookmarkEnd w:id="1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управлению образования, на очередной финансовый год и плановый период представлен в таблице в </w:t>
      </w:r>
      <w:hyperlink w:anchor="sub_1400">
        <w:r>
          <w:rPr>
            <w:rStyle w:val="Style10"/>
            <w:rFonts w:cs="Times New Roman" w:ascii="Times New Roman" w:hAnsi="Times New Roman"/>
            <w:sz w:val="28"/>
            <w:szCs w:val="28"/>
          </w:rPr>
          <w:t>Приложении N 4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 основным рискам реализации мероприятий муниципальной программы можно отнести следующие риски: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финансово-экономические риски - недофинансирование мероприятий муниципальной программы, в том числе со стороны образовательных организаций.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социальные риски, связанные с сопротивлением населения, профессиональной общественности целям и реализации муниципальной программы. Социальные риски могут реализоваться в сопротивлении общественности осуществляемым изменениям, связанном с недостаточных освещением в СМИ,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Меры правового регулирования в сфере реализации муниципальной программы</w:t>
      </w:r>
      <w:bookmarkStart w:id="13" w:name="sub_700"/>
      <w:bookmarkEnd w:id="13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Принятие нормативно-правовых актов с изменениями правового регулирования в сфере реализации муниципальной программы "Развитие образования" не планируется.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Методика оценки эффективности реализации муниципальной программы</w:t>
      </w:r>
      <w:bookmarkStart w:id="14" w:name="sub_800"/>
      <w:bookmarkEnd w:id="14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Механизм реализации муниципальной программы и контроль за ее выполнением</w:t>
      </w:r>
      <w:bookmarkStart w:id="15" w:name="sub_900"/>
      <w:bookmarkEnd w:id="1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Реализация мероприятий программы осуществляется на основе взаимодействия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- координатор муниципальной программы, который: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обеспечивает разработку и реализацию мероприятий программы, ее согласование с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формирует структуру муниципальной программы, перечень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проводит мониторинг реализации муниципальной программы и анализ отчетности, предоставляемой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Интернет" (далее сайт);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программы организует взаимодействие с образовательными учреждениями по подготовке и реализации программных мероприятий, а также по анализу и рациональному использованию средств муниципального бюджета, он же организует контроль за реализацией мероприятий программы.</w:t>
      </w:r>
    </w:p>
    <w:p>
      <w:pPr>
        <w:pStyle w:val="Normal"/>
        <w:tabs>
          <w:tab w:val="clear" w:pos="720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Координатор  муниципальной программ ежегодно, не позднее 31 декабря текущего финансового года, утверждает согласованный  с координаторами подпрограмм, участниками муниципальной программы  план реализации муниципальной программы на очередной год (далее – план реализации муниципальной программы) по форме согласно Приложению № 5 к муниципальной программе. </w:t>
      </w:r>
    </w:p>
    <w:p>
      <w:pPr>
        <w:pStyle w:val="Normal"/>
        <w:tabs>
          <w:tab w:val="clear" w:pos="720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План реализации муниципальной программы  составляется в разрезе основных мероприятий, планируемых к реализации в очередном году, а также  значимых контрольных событий реализации  муниципальной программы (далее- контрольные события), оказывающих существенное влияние на сроки  и результаты ее реализации в очередном году. </w:t>
      </w:r>
    </w:p>
    <w:p>
      <w:pPr>
        <w:pStyle w:val="Normal"/>
        <w:tabs>
          <w:tab w:val="clear" w:pos="720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Основными характеристиками  контрольных событий    муниципальной  программы являются  общественная, в том числе  социально – экономическая значимость (важность) для достижения результата основного мероприятия, нулевая длительность, возможность однозначной оценки достижения                           (0% или 100 %), документальное подтверждение  результата. </w:t>
      </w:r>
    </w:p>
    <w:p>
      <w:pPr>
        <w:pStyle w:val="Normal"/>
        <w:tabs>
          <w:tab w:val="clear" w:pos="720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В обязательном порядке контрольные события  выделяются по основным мероприятиям  в составе  которых предусмотрена реализация  муниципальных функций  по разработке и реализации государственной в соответствующей сфере реализации муниципальной программы, осуществлению муниципального контроля и надзора, управлению муниципальным имуществом.   </w:t>
      </w:r>
    </w:p>
    <w:p>
      <w:pPr>
        <w:pStyle w:val="Normal"/>
        <w:tabs>
          <w:tab w:val="clear" w:pos="720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Контрольные события определяются в зависимости от содержания  основных мероприятий, по которым они выделяются. Для основных мероприятий: </w:t>
      </w:r>
    </w:p>
    <w:p>
      <w:pPr>
        <w:pStyle w:val="Normal"/>
        <w:tabs>
          <w:tab w:val="clear" w:pos="720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 характеристику  конечного (или промежуточного) результата реализации соответствующего мероприятия (значимый промежуточный (ожидаемый) результат) реализации мероприятий;</w:t>
      </w:r>
    </w:p>
    <w:p>
      <w:pPr>
        <w:pStyle w:val="Normal"/>
        <w:tabs>
          <w:tab w:val="clear" w:pos="720"/>
          <w:tab w:val="left" w:pos="0" w:leader="none"/>
          <w:tab w:val="left" w:pos="69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направленных на обеспечение  реализации  муниципальных функций (предоставление муниципальных услуг), в качестве контрольных событий при необходимости следует использовать  достижение заданных  показателей объема  и (или) качества исполнения муниципальных функций (предоставления муниципальных услуг); </w:t>
      </w:r>
    </w:p>
    <w:p>
      <w:pPr>
        <w:pStyle w:val="Normal"/>
        <w:tabs>
          <w:tab w:val="clear" w:pos="720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 результативность осуществления контрольных (надзорных) мероприятий. </w:t>
      </w:r>
    </w:p>
    <w:p>
      <w:pPr>
        <w:pStyle w:val="Normal"/>
        <w:tabs>
          <w:tab w:val="clear" w:pos="720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плане реализации  муниципальной  программы при необходимости  следует обеспечивать  равномерное распределение  контрольных событий  в течение года. </w:t>
      </w:r>
    </w:p>
    <w:p>
      <w:pPr>
        <w:pStyle w:val="Normal"/>
        <w:tabs>
          <w:tab w:val="clear" w:pos="720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процессе реализации муниципальной программы  ее координатор по согласованию с координатором подпрограмм и (или) участниками муниципальной программы  может принимать решения о внесении  изменений в план реализации муниципальной программы.  Изменения в план реализации муниципальной программы следует вносить  не чаще 1 раза в квартал. </w:t>
      </w:r>
    </w:p>
    <w:p>
      <w:pPr>
        <w:pStyle w:val="Normal"/>
        <w:tabs>
          <w:tab w:val="clear" w:pos="720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В целях обеспечения контроля за выполнением муниципальной программы  ее координатор  представляет  план реализации муниципальной программы (изменения в план реализации муниципальной программы) в финансовое управление  муниципального образования Кавказский район и обеспечивает его размещение  на официальном сайте  в информационно -  телекоммуникационной  сети «Интернет» не позднее 5 рабочих дней  после его утверждения (утверждения изменений в план реализации муниципальной программы).</w:t>
      </w:r>
      <w:bookmarkStart w:id="16" w:name="sub_4"/>
      <w:bookmarkEnd w:id="16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муниципальной программы ежеквартально, до 20-го числа месяца, следующего за отчетным кварталом,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 (приложение № </w:t>
      </w:r>
      <w:hyperlink w:anchor="sub_17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6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3"/>
        <w:gridCol w:w="3682"/>
        <w:gridCol w:w="3"/>
        <w:gridCol w:w="940"/>
        <w:gridCol w:w="4"/>
        <w:gridCol w:w="847"/>
        <w:gridCol w:w="4"/>
        <w:gridCol w:w="823"/>
        <w:gridCol w:w="3"/>
        <w:gridCol w:w="826"/>
        <w:gridCol w:w="5"/>
        <w:gridCol w:w="826"/>
        <w:gridCol w:w="3"/>
        <w:gridCol w:w="826"/>
        <w:gridCol w:w="4"/>
        <w:gridCol w:w="826"/>
        <w:gridCol w:w="829"/>
        <w:gridCol w:w="831"/>
        <w:gridCol w:w="829"/>
        <w:gridCol w:w="830"/>
        <w:gridCol w:w="18"/>
        <w:gridCol w:w="837"/>
      </w:tblGrid>
      <w:tr>
        <w:trPr>
          <w:trHeight w:val="731" w:hRule="atLeast"/>
        </w:trPr>
        <w:tc>
          <w:tcPr>
            <w:tcW w:w="773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959" w:type="dxa"/>
            <w:gridSpan w:val="20"/>
            <w:tcBorders/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ЦЕЛИ, ЗАДАЧИ И ЦЕЛЕВЫЕ ПОКАЗАТЕЛИ МУНИЦИПАЛЬНОЙ ПРОГРАММЫ</w:t>
              <w:br/>
              <w:t xml:space="preserve">«Развитие образования» </w:t>
            </w:r>
          </w:p>
        </w:tc>
        <w:tc>
          <w:tcPr>
            <w:tcW w:w="837" w:type="dxa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773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4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9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1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9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5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76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Наименование целевого показателя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Ед.изм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Статус*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2017 год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2018 год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>
        <w:trPr>
          <w:trHeight w:val="73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Цель муниципальной программы: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>
          <w:trHeight w:val="67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1: 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3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Развитие сети учреждений, оказывающих услуги дошкольного образования, присмотра и ухода</w:t>
            </w:r>
          </w:p>
        </w:tc>
      </w:tr>
      <w:tr>
        <w:trPr>
          <w:trHeight w:val="137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85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</w:tr>
      <w:tr>
        <w:trPr>
          <w:trHeight w:val="274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4448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4710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4750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</w:tr>
      <w:tr>
        <w:trPr>
          <w:trHeight w:val="103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Обновление технологий дошкольного образования, обеспечивающих раннее развитие детей, образование детей от 5 до 7 лет, и инклюзивного образования дошкольников с ограниченными возможностями, внедрение эффективных механизмов управления качеством дошкольного образования</w:t>
            </w:r>
          </w:p>
        </w:tc>
      </w:tr>
      <w:tr>
        <w:trPr>
          <w:trHeight w:val="326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</w:tr>
      <w:tr>
        <w:trPr>
          <w:trHeight w:val="104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</w:t>
            </w:r>
          </w:p>
        </w:tc>
      </w:tr>
      <w:tr>
        <w:trPr>
          <w:trHeight w:val="206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35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98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83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 : Обеспечение устойчивой динамики роста показателя средней заработной платы педагогических работников дошкольных образовательных учреждений</w:t>
            </w:r>
          </w:p>
        </w:tc>
      </w:tr>
      <w:tr>
        <w:trPr>
          <w:trHeight w:val="254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Задача : Строительство пристроек к существующим зданиям и сооружениям муниципальных образовательных организаций</w:t>
            </w:r>
          </w:p>
        </w:tc>
      </w:tr>
      <w:tr>
        <w:trPr>
          <w:trHeight w:val="167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построенных пристроек к существующим зданиям и сооружениям и отдельно стоящих зданий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20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70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2: 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50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гарантий доступности общего образования для всех уровней образования;</w:t>
            </w:r>
          </w:p>
        </w:tc>
      </w:tr>
      <w:tr>
        <w:trPr>
          <w:trHeight w:val="157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охват детей в возрасте от 6,6 до 18 лет общим образованием (в общеобразовательных учреждениях)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11890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12021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12345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12700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27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численность обучающихся в общеобразовательных учреждениях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13200</w:t>
            </w:r>
          </w:p>
        </w:tc>
      </w:tr>
      <w:tr>
        <w:trPr>
          <w:trHeight w:val="158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</w:tr>
      <w:tr>
        <w:trPr>
          <w:trHeight w:val="349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кол. учр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24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</w:t>
              <w:br/>
              <w:t>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33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</w:t>
              <w:br/>
              <w:t xml:space="preserve">количество общеобразовательных учреждений, в которых обновлена материально-техническая база 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Проведение капитального ремонта зданий, помещений и сооружений общеобразовательных учреждений</w:t>
            </w:r>
          </w:p>
        </w:tc>
      </w:tr>
      <w:tr>
        <w:trPr>
          <w:trHeight w:val="130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капитальный и текущий ремонт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40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текущий ремонт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26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193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приобретение движимого имущества для оснащения вновь созданных мест в муниципальных общеобразовательных организациях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28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оснащенных мест в общеобразовательных организациях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44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неограниченного круглосуточного доступа к корпоративной сети с выходом в информационно-телекоммуникационную сеть «Интернет»,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</w:t>
            </w:r>
          </w:p>
        </w:tc>
      </w:tr>
      <w:tr>
        <w:trPr>
          <w:trHeight w:val="12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Создание и содержание сайта общеобразовательных учреждений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36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увеличение пропускной способности и оплата Интернет – трафика до 10 М/б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</w:tr>
      <w:tr>
        <w:trPr>
          <w:trHeight w:val="134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</w:t>
            </w:r>
          </w:p>
        </w:tc>
      </w:tr>
      <w:tr>
        <w:trPr>
          <w:trHeight w:val="214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Удельный вес численности педагогических кадров, прошедших обучение программам переподготовки и повышения квалификации педагогических работников, образования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устойчивой динамики роста показателя средней заработной платы педагогических работников школ,</w:t>
              <w:br/>
              <w:t>в том числе учителей</w:t>
            </w:r>
          </w:p>
        </w:tc>
      </w:tr>
      <w:tr>
        <w:trPr>
          <w:trHeight w:val="205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281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 : 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возможности участия детей в олимпиадах, конкурсах краевого, всероссийского уровня</w:t>
            </w:r>
          </w:p>
        </w:tc>
      </w:tr>
      <w:tr>
        <w:trPr>
          <w:trHeight w:val="184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00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</w:t>
            </w:r>
          </w:p>
        </w:tc>
      </w:tr>
      <w:tr>
        <w:trPr>
          <w:trHeight w:val="164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удельный вес численности учащихся, обучающихся по новым федеральным государственным образовательным стандартам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2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Проведение капитального ремонта спортивных залов муниципальных общеобразовательных организаций, помещений при них физкультурно – спортивного назначения, физкультурно – оздоровительных комплексов</w:t>
            </w:r>
          </w:p>
        </w:tc>
      </w:tr>
      <w:tr>
        <w:trPr>
          <w:trHeight w:val="281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 :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физкультурно – оздоровительных комплексов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70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</w:t>
            </w:r>
          </w:p>
        </w:tc>
      </w:tr>
      <w:tr>
        <w:trPr>
          <w:trHeight w:val="110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учащихся, охваченных горячим питанием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11890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12800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12800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12800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12800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12800</w:t>
            </w:r>
          </w:p>
        </w:tc>
      </w:tr>
      <w:tr>
        <w:trPr>
          <w:trHeight w:val="9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охват горячим питанием школьников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44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</w:t>
              <w:br/>
              <w:t>доля обучающихся, получающих начальное общее образование</w:t>
              <w:br/>
              <w:t>в муниципальных образовательных</w:t>
              <w:br/>
              <w:t>организациях, получающих</w:t>
              <w:br/>
              <w:t>Бесплатное горячее питание, к</w:t>
              <w:br/>
              <w:t xml:space="preserve">общему количеству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</w:tr>
      <w:tr>
        <w:trPr>
          <w:trHeight w:val="68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педагогических работников сбалансированным горячим питанием, формирование у педагогов навыков здорового питания</w:t>
            </w:r>
          </w:p>
        </w:tc>
      </w:tr>
      <w:tr>
        <w:trPr>
          <w:trHeight w:val="9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педагогических работников, охваченных горячим питанием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Человек 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Социальная поддержка многодетных семей путем предоставления учащимся из многодетных</w:t>
              <w:br/>
              <w:t>семей сбалансированного горячего питания за счет субсидий краевого бюджета</w:t>
            </w:r>
          </w:p>
        </w:tc>
      </w:tr>
      <w:tr>
        <w:trPr>
          <w:trHeight w:val="100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 из многодетных семей, получающих льготное питание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1441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1498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</w:t>
            </w:r>
          </w:p>
        </w:tc>
      </w:tr>
      <w:tr>
        <w:trPr>
          <w:trHeight w:val="3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Обогащение пищи детей дополнительной витаминизацией</w:t>
            </w:r>
          </w:p>
        </w:tc>
      </w:tr>
      <w:tr>
        <w:trPr>
          <w:trHeight w:val="12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учащихся, получающих молоко и молочную продукцию 2 раза в неделю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11377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9603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5080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-</w:t>
            </w:r>
          </w:p>
        </w:tc>
      </w:tr>
      <w:tr>
        <w:trPr>
          <w:trHeight w:val="6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3: 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113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</w:t>
            </w:r>
          </w:p>
        </w:tc>
      </w:tr>
      <w:tr>
        <w:trPr>
          <w:trHeight w:val="173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детей, занимающихся в организациях дополнительного образования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4019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4050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7110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4219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4219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4219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4219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4219</w:t>
            </w:r>
          </w:p>
        </w:tc>
      </w:tr>
      <w:tr>
        <w:trPr>
          <w:trHeight w:val="197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численность лиц, занимающихся физической культурой и спортом, прошедших медицинские осмотры по углубленной программе медицинского обследования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6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Развитие инфраструктуры и укрепление материально-технической базы учреждений дополнительного образования</w:t>
            </w:r>
          </w:p>
        </w:tc>
      </w:tr>
      <w:tr>
        <w:trPr>
          <w:trHeight w:val="12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Доля оснащенных организаций, в соответствии с требованиями ФГОС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0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муниципальных образовательных организаций дополнительного образования, в которых проведены работы по капитальному ремонту зданий и сооружений и благоустройству территорий, прилегающих к ним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8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Повышение квалификации, профессиональная переподготовка руководителей и педагогических работников учреждений дополнительного образования</w:t>
            </w:r>
          </w:p>
        </w:tc>
      </w:tr>
      <w:tr>
        <w:trPr>
          <w:trHeight w:val="161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педагогов в планах прохождения курсовой подготовки, от численности нуждающихся в повышении квалификации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устойчивой динамики роста показателя средней заработной платы педагогических работников</w:t>
            </w:r>
          </w:p>
        </w:tc>
      </w:tr>
      <w:tr>
        <w:trPr>
          <w:trHeight w:val="184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139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>
        <w:trPr>
          <w:trHeight w:val="269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85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4 . Финансовое обеспечение деятельности органов управления «Руководство и управление в сфере образования»</w:t>
            </w:r>
          </w:p>
        </w:tc>
      </w:tr>
      <w:tr>
        <w:trPr>
          <w:trHeight w:val="59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высокого качества управления процессами развития образования на муниципальном уровне, в пределах своей компетенции</w:t>
            </w:r>
          </w:p>
        </w:tc>
      </w:tr>
      <w:tr>
        <w:trPr>
          <w:trHeight w:val="104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учреждений, подведомственных управлению образования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9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5. Финансовое обеспечение деятельности казенных учреждений</w:t>
            </w:r>
          </w:p>
        </w:tc>
      </w:tr>
      <w:tr>
        <w:trPr>
          <w:trHeight w:val="80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>
        <w:trPr>
          <w:trHeight w:val="160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 и управление образования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92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6. 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3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68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отдохнувших детей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7. Прочие мероприятия в области образования</w:t>
            </w:r>
          </w:p>
        </w:tc>
      </w:tr>
      <w:tr>
        <w:trPr>
          <w:trHeight w:val="35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Информационное и методическое сопровождение деятельности учреждений отрасли образования</w:t>
            </w:r>
          </w:p>
        </w:tc>
      </w:tr>
      <w:tr>
        <w:trPr>
          <w:trHeight w:val="134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62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Организация и проведение государственной итоговой аттестации в форме ОГЭ, ЕГЭ и ГВЭ в муниципальном образовании Кавказский район</w:t>
            </w:r>
          </w:p>
        </w:tc>
      </w:tr>
      <w:tr>
        <w:trPr>
          <w:trHeight w:val="238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0,98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</w:tr>
      <w:tr>
        <w:trPr>
          <w:trHeight w:val="94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увеличение количества учащихся привлекаемых к занятиям физической культурой и спортом</w:t>
            </w:r>
          </w:p>
        </w:tc>
      </w:tr>
      <w:tr>
        <w:trPr>
          <w:trHeight w:val="188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введение ставок педагогов дополнительного образования для работы с детьми в спортивных клубах общеобразовательных учреждений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ста-вок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33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18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</w:tr>
      <w:tr>
        <w:trPr>
          <w:trHeight w:val="193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Целевой показатель: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ставок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1,5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</w:tr>
      <w:tr>
        <w:trPr>
          <w:trHeight w:val="224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число педагогов,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61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спортивных клубах общеобразовательных учреждений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93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54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привлечение учащихся к регулярному занятию в секциях спортивных клубов общеобразовательных учреждений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93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3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Задача: Активизация спортивно-массовой работы в образовательных учреждениях муниципального образования, </w:t>
              <w:br/>
              <w:t>создание условий для регулярного занятия физической культурой и спортом в учреждениях дополнительного образования, увеличение количества учащихся привлекаемых к занятиям физической культурой и спортом</w:t>
            </w:r>
          </w:p>
        </w:tc>
      </w:tr>
      <w:tr>
        <w:trPr>
          <w:trHeight w:val="184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 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Ставок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69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194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численность учащихся, 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316</w:t>
            </w:r>
          </w:p>
        </w:tc>
      </w:tr>
      <w:tr>
        <w:trPr>
          <w:trHeight w:val="284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Основное мероприятие № 8. Поддержка одаренных детей и талантливой молодежи</w:t>
            </w:r>
          </w:p>
        </w:tc>
      </w:tr>
      <w:tr>
        <w:trPr>
          <w:trHeight w:val="806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8.1</w:t>
            </w:r>
          </w:p>
        </w:tc>
        <w:tc>
          <w:tcPr>
            <w:tcW w:w="13796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Задача: Создание и обеспечение условий для проведения и участия в олимпиадах, конкурсах и иных мероприятиях различного уровня для одаренных детей</w:t>
            </w:r>
          </w:p>
        </w:tc>
      </w:tr>
      <w:tr>
        <w:trPr>
          <w:trHeight w:val="1931" w:hRule="atLeast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</w:tr>
      <w:tr>
        <w:trPr>
          <w:trHeight w:val="431" w:hRule="atLeast"/>
        </w:trPr>
        <w:tc>
          <w:tcPr>
            <w:tcW w:w="773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4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773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4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6" w:hRule="atLeast"/>
        </w:trPr>
        <w:tc>
          <w:tcPr>
            <w:tcW w:w="773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682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4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1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9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0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458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94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5000" w:type="dxa"/>
            <w:gridSpan w:val="7"/>
            <w:vMerge w:val="restart"/>
            <w:tcBorders/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С.В. Филатова</w:t>
            </w:r>
          </w:p>
        </w:tc>
      </w:tr>
      <w:tr>
        <w:trPr/>
        <w:tc>
          <w:tcPr>
            <w:tcW w:w="4458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4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83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00" w:type="dxa"/>
            <w:gridSpan w:val="7"/>
            <w:vMerge w:val="continue"/>
            <w:tcBorders/>
            <w:shd w:fill="auto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tbl>
      <w:tblPr>
        <w:tblW w:w="15424" w:type="dxa"/>
        <w:jc w:val="left"/>
        <w:tblInd w:w="-3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7"/>
        <w:gridCol w:w="3070"/>
        <w:gridCol w:w="793"/>
        <w:gridCol w:w="1075"/>
        <w:gridCol w:w="3"/>
        <w:gridCol w:w="1408"/>
        <w:gridCol w:w="3"/>
        <w:gridCol w:w="1285"/>
        <w:gridCol w:w="3"/>
        <w:gridCol w:w="1408"/>
        <w:gridCol w:w="3"/>
        <w:gridCol w:w="1373"/>
        <w:gridCol w:w="1410"/>
        <w:gridCol w:w="1641"/>
        <w:gridCol w:w="3"/>
        <w:gridCol w:w="1257"/>
      </w:tblGrid>
      <w:tr>
        <w:trPr>
          <w:trHeight w:val="938" w:hRule="atLeast"/>
        </w:trPr>
        <w:tc>
          <w:tcPr>
            <w:tcW w:w="15422" w:type="dxa"/>
            <w:gridSpan w:val="16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ОСНОВНЫХ МЕРОПРИЯТИЙ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«РАЗВИТИЕ ОБРАЗОВАНИЯ»</w:t>
            </w:r>
          </w:p>
        </w:tc>
      </w:tr>
      <w:tr>
        <w:trPr>
          <w:trHeight w:val="686" w:hRule="atLeast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реализации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48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>
        <w:trPr>
          <w:trHeight w:val="4164" w:hRule="atLeast"/>
        </w:trPr>
        <w:tc>
          <w:tcPr>
            <w:tcW w:w="6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</w:t>
            </w:r>
          </w:p>
        </w:tc>
        <w:tc>
          <w:tcPr>
            <w:tcW w:w="164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7" w:hRule="atLeas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12923761,2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338605,0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8410894,3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3458572,9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715689,0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1028597,4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723650,4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252041,0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52906,0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1129190,1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3381,4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798599,5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275276,2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51933,0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1140132,0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802439,4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276955,6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57750,0</w:t>
            </w:r>
          </w:p>
        </w:tc>
        <w:tc>
          <w:tcPr>
            <w:tcW w:w="1641" w:type="dxa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1200176,3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772488,0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353888,3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73800,0</w:t>
            </w:r>
          </w:p>
        </w:tc>
        <w:tc>
          <w:tcPr>
            <w:tcW w:w="1641" w:type="dxa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1344167,2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6148,6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878337,8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380380,8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79300,0</w:t>
            </w:r>
          </w:p>
        </w:tc>
        <w:tc>
          <w:tcPr>
            <w:tcW w:w="1641" w:type="dxa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1393772,9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34643,8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911456,1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367673,0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</w:t>
            </w:r>
          </w:p>
        </w:tc>
        <w:tc>
          <w:tcPr>
            <w:tcW w:w="1641" w:type="dxa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1455387,5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95493,8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884886,9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395006,8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</w:t>
            </w:r>
          </w:p>
        </w:tc>
        <w:tc>
          <w:tcPr>
            <w:tcW w:w="1641" w:type="dxa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1452544,7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100245,7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885152,8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387146,2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</w:t>
            </w:r>
          </w:p>
        </w:tc>
        <w:tc>
          <w:tcPr>
            <w:tcW w:w="1641" w:type="dxa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1446870,2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95704,7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884302,1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386863,4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</w:t>
            </w:r>
          </w:p>
        </w:tc>
        <w:tc>
          <w:tcPr>
            <w:tcW w:w="1641" w:type="dxa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1332922,9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869581,3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383341,6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80000,0</w:t>
            </w:r>
          </w:p>
        </w:tc>
        <w:tc>
          <w:tcPr>
            <w:tcW w:w="1641" w:type="dxa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/>
            <w:shd w:fill="auto"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 1 Развитие системы дошкольного образования в муниципальном образовании Кавказский район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5682095,5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3584037,7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1491451,8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606606,0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доступного  и качественного 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 образовательные  учреждения, подведомственные управлению образования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422237,4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285076,1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92255,3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44906,0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501466,3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346374,1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109092,2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503265,3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349735,2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104530,1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559284,3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334399,8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162684,5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608839,6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370271,6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171568,0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606060,8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384775,1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153785,7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621954,2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378219,2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176235,0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619617,4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378350,4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173767,0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619685,1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378418,1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173767,0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619685,1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378418,1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173767,0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1.1 Реализация мероприятий в области образования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16842,4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16842,4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10922,4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10922,4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1.1.1 Наказы избирателей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6187,0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1.1.2 Осуществление  текущего ремонта, благоустройства территорий и материально- техническое обеспечение дошкольными образовательными учреждениями (в том числе в рамках софинансирования краевого бюджета, выделенного на дополнительную помощь  местным бюджетам для реализации социально- значимых мероприятий)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10655,4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10655,4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10530,4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10530,4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91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1.2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20685,4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20685,4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2175,4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2175,4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2098,7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2098,7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2199,1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2199,1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1808,7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1808,7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45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1.3 Финансовое обеспечение деятельности муниципальных бюджетных и автономных учреждений на реализацию программ дошкольного образования (предоставление субсидий на оказание муниципальных услуг)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5471934,2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3403809,4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1461518,8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606606,0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395626,0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270787,1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79932,9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44906,0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462795,2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315223,2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101572,0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479475,0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327924,9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102550,1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529907,8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306518,3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161189,5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588550,9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352170,3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169380,6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588571,7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369246,0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151825,7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606751,9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365484,9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173767,0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606751,9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365484,9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173767,0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606751,9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365484,9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173767,0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606751,9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365484,9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173767,0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1.4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103023,0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103023,0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компенсационных  выплат родителям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9207,4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9207,4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8792,4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8792,4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9662,6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9662,6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3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11087,8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11087,8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3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11465,4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11465,4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3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9105,0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3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10925,6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10925,6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3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10925,6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10925,6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3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10925,6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10925,6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5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10925,6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10925,6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1.5 Премирование дошкольных образовательных организаций, внедрение инновационных образовательных программ (выплата премии победителям краевого конкурса среди ДОУ)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спортивного инвентаря (детских тренажеров)</w:t>
              <w:br/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1.6 Осуществление муниципальными учреждениями капитального ремонта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11519,0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11519,0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капитального ремонта учреждений 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6019,0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6019,0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1.7 Дополнительная помощь местным бюджетам для решения социально-значимых вопросов (в том числе подготовка к зиме)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21576,7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21576,7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8041,7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8041,7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4225,0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631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1.8 Развитие системы дошкольного образования (в том числе строительство пристроек к существующим зданиям и сооружениям муниципальных образовательных организаций)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12149,2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11513,0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мебели  для оснащения дополнительно вводимых мест в дошкольных  образовательных организациях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1895,5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10153,7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4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1.9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22504,3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22504,3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 доступного и качественного образования детей</w:t>
              <w:br/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8128,7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8128,7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7722,3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7722,3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1.10 Реализация мероприятий 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1461,3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875,9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585,4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ограждения территории ДОУ № 16, № 21, № 30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1.11 Благоустройство территории дошкольных  образовательных учреждений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по благоустройству территории ДОУ № 2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 2 Развитие системы общего образования в муниципальном образовании Кавказский район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6285144,2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338605,0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4723759,5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1138496,7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84283,0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школа – интернат,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525136,7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430415,1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89221,6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545196,1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3381,4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446173,2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92108,5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3533,0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548042,4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446646,2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92259,2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547127,7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431172,8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106854,9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639559,1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6148,6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500138,1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123272,4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681026,5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34643,8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510537,2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125845,5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731464,5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95493,8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493737,0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132233,7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731023,9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100245,7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493842,1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126936,1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725257,3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95704,7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492909,3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126643,3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611310,0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478188,5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123121,5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2.1 Организация питания учащихся  муниципальных общеобразовательных учреждений, реализующих общеобразовательные программы, обеспечение молоком и молочными продуктами учащихся муниципальных общеобразовательных учреждений, реализующих общеобразовательные программы начального общего образования; обеспечение льготным питанием учащихся из многодетных семей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119391,3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21358,9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98032,4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питания учащихся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17326,5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2156,5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15170,0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15552,9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13366,0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12999,4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2499,4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16221,5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2966,5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16124,2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3124,2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9706,4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2433,4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7273,0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8966,4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7468,4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7498,0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7498,0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121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7498,0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2.2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    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31955,4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31955,4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5113,4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5113,4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3666,4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3666,4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4666,0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4666,0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3220,7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3220,7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2538,6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2538,6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2626,9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2626,9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92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2626,9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2626,9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2.3 Реализация мероприятий в области образования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15613,0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15613,0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4294,0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4294,0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1718,0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1718,0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2761,0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2761,0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2.3.1 Наказы избирателей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10113,0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10113,0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2.3.2 Реализация мероприятий по популяризации здорового образа жизни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популяризации здорового образа жизни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2.3.3 Реализация мероприятий по правовому воспитанию учащихся, проведение творческих конкурсов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творческих конкурсов и мероприятий по правовому воспитанию учащихся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2.3.4 Осуществление  текущего ремонта, благоустройства территорий и материально- техническое обеспечение 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4924,0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4924,0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3206,0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3206,0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2.4 Финансовое обеспечение деятельности муниципальных бюджетных и автономных учреждений на реализацию программ общего образования (предоставление субсидий на оказание муниципальных услуг)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5509228,3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4485742,9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939685,4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83800,0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471159,6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416326,4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49333,2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486982,7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428354,6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55428,1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501518,5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430714,7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64803,8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512657,2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413779,2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89778,0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551989,6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441455,5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100534,1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592664,7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471022,5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111642,2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598064,0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471022,5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117041,5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598064,0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471022,5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117041,5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598064,0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471022,5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117041,5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598064,0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471022,5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117041,5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2.5 Финансовое обеспечение деятельности МБОУ ШИООО № 3 на реализацию программ основного образования (за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48167,8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47684,8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483,0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17535,0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17535,0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19181,3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18848,3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11451,5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11301,5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87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2.6 Реализация мероприятий  государственной программы Краснодарского края «Развитие образования» (поддержка массового спорта, оплата интернет-трафика, приобретение школьных автобусов)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8475,1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7641,1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834,0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8475,1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7641,1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2.7 Осуществление муниципальными учреждениями капитального ремонта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7811,4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7811,4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капитального ремонта 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2055,4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2055,4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2.8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26100,2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26100,2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2.9 Благоустройство территории учреждений образования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 по благоустройству территории учреждений образования</w:t>
              <w:br/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2.10 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</w:t>
              <w:br/>
              <w:t xml:space="preserve">по образовательным программам основного общего образования (выплата педагогическим работникам, </w:t>
              <w:br/>
              <w:t>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  <w:br/>
              <w:t xml:space="preserve">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28532,1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28532,1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2555,7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2555,7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1887,8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1887,8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3480,5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3480,5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6562,9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6562,9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3041,1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3041,1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3041,1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3041,1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3041,1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3041,1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3041,1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3041,1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2.11 Реализация мероприятий  государственной программы Краснодарского края «Развитие образования» (проведение капитального ремонта спортивных залов муниципальных общеобразовательных организаций, (в том числе расположенных в сельской местности), помещений при них, других помещений физкультурно-спортивного назначения, физкультурно-оздоровительных комплексов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16512,7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6368,4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4559,1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5585,2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7859,7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3381,4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2106,2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2372,1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6353,4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2987,0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2086,2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2299,6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6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2.12 Реализация мероприятий  государственной программы Краснодарского края «Развитие образования» (проведение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3806,2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3610,5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1651,3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2066,9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263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2.13 Реализация мероприятий 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23161,1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19825,6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3335,5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ограждений территорий МБОУ СОШ № 12, № 21, № 16, № 17, МБОУ ШООО № 43, замена оконных блоков МБОУ СОШ № 7, МБОУ </w:t>
              <w:br/>
              <w:t>ШООО № 3, МБОУ СОШ № 17, МБОУ СОШ № 15 капитальный ремонт кровли МБОУ СОШ № 2, № 6, № 7, №  5, № 8, № 13, № 9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56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16760,7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15084,3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5268,3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4741,3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3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2.14 Реализация мероприятий  государственной программы Краснодарского края «Развитие образования» (приобретение движимого имущества для оснащения вновь созданных мест в муниципальных общеобразовательных организациях, за исключением мероприятий, предусмотренных пунктами 1.1*)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19399,8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18429,8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оборудованием МБОУ СОШ № 7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19399,8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18429,8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72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2.15 Реализация мероприятий  государственной программы Краснодарского края «Развитие образования» (обновление материально- технической базы для формирования у обучающихся современных технологических и гуманитарных навыков, за исключением мероприятия, предусмотренного подпунктом 1.3.3 пункта 1.3*)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11372,3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10371,2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432,3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568,8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 для создания Центра образования цифрового и гуманитарного профилей («Точка роста» регионального проекта «Современная школа») МБОУ СОШ № 9, № 12, № 18, № 20, № 14, № 8, № 15, № 13</w:t>
              <w:br/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6741,9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6148,6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2372,7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2163,8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16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2.16 Реализация мероприятий  государственной программы Краснодарского края «Развитие образования» (проведение капитального ремонта спортивных залов муниципальных образовательных организаций, помещений при них, других помещений физкультурно- спортивного назначения, физкультурно- оздоровительных комплексов)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7368,6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3488,7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3879,9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спортивных залов </w:t>
              <w:br/>
              <w:t xml:space="preserve">лицея № 3, МБОУ </w:t>
              <w:br/>
              <w:t>ШООО № 3, МБОУ СОШ № 4, МБОУ СОШ № 44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6840,6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3488,7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3351,9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2.17 Реализация мероприятий  государственной программы Краснодарского края «Развитие образования»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«Современная школа» (обновление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областей, за исключением мероприятия, предусмотренного подпунктом 1.3.3 пункта 1.3*)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20929,1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19882,6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1046,5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  (регионального проекта «Современная школа») МБОУ СОШ № 2, № 7, № 20, № 17, МАОУ лицей № 3</w:t>
              <w:br/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79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0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5697,8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5412,9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15231,3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14469,7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0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2.18 Реализация мероприятий  государственной программы Краснодарского края «Развитие образования» по организации бесплатного горячего питания обучающихся, получающих начальное общее образование в муниципальных образовательных организациях, расположенных на территории Краснодарского края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241077,1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176822,7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52200,3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12054,1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бесплатного горячего  питания учащихся 1-4 классов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26539,2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19161,3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6050,9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68999,0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49817,2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15731,8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75104,4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55652,3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15696,8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3755,3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70434,5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52191,9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14720,8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3521,8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5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2.19 Реализация мероприятий  государственной программы Краснодарского края «Развитие образования»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145042,7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145042,7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14504,3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14504,3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43512,8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43512,8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43512,8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43512,8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43512,8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43512,8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5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 3. Развитие системы дополнительного образования в муниципальном образовании Кавказский район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513039,1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16454,8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471784,3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24800,0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 доступного и качественного образования детей</w:t>
              <w:br/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Общеобразовательные  учреждения,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43757,1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6722,6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34534,5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43597,2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4780,2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36417,0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46639,1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43404,0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49190,7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51952,3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48446,3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53897,7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50620,5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56050,6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53167,5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55975,2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53062,5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55989,6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53062,5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55989,6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53062,5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3.1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</w:t>
              <w:br/>
              <w:t xml:space="preserve">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3988,2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3988,2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422,9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377,2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2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3.2 Реализация мероприятий в области образования, наказы избирателей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текущего ремонта и укрепление материально-технической базы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3.3 Финансовое обеспечение деятельности муниципальных бюджетных и автономных учреждений на реализацию программ дополнительного образования (предоставление субсидий на оказание муниципальных услуг)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492462,7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3210,7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464452,0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24800,0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 условий  для получения 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36931,5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34431,5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41952,7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3210,7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36342,0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46004,0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43404,0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48507,0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50655,0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48355,0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46162,5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43662,5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55562,5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53062,5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55562,5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53062,5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55562,5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53062,5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7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55562,5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53062,5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3.4 Поэтапное 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4221,6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4221,6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 уровня жизни работников муниципальных учреждений дополнительного образования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дополнительного  образования детей,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4221,6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4221,6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3.5 Социальная поддержка отдельной категории работников образовательных учреждений дополнительного образования детей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 уровня жизни работников муниципальных учреждений дополнительного образования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дополнительного  образования детей, подведомственные управлению образования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73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3.6 Реализация мероприятий  государственной программы Краснодарского края «Развитие образования»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2053,0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3.7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2063,7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2063,7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дополнительного образования детей, подведомственные  управлению образования </w:t>
              <w:br/>
            </w:r>
          </w:p>
        </w:tc>
      </w:tr>
      <w:tr>
        <w:trPr>
          <w:trHeight w:val="51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807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3.8 Реализация мероприятий  государственной программы Краснодарского края «Развитие образования» (проведение медицинских осмотров лиц, занимающихся физической культурой и спортом по углубленной программе медицинского обследования)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824,4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783,1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медицинских осмотров 210 чел. в МБОУ ДЮСШ «Совершенство»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ДЮСШ «Совершенство»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3.9 Осуществление муниципальными учреждениями капитального ремонта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текущего и капитального ремонта </w:t>
              <w:br/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дополнительного образования детей, подведомственные  управлению образования </w:t>
              <w:br/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3.10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6843,0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6843,0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2612" w:leader="none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дополнительного образования в рамках системы персонифицированного финансирования не менее 25%  от общей численности детей в возрасте от 5 до 18 лет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дополнительного образования детей, подведомственные  управлению образования </w:t>
              <w:br/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6843,0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6843,0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36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 4. Финансовое обеспечение деятельности органов управления «Руководство и управление в сфере образования»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69251,8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69251,8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 и доступности образования в МО Кавказский район 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6117,0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6117,0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6073,0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6073,0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6673,8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6673,8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7261,1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7261,1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7370,1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7370,1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7341,7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7341,7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7341,7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7341,7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7341,7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7341,7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7341,7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7341,7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 5. Обеспечение деятельности в области бухгалтерского и бюджетного учета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307742,4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81021,9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226720,5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расходования средств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ЦБО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22166,6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22166,6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22565,0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28398,5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5399,2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22999,3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30636,6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6206,6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32675,8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6621,8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26054,0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34882,3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12603,9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22278,4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34104,4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12547,6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21556,8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34104,4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12547,6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21556,8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34104,4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12547,6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21556,8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34104,4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12547,6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21556,8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6058,6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6058,6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отдыха детям 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ЛТО Кубаночка 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1364,0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1443,1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59479,6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5620,4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53859,2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 учреждения, подведомственные управлению образования</w:t>
              <w:br/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7545,6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6109,0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8647,0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6063,7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5820,1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3879,3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3779,0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10535,5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2762,7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7772,8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7.1 Расходы на обеспечение деятельности муниципальных казенных учреждений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46852,5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46852,5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3779,0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3779,0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3970,1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3970,1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4247,1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7.2 Реализация мероприятий  государственной программы Краснодарского края «Развитие образования» Организация и проведение государственной итоговой аттестации в форме ОГЭ, ЕГЭ и ГВЭ в муниципальном образовании Кавказский район (выплата педагогическим и иным работникам, 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3715,7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1791,7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1924,0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получения доступного и качественного образования детей </w:t>
              <w:br/>
              <w:br/>
              <w:br/>
              <w:br/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 учреждения, подведомственные управлению образования</w:t>
              <w:br/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2205,6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1436,6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523,7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7.3 Реализация мероприятий  государственной программы Краснодарского края «Развитие образования» Поддержка массового спорта в общеобразовательных учреждениях и учреждениях дополнительного образования МО Кавказский район (оплата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1123,6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1066,0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 учреждения, подведомственные управлению образования</w:t>
            </w:r>
          </w:p>
        </w:tc>
      </w:tr>
      <w:tr>
        <w:trPr>
          <w:trHeight w:val="6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1123,6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7.4 Реализация мероприятий  в области образования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1222,4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1222,4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 учреждения, подведомственные управлению образования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1162,4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7.5 Финансовое обеспечение непредвиденных расходов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 на софинансирование мероприятий в части оснащения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6565,4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2762,7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3802,7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помещений муниципальных дошкольных образовательных и общеобразовательных организаций оборудованием для обеззараживания воздуха, предназначенным для работы в присутствии людей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 учреждения, подведомственные управлению образования</w:t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6565,4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2762,7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3802,7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01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№ 8. Поддержка одаренных детей и талантливой молодежи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обеспечение условий для проведения и участия в олимпиадах, конкурсах и иных мероприятиях различного уровня для одаренных детей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 учреждения, подведомственные управлению образования</w:t>
              <w:br/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8.1 Организация и проведение предметных олимпиад, научно-практических конференций, конкурсов 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канцелярских товаров, заправка картриджей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 учреждения, подведомственные управлению образования</w:t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№ 8.2 Доставка школьников на учебно-тренировочные сборы, очно-заочное  и очное обучение, лектории, тренинги по подготовке к олимпиадам; доставка школьников для участия в профильных интеллектуальных и творческих сменах; доставка школьников для участия в зональных, краевых, всероссийских мероприятиях (олимпиады, конференции, конкурсы, фестивали, форумы и т. д.)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ГСМ,  оплата  аренды автотранспорта, оплата билетов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 учреждения, подведомственные управлению образования</w:t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61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0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№ 8.3 Чествование одаренных детей и их наставников (победителей  и призеров творческих конкурсов и олимпиад, выпускников, получивших медали «За особые успехи в учении» и набравших  100 баллов при сдаче ЕГЭ и др.) 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грамот, дипломов, благодарственных писем, рамок, цветов, призов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 учреждения, подведомственные управлению образования</w:t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68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8" w:hRule="atLeast"/>
        </w:trPr>
        <w:tc>
          <w:tcPr>
            <w:tcW w:w="15422" w:type="dxa"/>
            <w:gridSpan w:val="16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в соответствии с приложением № 3 «Перечень основных мероприятий государственной программы» государственная программа «Развитие образования», утвержденная постановлением главы администрации (губернатора) Краснодарского края № 939 от 05 октября 2015 года.</w:t>
            </w:r>
          </w:p>
        </w:tc>
      </w:tr>
      <w:tr>
        <w:trPr>
          <w:trHeight w:val="345" w:hRule="atLeast"/>
        </w:trPr>
        <w:tc>
          <w:tcPr>
            <w:tcW w:w="68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7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7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5628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муниципального образования</w:t>
            </w:r>
          </w:p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Кавказский район                                                                                               </w:t>
            </w:r>
          </w:p>
        </w:tc>
        <w:tc>
          <w:tcPr>
            <w:tcW w:w="1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84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С.В. Филатова</w:t>
            </w:r>
          </w:p>
        </w:tc>
      </w:tr>
      <w:tr>
        <w:trPr>
          <w:trHeight w:val="420" w:hRule="atLeast"/>
        </w:trPr>
        <w:tc>
          <w:tcPr>
            <w:tcW w:w="5628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84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2.1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8"/>
        <w:gridCol w:w="4100"/>
        <w:gridCol w:w="2"/>
        <w:gridCol w:w="1251"/>
        <w:gridCol w:w="2"/>
        <w:gridCol w:w="1858"/>
        <w:gridCol w:w="1"/>
        <w:gridCol w:w="1598"/>
        <w:gridCol w:w="2"/>
        <w:gridCol w:w="1222"/>
        <w:gridCol w:w="2"/>
        <w:gridCol w:w="1828"/>
        <w:gridCol w:w="2"/>
        <w:gridCol w:w="1732"/>
      </w:tblGrid>
      <w:tr>
        <w:trPr>
          <w:trHeight w:val="1031" w:hRule="atLeast"/>
        </w:trPr>
        <w:tc>
          <w:tcPr>
            <w:tcW w:w="14568" w:type="dxa"/>
            <w:gridSpan w:val="14"/>
            <w:tcBorders/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Объем финансовых ресурсов, предусмотренных на реализацию муниципальной программы "Развитие образования"</w:t>
            </w:r>
          </w:p>
        </w:tc>
      </w:tr>
      <w:tr>
        <w:trPr/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п/п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 реализации программы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Объём финанси-рования всего</w:t>
            </w:r>
          </w:p>
        </w:tc>
        <w:tc>
          <w:tcPr>
            <w:tcW w:w="63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источникам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(тыс. руб.)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муници-пальный бюджет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внебюджетные источники</w:t>
            </w:r>
          </w:p>
        </w:tc>
      </w:tr>
      <w:tr>
        <w:trPr>
          <w:trHeight w:val="401" w:hRule="atLeast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>
        <w:trPr/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«Развитие образования»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12923761,2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338605,0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8410894,3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3458572,9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715689,0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1028597,4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723650,4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252041,0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52906,0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1129190,1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3381,4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798599,5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275276,2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51933,0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1140132,0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2987,0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802439,4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276955,6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57750,0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1200176,3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772488,0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353888,3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73800,0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1344167,2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6148,6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878337,8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380380,8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79300,0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1393772,9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34643,8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911456,1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367673,0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1455387,5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95493,8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884886,9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395006,8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1452544,7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100245,7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885152,8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387146,2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1446870,2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95704,7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884302,1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386863,4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1332922,9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869581,3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383341,6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1. Развитие системы дошкольного образования в муниципальном образовании Кавказский район»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5682095,5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3584037,7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1491451,8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606606,0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422237,4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285076,1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92255,3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44906,0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501466,3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346374,1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109092,2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503265,3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349735,2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104530,1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49000,0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559284,3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334399,8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162684,5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62200,0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608839,6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370271,6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171568,0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67000,0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606060,8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384775,1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153785,7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67500,0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621954,2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378219,2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176235,0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67500,0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619617,4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378350,4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173767,0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67500,0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619685,1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378418,1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173767,0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67500,0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619685,1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378418,1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173767,0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67500,0</w:t>
            </w:r>
          </w:p>
        </w:tc>
      </w:tr>
      <w:tr>
        <w:trPr/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2. Развитие системы общего образования в муниципальном образовании Кавказский район»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6285144,2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338605,0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4723759,5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1138496,7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84283,0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525136,7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430415,1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89221,6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545196,1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3381,4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446173,2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92108,5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3533,0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548042,4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2987,0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446646,2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92259,2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6150,0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547127,7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431172,8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106854,9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9100,0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639559,1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6148,6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500138,1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123272,4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681026,5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34643,8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510537,2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125845,5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731464,5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95493,8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493737,0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132233,7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731023,9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100245,7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493842,1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126936,1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725257,3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95704,7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492909,3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126643,3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611310,0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478188,5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123121,5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3. Развитие системы дополнительного образования в муниципальном образовании Кавказский район»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513039,1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16454,8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471784,3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24800,0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43757,1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6722,6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34534,5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43597,2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4780,2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36417,0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2400,0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46639,1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635,1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43404,0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49190,7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683,7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46007,0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51952,3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1206,0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48446,3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2300,0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53897,7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777,2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50620,5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56050,6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383,1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53167,5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55975,2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412,7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53062,5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55989,6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427,1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53062,5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55989,6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427,1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53062,5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Основное мероприятие № 4. Финансовое обеспечение деятельности органов управления «Руководство и управление в сфере образования» 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69251,8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69251,8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6390,0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6390,0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6117,0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6117,0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6073,0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6073,0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6673,8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6673,8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7261,1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7261,1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7370,1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7370,1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7341,7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7341,7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7341,7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7341,7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7341,7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7341,7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7341,7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7341,7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Основное мероприятие № 5. Обеспечение деятельности в области бухгалтерского и бюджетного учета 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307742,4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81021,9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226720,5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22166,6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22166,6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22565,0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22565,0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28398,5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5399,2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22999,3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30636,6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6206,6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24430,0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32675,8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6621,8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26054,0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34882,3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12603,9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22278,4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34104,4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12547,6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21556,8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34104,4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12547,6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21556,8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34104,4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12547,6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21556,8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34104,4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12547,6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21556,8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6058,6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6058,6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1364,0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1364,0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1601,5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1601,5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1650,0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1650,0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1443,1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1443,1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59479,6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5620,4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53859,2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7545,6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1436,6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6109,0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8647,0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1272,0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7375,0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6063,7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23,7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6040,0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5820,1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25,1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5795,0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3879,3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100,3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3779,0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10535,5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2762,7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7772,8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4247,1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4247,1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4247,1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4247,1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4247,1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4247,1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4247,1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4247,1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8. Поддержка одаренных детей и талантливой молодежи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950,0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950,0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235,0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235,0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245,0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96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245,0</w:t>
            </w:r>
          </w:p>
        </w:tc>
        <w:tc>
          <w:tcPr>
            <w:tcW w:w="15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245,0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>
          <w:trHeight w:val="401" w:hRule="atLeast"/>
        </w:trPr>
        <w:tc>
          <w:tcPr>
            <w:tcW w:w="968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100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gridSpan w:val="2"/>
            <w:tcBorders/>
            <w:shd w:fill="FFFFFF" w:val="clea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60" w:type="dxa"/>
            <w:gridSpan w:val="2"/>
            <w:tcBorders/>
            <w:shd w:fill="FFFFFF" w:val="clea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9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24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30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34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968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100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gridSpan w:val="2"/>
            <w:tcBorders/>
            <w:shd w:fill="FFFFFF" w:val="clea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60" w:type="dxa"/>
            <w:gridSpan w:val="2"/>
            <w:tcBorders/>
            <w:shd w:fill="FFFFFF" w:val="clea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9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24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30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34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16" w:hRule="atLeast"/>
        </w:trPr>
        <w:tc>
          <w:tcPr>
            <w:tcW w:w="968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100" w:type="dxa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gridSpan w:val="2"/>
            <w:tcBorders/>
            <w:shd w:fill="FFFFFF" w:val="clea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60" w:type="dxa"/>
            <w:gridSpan w:val="2"/>
            <w:tcBorders/>
            <w:shd w:fill="FFFFFF" w:val="clea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9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24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30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34" w:type="dxa"/>
            <w:gridSpan w:val="2"/>
            <w:tcBorders/>
            <w:shd w:fill="FFFFFF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5070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125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5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0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3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32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31" w:hRule="atLeast"/>
        </w:trPr>
        <w:tc>
          <w:tcPr>
            <w:tcW w:w="5070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25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5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60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562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С.В. Филатова</w:t>
            </w:r>
          </w:p>
        </w:tc>
      </w:tr>
      <w:tr>
        <w:trPr>
          <w:trHeight w:val="401" w:hRule="atLeast"/>
        </w:trPr>
        <w:tc>
          <w:tcPr>
            <w:tcW w:w="968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100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6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9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2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3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73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8472" w:right="0" w:hanging="0"/>
        <w:jc w:val="center"/>
        <w:rPr/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3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Форма непосредственного контроля выполнения целевых показателей и периодичность отчетности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2D2D2D"/>
          <w:sz w:val="24"/>
          <w:szCs w:val="24"/>
          <w:highlight w:val="white"/>
        </w:rPr>
      </w:pPr>
      <w:r>
        <w:rPr>
          <w:rFonts w:eastAsia="Arial Unicode MS" w:cs="Times New Roman" w:ascii="Times New Roman" w:hAnsi="Times New Roman"/>
          <w:color w:val="2D2D2D"/>
          <w:sz w:val="24"/>
          <w:szCs w:val="24"/>
          <w:highlight w:val="white"/>
        </w:rPr>
      </w:r>
    </w:p>
    <w:p>
      <w:pPr>
        <w:pStyle w:val="Normal"/>
        <w:tabs>
          <w:tab w:val="clear" w:pos="720"/>
          <w:tab w:val="right" w:pos="9213" w:leader="none"/>
        </w:tabs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595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92"/>
        <w:gridCol w:w="5280"/>
        <w:gridCol w:w="5234"/>
        <w:gridCol w:w="3288"/>
      </w:tblGrid>
      <w:tr>
        <w:trPr/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left"/>
              <w:rPr/>
            </w:pPr>
            <w:r>
              <w:rPr/>
              <w:t>№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Наименование целевого показателя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Форма статистической отчетности (иной отчетности)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Периодичность сдачи</w:t>
            </w:r>
          </w:p>
        </w:tc>
      </w:tr>
      <w:tr>
        <w:trPr>
          <w:trHeight w:val="870" w:hRule="atLeast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Статистическая отчетность (форма 85-К)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1 раз в год, до </w:t>
            </w: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15 января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4"/>
              </w:rPr>
              <w:t>года, следующего за отчетным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4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в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5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возможностями.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Информация предоставляется в МОНиМП КК о выполнении индикативного плана социально-экономического развития 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ind w:left="0" w:right="45" w:hanging="0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6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педагогов дошкольных учреждений, прошедших повышение квалификации от общей численности педагогов, нуждающихся в повышении квалификации.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 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7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8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9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численность обучающихся в общеобразовательных учреждениях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10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11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12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13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количество общеобразовательных учреждений, в которых обновлена материально-техническая база 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Не предусмотрена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14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образовательных учреждений, в которых проведен текущий ремонт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15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16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создание и содержание сайта общеобразовательных учреждений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17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0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увеличение пропускной</w:t>
            </w:r>
          </w:p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способности и оплата Интернет – трафика до 10 М/б;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Статистическая отчетность ФСН (формы ОО-2)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1 раз в год, </w:t>
            </w: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март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18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удельный вес численности педагогических кадров, прошедших обучение по программам переподготовки и повышения квалификации педагогических работников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19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Ежеквартально 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20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педагогических работников муниципальных общеобразовательных организаций, получающих вознаграждения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21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в ГБОУ ДО КК «Центр развития одаренности»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>1 раз в год, декабрь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22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</w:rPr>
            </w:pPr>
            <w:r>
              <w:rPr>
                <w:rFonts w:ascii="Times New Roman;serif" w:hAnsi="Times New Roman;serif"/>
                <w:color w:val="000000"/>
                <w:sz w:val="24"/>
              </w:rPr>
              <w:t xml:space="preserve">удельный вес численности учащихся, обучающихся по новым федеральным государственным образовательным стандартам 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23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физкультурно – оздоровительных комплексов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24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учащихся, охваченных горячим питанием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25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охват горячим питанием школьников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26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обучающихся, получающих начальное общее образование муниципальных образовательных организациях, получающих</w:t>
              <w:br/>
              <w:t>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Информация предоставляется по требованию МОНиМП ККК 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27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 из многодетных семей, получающих льготное питание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28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учащихся, получающих молоко и молочную продукцию 2 раза в неделю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29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детей, занимающихся в организациях дополнительного образования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30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оснащенных организаций, в соответствии с требованиями ФГОС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31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образовательных организаций дополнительного образования, в которых проведены работы по капитальному ремонту зданий и сооружений и благоустройству территорий, прилегающих к ним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 и проверяющих органов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32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педагогов дополнительного образовния в планах прохождения курсовой подготовки, от численности нуждающихся в повышении квалификации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Мониторинг численности педагогических кадров, прошедших обучение по программам переподготовки и повышения квалификации педагогических работников предоставляется в ГБОУ ИРО КК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33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По требованию МОНиМП КК 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34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35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учреждений, подведомственных управлению образования и управление образования (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Мероприятие №4)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 xml:space="preserve">По требованию МОНиМП КК 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36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обслуживаемых учреждений, подведомственных управлению образования и управление образования (Мероприятие №5)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37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Количество обслуживаемых учреждений, подведомственных управлению образования (Мероприятие №7)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38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Статистическая отчетность ФСН (форма ОО-1)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1 раз в год, октябрь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39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4"/>
              </w:rPr>
              <w:t>ставок педагогов дополнительного образования для работы с детьми в спортивных клубах общеобразовательных учреждений;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40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/>
            </w:pP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lang w:val="ru-RU"/>
              </w:rPr>
              <w:t>количество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41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42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43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численность учащихся, 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  <w:tr>
        <w:trPr/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numPr>
                <w:ilvl w:val="0"/>
                <w:numId w:val="44"/>
              </w:numPr>
              <w:tabs>
                <w:tab w:val="clear" w:pos="720"/>
                <w:tab w:val="left" w:pos="0" w:leader="none"/>
              </w:tabs>
              <w:spacing w:before="0" w:after="283"/>
              <w:ind w:left="707" w:hanging="283"/>
              <w:jc w:val="left"/>
              <w:rPr/>
            </w:pPr>
            <w:r>
              <w:rPr/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0"/>
              <w:spacing w:before="0" w:after="283"/>
              <w:jc w:val="left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количество муниципальных дошкольных образовательных организаций и общеобразовательных организаций, оснащенных оборудованием для обеззараживания воздуха, предназначенного для работы в присутствии людей</w:t>
            </w:r>
          </w:p>
        </w:tc>
        <w:tc>
          <w:tcPr>
            <w:tcW w:w="5234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Информация предоставляется по требованию МОНиМП КК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40"/>
              <w:spacing w:before="0" w:after="283"/>
              <w:jc w:val="center"/>
              <w:rPr>
                <w:rFonts w:ascii="Times New Roman;serif" w:hAnsi="Times New Roman;serif"/>
                <w:color w:val="000000"/>
                <w:sz w:val="24"/>
                <w:lang w:val="ru-RU"/>
              </w:rPr>
            </w:pPr>
            <w:r>
              <w:rPr>
                <w:rFonts w:ascii="Times New Roman;serif" w:hAnsi="Times New Roman;serif"/>
                <w:color w:val="000000"/>
                <w:sz w:val="24"/>
                <w:lang w:val="ru-RU"/>
              </w:rPr>
              <w:t>Ежеквартально, по срокам, установленным в запросах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bookmarkStart w:id="17" w:name="__DdeLink__27591_1488487457"/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  <w:bookmarkEnd w:id="17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Приложение № 4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очередной финансовый год (плановый период) в сфере реализации муниципальной программы «Развитие образования»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№ 1</w:t>
      </w:r>
    </w:p>
    <w:tbl>
      <w:tblPr>
        <w:tblW w:w="15263" w:type="dxa"/>
        <w:jc w:val="left"/>
        <w:tblInd w:w="-14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1"/>
        <w:gridCol w:w="1369"/>
        <w:gridCol w:w="35"/>
        <w:gridCol w:w="49"/>
        <w:gridCol w:w="1618"/>
        <w:gridCol w:w="2436"/>
        <w:gridCol w:w="3"/>
        <w:gridCol w:w="3"/>
        <w:gridCol w:w="6"/>
        <w:gridCol w:w="64"/>
        <w:gridCol w:w="4328"/>
      </w:tblGrid>
      <w:tr>
        <w:trPr>
          <w:trHeight w:val="386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подпрограммы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ведомственной целевой 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местного бюджета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 услуги (работы), на 2015,                     тыс. Рублей</w:t>
            </w:r>
          </w:p>
        </w:tc>
      </w:tr>
      <w:tr>
        <w:trPr>
          <w:trHeight w:val="386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1.   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49333,2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0709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,4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МБОУ ШИООО № 3 на реализацию программ основного образования 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9401,2</w:t>
            </w:r>
          </w:p>
        </w:tc>
      </w:tr>
      <w:tr>
        <w:trPr>
          <w:trHeight w:val="297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по содержанию и воспитанию в образовательных учреждениях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8133,8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5617,0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u w:val="single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ind w:left="0" w:right="-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79932,9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9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21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270787,1</w:t>
            </w:r>
          </w:p>
        </w:tc>
      </w:tr>
      <w:tr>
        <w:trPr>
          <w:trHeight w:val="37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37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3.1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34431,5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735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4.1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1364,0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5.Основное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5.1 Мероприятие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информационное и методическое сопровождение деятельности учреждений отрасли образования;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учреждений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3048,5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поддержка педагогических работников образовательных учреждений, выявление детей с ограниченными возможностями здоровья и отклонениями в поведении, проведение их комплексного обследования и подготовка рекомендаций по оказанию детям психолого – медико – педагогической помощи.</w:t>
            </w:r>
          </w:p>
        </w:tc>
      </w:tr>
      <w:tr>
        <w:trPr>
          <w:trHeight w:val="281" w:hRule="atLeast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2291,5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№ 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510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0"/>
        <w:gridCol w:w="2809"/>
        <w:gridCol w:w="2238"/>
        <w:gridCol w:w="3"/>
        <w:gridCol w:w="4761"/>
      </w:tblGrid>
      <w:tr>
        <w:trPr>
          <w:trHeight w:val="704" w:hRule="atLeast"/>
          <w:cantSplit w:val="true"/>
        </w:trPr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услуги( работы)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местного бюджета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(работы)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Рублей</w:t>
            </w:r>
          </w:p>
        </w:tc>
      </w:tr>
      <w:tr>
        <w:trPr>
          <w:cantSplit w:val="true"/>
        </w:trPr>
        <w:tc>
          <w:tcPr>
            <w:tcW w:w="5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1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1 года до 3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755, 0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61601,4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147225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3 года до 8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3933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320897,8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991575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 начального общего образования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204507,1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учащихся, освоивших образовательные программы  начального общего образования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общая численность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 общего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5762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228267,6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  общего образования</w:t>
            </w:r>
          </w:p>
        </w:tc>
      </w:tr>
      <w:tr>
        <w:trPr>
          <w:trHeight w:val="628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 число обучающихся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48499,2</w:t>
            </w:r>
          </w:p>
        </w:tc>
      </w:tr>
      <w:tr>
        <w:trPr>
          <w:trHeight w:val="64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детей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8691,8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(работы)- число человеко-часов пребывания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чел./час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1018828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39552,7</w:t>
            </w:r>
          </w:p>
        </w:tc>
      </w:tr>
      <w:tr>
        <w:trPr>
          <w:trHeight w:val="747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463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463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(эксплуатация) имущества, находящегося в муниципальной собственности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-эксплуатируемая площадь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3029,1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1601,5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Психолого- 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2368,3</w:t>
            </w:r>
          </w:p>
        </w:tc>
      </w:tr>
      <w:tr>
        <w:trPr>
          <w:trHeight w:val="270" w:hRule="atLeast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консультационных  и методических услуг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 количество отчетов, составленных по результатам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3131,7</w:t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разработанных  документов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проведенных консультаций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мероприятий по поддержке одаренных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количество мероприятий по методической поддержке педагогических работников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rPr>
          <w:rFonts w:ascii="Times New Roman" w:hAnsi="Times New Roman" w:eastAsia="Arial Unicode MS" w:cs="Times New Roman"/>
          <w:color w:val="000000"/>
          <w:lang w:val="en-US"/>
        </w:rPr>
      </w:pPr>
      <w:r>
        <w:rPr>
          <w:rFonts w:eastAsia="Arial Unicode MS" w:cs="Times New Roman" w:ascii="Times New Roman" w:hAnsi="Times New Roman"/>
          <w:color w:val="000000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5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План реализации муниципальной программы  муниципального образования  Кавказский район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«Развитие образования»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tbl>
      <w:tblPr>
        <w:tblW w:w="151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833"/>
        <w:gridCol w:w="849"/>
        <w:gridCol w:w="2229"/>
        <w:gridCol w:w="1556"/>
        <w:gridCol w:w="1829"/>
        <w:gridCol w:w="65"/>
        <w:gridCol w:w="1488"/>
        <w:gridCol w:w="70"/>
        <w:gridCol w:w="1195"/>
        <w:gridCol w:w="56"/>
        <w:gridCol w:w="1054"/>
        <w:gridCol w:w="65"/>
        <w:gridCol w:w="1207"/>
      </w:tblGrid>
      <w:tr>
        <w:trPr/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п/п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1)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Статус </w:t>
            </w:r>
            <w:r>
              <w:rPr>
                <w:rStyle w:val="Style10"/>
                <w:rFonts w:cs="Times New Roman" w:ascii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)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Ответственный за реализацию мероприятия,выполнение контрольное событие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3)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Срок реализации мероприятия, дата контрольного события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4)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Код классификации расходов бюджета</w:t>
            </w:r>
          </w:p>
        </w:tc>
        <w:tc>
          <w:tcPr>
            <w:tcW w:w="5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Поквартальное распределение прогноза кассовых выплат, тыс.рублей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5)</w:t>
            </w:r>
          </w:p>
        </w:tc>
      </w:tr>
      <w:tr>
        <w:trPr/>
        <w:tc>
          <w:tcPr>
            <w:tcW w:w="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 кв.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 кв.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III кв.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IV кв.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10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Основные мероприятия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....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Подпрограмма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Итого по муниципальной программе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6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3600" w:leader="none"/>
          <w:tab w:val="left" w:pos="11460" w:leader="none"/>
        </w:tabs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1407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65"/>
        <w:gridCol w:w="1505"/>
        <w:gridCol w:w="4159"/>
        <w:gridCol w:w="2810"/>
        <w:gridCol w:w="1783"/>
      </w:tblGrid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1"/>
              <w:widowControl w:val="false"/>
              <w:spacing w:lineRule="auto" w:line="240"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Отчет</w:t>
              <w:br/>
              <w:t xml:space="preserve">об исполнении целевых показателей муниципальной программы, сводных показателей муниципальных заданий на оказание муниципальных услуг (выполнение работ) муниципальными образовательными учреждениями </w:t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программы: "Развитие образования"</w:t>
            </w:r>
          </w:p>
        </w:tc>
      </w:tr>
      <w:tr>
        <w:trPr/>
        <w:tc>
          <w:tcPr>
            <w:tcW w:w="14078" w:type="dxa"/>
            <w:gridSpan w:val="6"/>
            <w:tcBorders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Фактическое значение показателя на отчетную дату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Примечание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Приложение № 7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94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463"/>
        <w:gridCol w:w="1285"/>
        <w:gridCol w:w="748"/>
        <w:gridCol w:w="1115"/>
        <w:gridCol w:w="1117"/>
        <w:gridCol w:w="1124"/>
        <w:gridCol w:w="976"/>
        <w:gridCol w:w="849"/>
        <w:gridCol w:w="100"/>
        <w:gridCol w:w="878"/>
        <w:gridCol w:w="101"/>
        <w:gridCol w:w="724"/>
        <w:gridCol w:w="103"/>
        <w:gridCol w:w="876"/>
      </w:tblGrid>
      <w:tr>
        <w:trPr/>
        <w:tc>
          <w:tcPr>
            <w:tcW w:w="14947" w:type="dxa"/>
            <w:gridSpan w:val="15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Информация</w:t>
              <w:br/>
              <w:t>об объекте капитального строительства</w:t>
            </w:r>
          </w:p>
        </w:tc>
      </w:tr>
      <w:tr>
        <w:trPr>
          <w:trHeight w:val="738" w:hRule="atLeast"/>
        </w:trPr>
        <w:tc>
          <w:tcPr>
            <w:tcW w:w="14947" w:type="dxa"/>
            <w:gridSpan w:val="15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"Строительство пристройки к существующему муниципальному дошкольному учреждению МБДОУ д\с № 26 ст.Казанская на 40 мест"</w:t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>
        <w:trPr/>
        <w:tc>
          <w:tcPr>
            <w:tcW w:w="12265" w:type="dxa"/>
            <w:gridSpan w:val="10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79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27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87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Строительство пристройки к существующему ДОУ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87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87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МБДОУ д\с № 26 ст. Казанская муниципального образования Кавказский район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87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мест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87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2016 года</w:t>
            </w:r>
          </w:p>
        </w:tc>
      </w:tr>
      <w:tr>
        <w:trPr/>
        <w:tc>
          <w:tcPr>
            <w:tcW w:w="12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реализации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 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 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 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 год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 в 2014 году – 267.4 тысячи 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 Unicode MS">
    <w:charset w:val="cc"/>
    <w:family w:val="roman"/>
    <w:pitch w:val="variable"/>
  </w:font>
  <w:font w:name="Andale Sans UI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495" w:hanging="360"/>
      </w:pPr>
      <w:rPr>
        <w:sz w:val="28"/>
        <w:b/>
        <w:szCs w:val="28"/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lvl w:ilvl="0">
      <w:start w:val="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lvl w:ilvl="0">
      <w:start w:val="1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lvl w:ilvl="0">
      <w:start w:val="1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lvl w:ilvl="0">
      <w:start w:val="1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lvl w:ilvl="0">
      <w:start w:val="1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lvl w:ilvl="0">
      <w:start w:val="1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lvl w:ilvl="0">
      <w:start w:val="1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lvl w:ilvl="0">
      <w:start w:val="1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lvl w:ilvl="0">
      <w:start w:val="1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lvl w:ilvl="0">
      <w:start w:val="1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lvl w:ilvl="0">
      <w:start w:val="1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lvl w:ilvl="0">
      <w:start w:val="2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>
    <w:lvl w:ilvl="0">
      <w:start w:val="2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lvl w:ilvl="0">
      <w:start w:val="2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lvl w:ilvl="0">
      <w:start w:val="2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lvl w:ilvl="0">
      <w:start w:val="2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>
    <w:lvl w:ilvl="0">
      <w:start w:val="2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lvl w:ilvl="0">
      <w:start w:val="2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lvl w:ilvl="0">
      <w:start w:val="2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lvl w:ilvl="0">
      <w:start w:val="2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lvl w:ilvl="0">
      <w:start w:val="2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lvl w:ilvl="0">
      <w:start w:val="3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lvl w:ilvl="0">
      <w:start w:val="3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lvl w:ilvl="0">
      <w:start w:val="3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lvl w:ilvl="0">
      <w:start w:val="3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>
    <w:lvl w:ilvl="0">
      <w:start w:val="3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lvl w:ilvl="0">
      <w:start w:val="3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8">
    <w:lvl w:ilvl="0">
      <w:start w:val="3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9">
    <w:lvl w:ilvl="0">
      <w:start w:val="37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0">
    <w:lvl w:ilvl="0">
      <w:start w:val="3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>
    <w:lvl w:ilvl="0">
      <w:start w:val="39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2">
    <w:lvl w:ilvl="0">
      <w:start w:val="40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>
    <w:lvl w:ilvl="0">
      <w:start w:val="4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4">
    <w:lvl w:ilvl="0">
      <w:start w:val="4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w="http://schemas.openxmlformats.org/wordprocessingml/2006/main">
  <w:zoom w:percent="8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Style30"/>
    <w:qFormat/>
    <w:pPr>
      <w:tabs>
        <w:tab w:val="clear" w:pos="720"/>
        <w:tab w:val="left" w:pos="0" w:leader="none"/>
      </w:tabs>
      <w:suppressAutoHyphens w:val="true"/>
      <w:spacing w:lineRule="auto" w:line="240" w:before="280" w:after="280"/>
      <w:ind w:left="576" w:right="0" w:hanging="576"/>
      <w:outlineLvl w:val="1"/>
    </w:pPr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paragraph" w:styleId="3">
    <w:name w:val="Heading 3"/>
    <w:basedOn w:val="Normal"/>
    <w:next w:val="Style30"/>
    <w:qFormat/>
    <w:pPr>
      <w:tabs>
        <w:tab w:val="clear" w:pos="720"/>
        <w:tab w:val="left" w:pos="0" w:leader="none"/>
      </w:tabs>
      <w:suppressAutoHyphens w:val="true"/>
      <w:spacing w:lineRule="auto" w:line="240" w:before="280" w:after="280"/>
      <w:ind w:left="720" w:right="0" w:hanging="720"/>
      <w:outlineLvl w:val="2"/>
    </w:pPr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paragraph" w:styleId="4">
    <w:name w:val="Heading 4"/>
    <w:basedOn w:val="Normal"/>
    <w:next w:val="Style30"/>
    <w:qFormat/>
    <w:pPr>
      <w:tabs>
        <w:tab w:val="clear" w:pos="720"/>
        <w:tab w:val="left" w:pos="0" w:leader="none"/>
      </w:tabs>
      <w:suppressAutoHyphens w:val="true"/>
      <w:spacing w:lineRule="auto" w:line="240" w:before="280" w:after="280"/>
      <w:ind w:left="864" w:right="0" w:hanging="864"/>
      <w:outlineLvl w:val="3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Arial" w:hAnsi="Arial" w:cs="Arial"/>
      <w:b/>
      <w:bCs/>
      <w:color w:val="26282F"/>
      <w:sz w:val="24"/>
      <w:szCs w:val="24"/>
    </w:rPr>
  </w:style>
  <w:style w:type="character" w:styleId="Style10">
    <w:name w:val="Гипертекстовая ссылка"/>
    <w:basedOn w:val="DefaultParagraphFont"/>
    <w:qFormat/>
    <w:rPr>
      <w:color w:val="106BBE"/>
    </w:rPr>
  </w:style>
  <w:style w:type="character" w:styleId="Style11">
    <w:name w:val="Цветовое выделение"/>
    <w:qFormat/>
    <w:rPr>
      <w:b/>
      <w:bCs/>
      <w:color w:val="26282F"/>
    </w:rPr>
  </w:style>
  <w:style w:type="character" w:styleId="WW8Num1z1">
    <w:name w:val="WW8Num1z1"/>
    <w:qFormat/>
    <w:rPr/>
  </w:style>
  <w:style w:type="character" w:styleId="Style12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character" w:styleId="41">
    <w:name w:val="Заголовок 4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b/>
      <w:sz w:val="28"/>
      <w:szCs w:val="28"/>
    </w:rPr>
  </w:style>
  <w:style w:type="character" w:styleId="13">
    <w:name w:val="Основной шрифт абзаца13"/>
    <w:qFormat/>
    <w:rPr/>
  </w:style>
  <w:style w:type="character" w:styleId="WW8Num4z0">
    <w:name w:val="WW8Num4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b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12">
    <w:name w:val="Основной шрифт абзаца12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7z0">
    <w:name w:val="WW8Num7z0"/>
    <w:qFormat/>
    <w:rPr>
      <w:rFonts w:ascii="Symbol" w:hAnsi="Symbol" w:cs="Symbol"/>
      <w:sz w:val="28"/>
      <w:szCs w:val="28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8">
    <w:name w:val="Основной шрифт абзаца8"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</w:rPr>
  </w:style>
  <w:style w:type="character" w:styleId="Style15">
    <w:name w:val="Знак"/>
    <w:qFormat/>
    <w:rPr>
      <w:rFonts w:eastAsia="Andale Sans UI"/>
      <w:kern w:val="2"/>
      <w:sz w:val="24"/>
      <w:szCs w:val="24"/>
    </w:rPr>
  </w:style>
  <w:style w:type="character" w:styleId="WW">
    <w:name w:val="WW- Знак"/>
    <w:qFormat/>
    <w:rPr>
      <w:rFonts w:eastAsia="Andale Sans UI"/>
      <w:kern w:val="2"/>
      <w:sz w:val="24"/>
      <w:szCs w:val="24"/>
    </w:rPr>
  </w:style>
  <w:style w:type="character" w:styleId="WW1">
    <w:name w:val="WW- Знак1"/>
    <w:qFormat/>
    <w:rPr>
      <w:b/>
      <w:bCs/>
      <w:sz w:val="36"/>
      <w:szCs w:val="36"/>
    </w:rPr>
  </w:style>
  <w:style w:type="character" w:styleId="WW12">
    <w:name w:val="WW- Знак12"/>
    <w:qFormat/>
    <w:rPr>
      <w:b/>
      <w:bCs/>
      <w:sz w:val="27"/>
      <w:szCs w:val="27"/>
    </w:rPr>
  </w:style>
  <w:style w:type="character" w:styleId="WW123">
    <w:name w:val="WW- Знак123"/>
    <w:qFormat/>
    <w:rPr>
      <w:b/>
      <w:bCs/>
      <w:sz w:val="24"/>
      <w:szCs w:val="24"/>
    </w:rPr>
  </w:style>
  <w:style w:type="character" w:styleId="7">
    <w:name w:val="Основной шрифт абзаца7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6">
    <w:name w:val="Основной шрифт абзаца6"/>
    <w:qFormat/>
    <w:rPr/>
  </w:style>
  <w:style w:type="character" w:styleId="5">
    <w:name w:val="Основной шрифт абзаца5"/>
    <w:qFormat/>
    <w:rPr/>
  </w:style>
  <w:style w:type="character" w:styleId="42">
    <w:name w:val="Основной шрифт абзаца4"/>
    <w:qFormat/>
    <w:rPr/>
  </w:style>
  <w:style w:type="character" w:styleId="32">
    <w:name w:val="Основной шрифт абзаца3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22">
    <w:name w:val="Основной шрифт абзаца2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/>
  </w:style>
  <w:style w:type="character" w:styleId="14">
    <w:name w:val="Основной шрифт абзаца1"/>
    <w:qFormat/>
    <w:rPr/>
  </w:style>
  <w:style w:type="character" w:styleId="Appleconvertedspace">
    <w:name w:val="apple-converted-space"/>
    <w:qFormat/>
    <w:rPr/>
  </w:style>
  <w:style w:type="character" w:styleId="15">
    <w:name w:val="Знак примечания1"/>
    <w:qFormat/>
    <w:rPr>
      <w:sz w:val="16"/>
      <w:szCs w:val="16"/>
    </w:rPr>
  </w:style>
  <w:style w:type="character" w:styleId="Style16">
    <w:name w:val="Текст примечания Знак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33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  <w:lang w:val="en-US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WW1234">
    <w:name w:val="WW- Знак1234"/>
    <w:qFormat/>
    <w:rPr>
      <w:rFonts w:ascii="Tahoma" w:hAnsi="Tahoma" w:eastAsia="Calibri" w:cs="Tahoma"/>
      <w:sz w:val="16"/>
      <w:szCs w:val="16"/>
    </w:rPr>
  </w:style>
  <w:style w:type="character" w:styleId="WW12345">
    <w:name w:val="WW- Знак12345"/>
    <w:qFormat/>
    <w:rPr>
      <w:rFonts w:eastAsia="Andale Sans UI"/>
      <w:kern w:val="2"/>
    </w:rPr>
  </w:style>
  <w:style w:type="character" w:styleId="WW123456">
    <w:name w:val="WW- Знак123456"/>
    <w:qFormat/>
    <w:rPr>
      <w:rFonts w:ascii="Calibri" w:hAnsi="Calibri" w:eastAsia="Calibri" w:cs="Calibri"/>
      <w:b/>
      <w:bCs/>
      <w:kern w:val="2"/>
    </w:rPr>
  </w:style>
  <w:style w:type="character" w:styleId="WW1234567">
    <w:name w:val="WW- Знак1234567"/>
    <w:qFormat/>
    <w:rPr>
      <w:rFonts w:ascii="Courier New" w:hAnsi="Courier New" w:cs="Courier New"/>
    </w:rPr>
  </w:style>
  <w:style w:type="character" w:styleId="51">
    <w:name w:val="Знак Знак5"/>
    <w:qFormat/>
    <w:rPr>
      <w:rFonts w:eastAsia="Andale Sans UI"/>
      <w:kern w:val="2"/>
      <w:sz w:val="24"/>
      <w:szCs w:val="24"/>
    </w:rPr>
  </w:style>
  <w:style w:type="character" w:styleId="16">
    <w:name w:val="Заголовок №1_ Знак"/>
    <w:qFormat/>
    <w:rPr>
      <w:sz w:val="22"/>
      <w:szCs w:val="22"/>
      <w:highlight w:val="white"/>
    </w:rPr>
  </w:style>
  <w:style w:type="character" w:styleId="Style19">
    <w:name w:val="Колонтитул_ Знак"/>
    <w:qFormat/>
    <w:rPr>
      <w:highlight w:val="white"/>
      <w:lang w:val="ru-RU" w:eastAsia="ru-RU"/>
    </w:rPr>
  </w:style>
  <w:style w:type="character" w:styleId="Style20">
    <w:name w:val="Колонтитул"/>
    <w:qFormat/>
    <w:rPr/>
  </w:style>
  <w:style w:type="character" w:styleId="61">
    <w:name w:val="Знак Знак6"/>
    <w:qFormat/>
    <w:rPr>
      <w:rFonts w:eastAsia="Andale Sans UI"/>
      <w:kern w:val="2"/>
      <w:sz w:val="24"/>
      <w:szCs w:val="24"/>
    </w:rPr>
  </w:style>
  <w:style w:type="character" w:styleId="Style21">
    <w:name w:val="Основной текст + Полужирный"/>
    <w:qFormat/>
    <w:rPr>
      <w:rFonts w:eastAsia="Andale Sans UI"/>
      <w:b/>
      <w:bCs/>
      <w:kern w:val="2"/>
      <w:sz w:val="24"/>
      <w:szCs w:val="24"/>
    </w:rPr>
  </w:style>
  <w:style w:type="character" w:styleId="Style22">
    <w:name w:val="Знак Знак"/>
    <w:qFormat/>
    <w:rPr>
      <w:rFonts w:ascii="Arial Unicode MS" w:hAnsi="Arial Unicode MS" w:eastAsia="Arial Unicode MS" w:cs="Arial Unicode MS"/>
      <w:color w:val="000000"/>
    </w:rPr>
  </w:style>
  <w:style w:type="character" w:styleId="9">
    <w:name w:val="Знак Знак9"/>
    <w:qFormat/>
    <w:rPr>
      <w:b/>
      <w:bCs/>
      <w:kern w:val="2"/>
      <w:sz w:val="36"/>
      <w:szCs w:val="36"/>
    </w:rPr>
  </w:style>
  <w:style w:type="character" w:styleId="81">
    <w:name w:val="Знак Знак8"/>
    <w:qFormat/>
    <w:rPr>
      <w:b/>
      <w:bCs/>
      <w:kern w:val="2"/>
      <w:sz w:val="27"/>
      <w:szCs w:val="27"/>
    </w:rPr>
  </w:style>
  <w:style w:type="character" w:styleId="71">
    <w:name w:val="Знак Знак7"/>
    <w:qFormat/>
    <w:rPr>
      <w:b/>
      <w:bCs/>
      <w:kern w:val="2"/>
      <w:sz w:val="24"/>
      <w:szCs w:val="24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23">
    <w:name w:val="Нижний колонтитул Знак"/>
    <w:qFormat/>
    <w:rPr>
      <w:rFonts w:eastAsia="Andale Sans UI"/>
      <w:kern w:val="2"/>
      <w:sz w:val="24"/>
      <w:szCs w:val="24"/>
      <w:lang w:eastAsia="zh-CN"/>
    </w:rPr>
  </w:style>
  <w:style w:type="character" w:styleId="111">
    <w:name w:val="Основной шрифт абзаца11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10">
    <w:name w:val="Основной шрифт абзаца10"/>
    <w:qFormat/>
    <w:rPr/>
  </w:style>
  <w:style w:type="character" w:styleId="17">
    <w:name w:val="Верхний колонтитул Знак1"/>
    <w:qFormat/>
    <w:rPr>
      <w:rFonts w:ascii="Andale Sans UI" w:hAnsi="Andale Sans UI" w:eastAsia="Andale Sans UI" w:cs="Andale Sans UI"/>
      <w:kern w:val="2"/>
      <w:sz w:val="24"/>
      <w:szCs w:val="24"/>
    </w:rPr>
  </w:style>
  <w:style w:type="character" w:styleId="91">
    <w:name w:val="Основной шрифт абзаца9"/>
    <w:qFormat/>
    <w:rPr/>
  </w:style>
  <w:style w:type="character" w:styleId="18">
    <w:name w:val="Основной текст Знак1"/>
    <w:qFormat/>
    <w:rPr>
      <w:rFonts w:eastAsia="Andale Sans UI"/>
      <w:kern w:val="2"/>
      <w:sz w:val="24"/>
      <w:szCs w:val="24"/>
      <w:lang w:eastAsia="zh-CN"/>
    </w:rPr>
  </w:style>
  <w:style w:type="character" w:styleId="23">
    <w:name w:val="Верхний колонтитул Знак2"/>
    <w:qFormat/>
    <w:rPr>
      <w:rFonts w:eastAsia="Andale Sans UI"/>
      <w:kern w:val="2"/>
      <w:sz w:val="24"/>
      <w:szCs w:val="24"/>
      <w:lang w:eastAsia="zh-CN"/>
    </w:rPr>
  </w:style>
  <w:style w:type="character" w:styleId="43">
    <w:name w:val="Знак Знак4"/>
    <w:qFormat/>
    <w:rPr>
      <w:rFonts w:eastAsia="Andale Sans UI"/>
      <w:kern w:val="2"/>
      <w:sz w:val="24"/>
      <w:szCs w:val="24"/>
    </w:rPr>
  </w:style>
  <w:style w:type="character" w:styleId="34">
    <w:name w:val="Знак Знак3"/>
    <w:qFormat/>
    <w:rPr>
      <w:rFonts w:ascii="Tahoma" w:hAnsi="Tahoma" w:eastAsia="Calibri" w:cs="Tahoma"/>
      <w:kern w:val="2"/>
      <w:sz w:val="16"/>
      <w:szCs w:val="16"/>
    </w:rPr>
  </w:style>
  <w:style w:type="character" w:styleId="24">
    <w:name w:val="Текст примечания Знак2"/>
    <w:qFormat/>
    <w:rPr>
      <w:rFonts w:eastAsia="Andale Sans UI"/>
      <w:kern w:val="2"/>
      <w:lang w:eastAsia="zh-CN"/>
    </w:rPr>
  </w:style>
  <w:style w:type="character" w:styleId="25">
    <w:name w:val="Знак Знак2"/>
    <w:qFormat/>
    <w:rPr>
      <w:rFonts w:ascii="Calibri" w:hAnsi="Calibri" w:eastAsia="Calibri" w:cs="Calibri"/>
      <w:b/>
      <w:bCs/>
      <w:kern w:val="2"/>
    </w:rPr>
  </w:style>
  <w:style w:type="character" w:styleId="19">
    <w:name w:val="Знак Знак1"/>
    <w:qFormat/>
    <w:rPr>
      <w:rFonts w:ascii="Courier New" w:hAnsi="Courier New" w:cs="Courier New"/>
      <w:kern w:val="2"/>
    </w:rPr>
  </w:style>
  <w:style w:type="character" w:styleId="Style24">
    <w:name w:val="Основной текст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25">
    <w:name w:val="Верхний колонтитул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0">
    <w:name w:val="Нижний колонтитул Знак1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2">
    <w:name w:val="Текст выноски Знак1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113">
    <w:name w:val="Текст примечания Знак1"/>
    <w:basedOn w:val="DefaultParagraphFont"/>
    <w:qFormat/>
    <w:rPr>
      <w:sz w:val="20"/>
      <w:szCs w:val="20"/>
    </w:rPr>
  </w:style>
  <w:style w:type="character" w:styleId="114">
    <w:name w:val="Тема примечания Знак1"/>
    <w:basedOn w:val="113"/>
    <w:qFormat/>
    <w:rPr>
      <w:rFonts w:ascii="Calibri" w:hAnsi="Calibri" w:eastAsia="Calibri" w:cs="Times New Roman"/>
      <w:b/>
      <w:bCs/>
      <w:kern w:val="2"/>
      <w:sz w:val="20"/>
      <w:szCs w:val="20"/>
      <w:lang w:eastAsia="zh-CN"/>
    </w:rPr>
  </w:style>
  <w:style w:type="character" w:styleId="HTML1">
    <w:name w:val="Стандартный HTML Знак1"/>
    <w:basedOn w:val="DefaultParagraphFont"/>
    <w:qFormat/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character" w:styleId="141">
    <w:name w:val="Основной шрифт абзаца14"/>
    <w:qFormat/>
    <w:rPr/>
  </w:style>
  <w:style w:type="character" w:styleId="35">
    <w:name w:val="Верхний колонтитул Знак3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51">
    <w:name w:val="Основной шрифт абзаца15"/>
    <w:qFormat/>
    <w:rPr/>
  </w:style>
  <w:style w:type="character" w:styleId="26">
    <w:name w:val="Основной текст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44">
    <w:name w:val="Верхний колонтитул Знак4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7">
    <w:name w:val="Нижний колонтитул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8">
    <w:name w:val="Текст выноски Знак2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36">
    <w:name w:val="Текст примечания Знак3"/>
    <w:basedOn w:val="DefaultParagraphFont"/>
    <w:qFormat/>
    <w:rPr>
      <w:rFonts w:eastAsia="Andale Sans UI"/>
      <w:kern w:val="2"/>
      <w:lang w:eastAsia="zh-CN"/>
    </w:rPr>
  </w:style>
  <w:style w:type="character" w:styleId="29">
    <w:name w:val="Тема примечания Знак2"/>
    <w:basedOn w:val="36"/>
    <w:qFormat/>
    <w:rPr>
      <w:rFonts w:ascii="Calibri" w:hAnsi="Calibri" w:eastAsia="Calibri"/>
      <w:b/>
      <w:bCs/>
      <w:kern w:val="2"/>
      <w:lang w:eastAsia="zh-CN"/>
    </w:rPr>
  </w:style>
  <w:style w:type="character" w:styleId="HTML2">
    <w:name w:val="Стандартный HTML Знак2"/>
    <w:basedOn w:val="DefaultParagraphFont"/>
    <w:qFormat/>
    <w:rPr>
      <w:rFonts w:ascii="Courier New" w:hAnsi="Courier New" w:cs="Courier New"/>
      <w:kern w:val="2"/>
      <w:lang w:eastAsia="zh-CN"/>
    </w:rPr>
  </w:style>
  <w:style w:type="character" w:styleId="161">
    <w:name w:val="Основной шрифт абзаца16"/>
    <w:qFormat/>
    <w:rPr/>
  </w:style>
  <w:style w:type="character" w:styleId="171">
    <w:name w:val="Основной шрифт абзаца17"/>
    <w:qFormat/>
    <w:rPr/>
  </w:style>
  <w:style w:type="character" w:styleId="181">
    <w:name w:val="Основной шрифт абзаца18"/>
    <w:qFormat/>
    <w:rPr/>
  </w:style>
  <w:style w:type="character" w:styleId="20">
    <w:name w:val="Основной шрифт абзаца20"/>
    <w:qFormat/>
    <w:rPr/>
  </w:style>
  <w:style w:type="character" w:styleId="191">
    <w:name w:val="Основной шрифт абзаца19"/>
    <w:qFormat/>
    <w:rPr/>
  </w:style>
  <w:style w:type="character" w:styleId="211">
    <w:name w:val="Основной шрифт абзаца21"/>
    <w:qFormat/>
    <w:rPr/>
  </w:style>
  <w:style w:type="character" w:styleId="221">
    <w:name w:val="Основной шрифт абзаца22"/>
    <w:qFormat/>
    <w:rPr/>
  </w:style>
  <w:style w:type="character" w:styleId="Style26">
    <w:name w:val="Название Знак"/>
    <w:basedOn w:val="DefaultParagraphFont"/>
    <w:qFormat/>
    <w:rPr>
      <w:rFonts w:ascii="Arial" w:hAnsi="Arial" w:eastAsia="Andale Sans UI" w:cs="Tahoma"/>
      <w:b/>
      <w:bCs/>
      <w:kern w:val="2"/>
      <w:sz w:val="56"/>
      <w:szCs w:val="56"/>
      <w:lang w:eastAsia="zh-CN"/>
    </w:rPr>
  </w:style>
  <w:style w:type="character" w:styleId="Style27">
    <w:name w:val="Подзаголовок Знак"/>
    <w:basedOn w:val="DefaultParagraphFont"/>
    <w:qFormat/>
    <w:rPr>
      <w:rFonts w:ascii="Arial" w:hAnsi="Arial" w:eastAsia="Andale Sans UI" w:cs="Tahoma"/>
      <w:kern w:val="2"/>
      <w:sz w:val="36"/>
      <w:szCs w:val="36"/>
      <w:lang w:eastAsia="zh-CN"/>
    </w:rPr>
  </w:style>
  <w:style w:type="character" w:styleId="Style28">
    <w:name w:val="Посещённая гиперссылка"/>
    <w:rPr>
      <w:color w:val="800080"/>
      <w:u w:val="single"/>
    </w:rPr>
  </w:style>
  <w:style w:type="paragraph" w:styleId="Style29">
    <w:name w:val="Заголовок"/>
    <w:basedOn w:val="Normal"/>
    <w:next w:val="Style30"/>
    <w:qFormat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ndale Sans UI" w:cs="Tahoma"/>
      <w:kern w:val="2"/>
      <w:sz w:val="28"/>
      <w:szCs w:val="28"/>
      <w:lang w:eastAsia="zh-CN"/>
    </w:rPr>
  </w:style>
  <w:style w:type="paragraph" w:styleId="Style3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31">
    <w:name w:val="List"/>
    <w:basedOn w:val="Style30"/>
    <w:pPr/>
    <w:rPr>
      <w:rFonts w:cs="Tahoma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Arial"/>
    </w:rPr>
  </w:style>
  <w:style w:type="paragraph" w:styleId="Style34">
    <w:name w:val="Информация об изменениях"/>
    <w:basedOn w:val="Normal"/>
    <w:next w:val="Normal"/>
    <w:qFormat/>
    <w:pPr>
      <w:widowControl w:val="false"/>
      <w:spacing w:lineRule="auto" w:line="240" w:before="180" w:after="0"/>
      <w:ind w:left="360" w:right="360" w:hanging="0"/>
      <w:jc w:val="both"/>
    </w:pPr>
    <w:rPr>
      <w:rFonts w:ascii="Arial" w:hAnsi="Arial" w:cs="Arial"/>
      <w:color w:val="353842"/>
      <w:sz w:val="18"/>
      <w:szCs w:val="18"/>
      <w:highlight w:val="cyan"/>
    </w:rPr>
  </w:style>
  <w:style w:type="paragraph" w:styleId="Style35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36">
    <w:name w:val="Подзаголовок для информации об изменениях"/>
    <w:basedOn w:val="Normal"/>
    <w:next w:val="Normal"/>
    <w:qFormat/>
    <w:pPr>
      <w:widowControl w:val="false"/>
      <w:spacing w:lineRule="auto" w:line="240" w:before="0" w:after="0"/>
      <w:ind w:left="0" w:right="0"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Style37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38">
    <w:name w:val="Комментарий"/>
    <w:basedOn w:val="Normal"/>
    <w:next w:val="Normal"/>
    <w:qFormat/>
    <w:pPr>
      <w:widowControl w:val="false"/>
      <w:spacing w:lineRule="auto" w:line="240" w:before="75" w:after="0"/>
      <w:ind w:left="170" w:right="0" w:hanging="0"/>
      <w:jc w:val="both"/>
    </w:pPr>
    <w:rPr>
      <w:rFonts w:ascii="Arial" w:hAnsi="Arial" w:cs="Arial"/>
      <w:color w:val="353842"/>
      <w:sz w:val="24"/>
      <w:szCs w:val="24"/>
      <w:highlight w:val="white"/>
    </w:rPr>
  </w:style>
  <w:style w:type="paragraph" w:styleId="Style39">
    <w:name w:val="Информация об изменениях документа"/>
    <w:basedOn w:val="Style38"/>
    <w:next w:val="Normal"/>
    <w:qFormat/>
    <w:pPr/>
    <w:rPr>
      <w:i/>
      <w:i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31">
    <w:name w:val="Указатель13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52">
    <w:name w:val="Название объекта5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21">
    <w:name w:val="Указатель1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2">
    <w:name w:val="Название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83">
    <w:name w:val="Указатель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5">
    <w:name w:val="Название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Tahoma"/>
      <w:i/>
      <w:iCs/>
      <w:kern w:val="2"/>
      <w:sz w:val="24"/>
      <w:szCs w:val="24"/>
      <w:lang w:eastAsia="zh-CN"/>
    </w:rPr>
  </w:style>
  <w:style w:type="paragraph" w:styleId="116">
    <w:name w:val="Указатель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ahoma"/>
      <w:kern w:val="2"/>
      <w:sz w:val="24"/>
      <w:szCs w:val="24"/>
      <w:lang w:eastAsia="zh-CN"/>
    </w:rPr>
  </w:style>
  <w:style w:type="paragraph" w:styleId="Style40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1">
    <w:name w:val="Заголовок таблицы"/>
    <w:basedOn w:val="Style40"/>
    <w:qFormat/>
    <w:pPr>
      <w:jc w:val="center"/>
    </w:pPr>
    <w:rPr>
      <w:b/>
      <w:bCs/>
    </w:rPr>
  </w:style>
  <w:style w:type="paragraph" w:styleId="Style42">
    <w:name w:val="Верхний и нижний колонтитулы"/>
    <w:basedOn w:val="Normal"/>
    <w:qFormat/>
    <w:pPr/>
    <w:rPr/>
  </w:style>
  <w:style w:type="paragraph" w:styleId="Style43">
    <w:name w:val="Header"/>
    <w:basedOn w:val="Normal"/>
    <w:pPr>
      <w:widowControl w:val="false"/>
      <w:tabs>
        <w:tab w:val="clear" w:pos="720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4">
    <w:name w:val="Footer"/>
    <w:basedOn w:val="Normal"/>
    <w:pPr>
      <w:widowControl w:val="false"/>
      <w:tabs>
        <w:tab w:val="clear" w:pos="720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72">
    <w:name w:val="Название7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73">
    <w:name w:val="Указатель7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62">
    <w:name w:val="Название6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63">
    <w:name w:val="Указатель6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53">
    <w:name w:val="Название5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54">
    <w:name w:val="Указатель5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45">
    <w:name w:val="Название4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46">
    <w:name w:val="Указатель4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37">
    <w:name w:val="Название3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38">
    <w:name w:val="Указатель3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210">
    <w:name w:val="Название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212">
    <w:name w:val="Указатель2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pPr>
      <w:suppressAutoHyphens w:val="true"/>
      <w:ind w:left="720" w:right="0" w:hanging="0"/>
    </w:pPr>
    <w:rPr>
      <w:rFonts w:ascii="Calibri" w:hAnsi="Calibri" w:eastAsia="Calibri" w:cs="Calibri"/>
      <w:kern w:val="2"/>
      <w:lang w:eastAsia="zh-CN"/>
    </w:rPr>
  </w:style>
  <w:style w:type="paragraph" w:styleId="ConsPlusCell">
    <w:name w:val="ConsPlusCel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17">
    <w:name w:val="Текст примечания1"/>
    <w:basedOn w:val="Normal"/>
    <w:qFormat/>
    <w:pPr>
      <w:suppressAutoHyphens w:val="true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213">
    <w:name w:val="Текст примечания2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9">
    <w:name w:val="Текст примечания3"/>
    <w:basedOn w:val="Normal"/>
    <w:qFormat/>
    <w:pPr>
      <w:widowControl w:val="false"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0"/>
      <w:szCs w:val="20"/>
      <w:lang w:eastAsia="zh-CN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117"/>
    <w:next w:val="117"/>
    <w:qFormat/>
    <w:pPr/>
    <w:rPr>
      <w:rFonts w:cs="Times New Roman"/>
      <w:b/>
      <w:bCs/>
    </w:rPr>
  </w:style>
  <w:style w:type="paragraph" w:styleId="ConsTitle">
    <w:name w:val="ConsTitle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CharCharCarCarCharCharCarCarCharCharCarCarCharChar">
    <w:name w:val="Char Char Car Car Char Char Car Car Char Char Car Car Char Char"/>
    <w:basedOn w:val="Normal"/>
    <w:qFormat/>
    <w:pPr>
      <w:suppressAutoHyphens w:val="true"/>
      <w:spacing w:lineRule="exact" w:line="240" w:before="0" w:after="16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11">
    <w:name w:val="Основной текст с отступом 31"/>
    <w:basedOn w:val="Normal"/>
    <w:qFormat/>
    <w:pPr>
      <w:suppressAutoHyphens w:val="true"/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kern w:val="2"/>
      <w:sz w:val="16"/>
      <w:szCs w:val="16"/>
      <w:lang w:val="en-US" w:eastAsia="zh-CN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S1">
    <w:name w:val="s_1"/>
    <w:basedOn w:val="Normal"/>
    <w:qFormat/>
    <w:pPr>
      <w:spacing w:lineRule="auto" w:line="240" w:before="0" w:after="0"/>
      <w:ind w:left="0" w:right="0" w:firstLine="720"/>
      <w:jc w:val="both"/>
    </w:pPr>
    <w:rPr>
      <w:rFonts w:ascii="Arial" w:hAnsi="Arial" w:eastAsia="Times New Roman" w:cs="Arial"/>
      <w:kern w:val="2"/>
      <w:sz w:val="26"/>
      <w:szCs w:val="26"/>
      <w:lang w:eastAsia="zh-CN"/>
    </w:rPr>
  </w:style>
  <w:style w:type="paragraph" w:styleId="118">
    <w:name w:val="Название объекта1"/>
    <w:basedOn w:val="Normal"/>
    <w:next w:val="Normal"/>
    <w:qFormat/>
    <w:pPr>
      <w:spacing w:lineRule="auto" w:line="240" w:before="0" w:after="0"/>
      <w:jc w:val="right"/>
    </w:pPr>
    <w:rPr>
      <w:rFonts w:ascii="Times New Roman" w:hAnsi="Times New Roman" w:eastAsia="Calibri" w:cs="Times New Roman"/>
      <w:kern w:val="2"/>
      <w:sz w:val="28"/>
      <w:szCs w:val="20"/>
      <w:lang w:eastAsia="zh-CN"/>
    </w:rPr>
  </w:style>
  <w:style w:type="paragraph" w:styleId="Style45">
    <w:name w:val="Содержимое врезки"/>
    <w:basedOn w:val="Style30"/>
    <w:qFormat/>
    <w:pPr/>
    <w:rPr/>
  </w:style>
  <w:style w:type="paragraph" w:styleId="119">
    <w:name w:val="Заголовок №1_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Times New Roman" w:cs="Times New Roman"/>
      <w:b/>
      <w:bCs/>
      <w:kern w:val="2"/>
      <w:lang w:eastAsia="zh-CN"/>
    </w:rPr>
  </w:style>
  <w:style w:type="paragraph" w:styleId="Style46">
    <w:name w:val="Колонтитул_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55">
    <w:name w:val="Текст примечания5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47">
    <w:name w:val="Название объекта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110">
    <w:name w:val="Указатель1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310">
    <w:name w:val="Название объекта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01">
    <w:name w:val="Указатель1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48">
    <w:name w:val="Текст примечания4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214">
    <w:name w:val="Название объекта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92">
    <w:name w:val="Указатель9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Formattexttopleveltext">
    <w:name w:val="formattext topleveltext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120">
    <w:name w:val="Заголовок №1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Andale Sans UI" w:cs="Times New Roman"/>
      <w:b/>
      <w:bCs/>
      <w:kern w:val="2"/>
      <w:lang w:eastAsia="zh-CN"/>
    </w:rPr>
  </w:style>
  <w:style w:type="paragraph" w:styleId="122">
    <w:name w:val="Колонтитул1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142">
    <w:name w:val="Указатель14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64">
    <w:name w:val="Название объекта6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52">
    <w:name w:val="Указатель15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74">
    <w:name w:val="Название объекта7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65">
    <w:name w:val="Текст примечания6"/>
    <w:basedOn w:val="Normal"/>
    <w:qFormat/>
    <w:pPr>
      <w:spacing w:lineRule="auto" w:line="240"/>
    </w:pPr>
    <w:rPr>
      <w:rFonts w:ascii="Calibri" w:hAnsi="Calibri" w:eastAsia="Times New Roman" w:cs="Times New Roman"/>
      <w:kern w:val="2"/>
      <w:sz w:val="20"/>
      <w:szCs w:val="20"/>
      <w:lang w:eastAsia="zh-CN"/>
    </w:rPr>
  </w:style>
  <w:style w:type="paragraph" w:styleId="Style47">
    <w:name w:val="Блочная цитата"/>
    <w:basedOn w:val="Normal"/>
    <w:qFormat/>
    <w:pPr>
      <w:widowControl w:val="false"/>
      <w:suppressAutoHyphens w:val="true"/>
      <w:spacing w:lineRule="auto" w:line="240" w:before="0" w:after="283"/>
      <w:ind w:left="567" w:right="567" w:hanging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162">
    <w:name w:val="Указатель16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4">
    <w:name w:val="Название объекта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72">
    <w:name w:val="Указатель17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93">
    <w:name w:val="Название объекта9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82">
    <w:name w:val="Указатель1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02">
    <w:name w:val="Название объекта10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01">
    <w:name w:val="Указатель2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23">
    <w:name w:val="Название объекта12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92">
    <w:name w:val="Указатель19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11">
    <w:name w:val="Название объекта1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15">
    <w:name w:val="Указатель2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32">
    <w:name w:val="Название объекта1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22">
    <w:name w:val="Указатель2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43">
    <w:name w:val="Название объекта1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Style48">
    <w:name w:val="Title"/>
    <w:basedOn w:val="Style29"/>
    <w:next w:val="Style30"/>
    <w:qFormat/>
    <w:pPr>
      <w:jc w:val="center"/>
    </w:pPr>
    <w:rPr>
      <w:b/>
      <w:bCs/>
      <w:sz w:val="56"/>
      <w:szCs w:val="56"/>
    </w:rPr>
  </w:style>
  <w:style w:type="paragraph" w:styleId="Style49">
    <w:name w:val="Subtitle"/>
    <w:basedOn w:val="Style29"/>
    <w:next w:val="Style30"/>
    <w:qFormat/>
    <w:pPr>
      <w:spacing w:before="60" w:after="120"/>
      <w:jc w:val="center"/>
    </w:pPr>
    <w:rPr>
      <w:sz w:val="36"/>
      <w:szCs w:val="36"/>
    </w:rPr>
  </w:style>
  <w:style w:type="paragraph" w:styleId="Style5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>
    <w:name w:val="No List"/>
    <w:qFormat/>
  </w:style>
  <w:style w:type="numbering" w:styleId="124">
    <w:name w:val="Нет списка1"/>
    <w:qFormat/>
  </w:style>
  <w:style w:type="numbering" w:styleId="216">
    <w:name w:val="Нет списка2"/>
    <w:qFormat/>
  </w:style>
  <w:style w:type="numbering" w:styleId="312">
    <w:name w:val="Нет списка3"/>
    <w:qFormat/>
  </w:style>
  <w:style w:type="numbering" w:styleId="49">
    <w:name w:val="Нет списка4"/>
    <w:qFormat/>
  </w:style>
  <w:style w:type="numbering" w:styleId="WW8Num6">
    <w:name w:val="WW8Num6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070946.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Application>LibreOffice/6.3.2.2$Windows_x86 LibreOffice_project/98b30e735bda24bc04ab42594c85f7fd8be07b9c</Application>
  <Pages>90</Pages>
  <Words>17229</Words>
  <Characters>112654</Characters>
  <CharactersWithSpaces>125308</CharactersWithSpaces>
  <Paragraphs>6724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2018-12-10T11:05:00Z</dcterms:created>
  <dc:creator>skrebchova</dc:creator>
  <dc:description/>
  <dc:language>ru-RU</dc:language>
  <cp:lastModifiedBy/>
  <cp:lastPrinted>2020-12-15T12:17:00Z</cp:lastPrinted>
  <dcterms:modified xsi:type="dcterms:W3CDTF">2020-12-24T14:11:00Z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