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108" w:after="108"/>
        <w:rPr/>
      </w:pPr>
      <w:r>
        <w:rPr>
          <w:rFonts w:cs="Times New Roman" w:ascii="Times New Roman" w:hAnsi="Times New Roman"/>
          <w:sz w:val="28"/>
          <w:szCs w:val="28"/>
        </w:rPr>
        <w:t>Муниципальная программа</w:t>
        <w:br/>
        <w:t>муниципального образования Кавказский район "Развитие образования"</w:t>
      </w:r>
      <w:r>
        <w:rPr>
          <w:rFonts w:cs="Times New Roman" w:ascii="Times New Roman" w:hAnsi="Times New Roman"/>
          <w:b w:val="false"/>
          <w:sz w:val="28"/>
          <w:szCs w:val="28"/>
        </w:rPr>
        <w:br/>
        <w:t xml:space="preserve">(утв. </w:t>
      </w:r>
      <w:hyperlink w:anchor="sub_0">
        <w:r>
          <w:rPr>
            <w:rStyle w:val="Style10"/>
            <w:rFonts w:cs="Times New Roman" w:ascii="Times New Roman" w:hAnsi="Times New Roman"/>
            <w:b w:val="false"/>
            <w:bCs w:val="false"/>
            <w:color w:val="auto"/>
            <w:sz w:val="28"/>
            <w:szCs w:val="28"/>
          </w:rPr>
          <w:t>постановлением</w:t>
        </w:r>
      </w:hyperlink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 xml:space="preserve"> ад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министрации муниципального образования Кавказский район от 31 октября 2014 г. N 1733, с изменениями и дополнениями от 28 января, 24 марта, 17 июня, 29 июля, 29 октября, 14 декабря, 30 декабря 2015 г., </w:t>
      </w: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 xml:space="preserve">20 февраля .2016г., 20 апреля 2016, 25 мая 2016 г., 23 июня 2016 г., 2 сентября 2016 года № 1190, 10 октября 2016 г. № 1345, 24 ноября 2016 г. № 1551, 26 декабря 2016 г.  № 1706, 20 февраля 2017 г. № 392, 20 апреля 2017 № 747, 17 мая 2007 года № 840, 22 июня 2017 года № 1005, 21 августа 2017 года № 1303, 24 октября 2017 года №1609, 22 ноября 2017 года № 1726, 13 декабря 2017 года № 1803, 19 февраля 2018 года № 203, 12 апреля 2018 года № 487, 24 мая 2018 года № 637, 21 июня 2018 года № 839, 13 августа 2018 года № 1143, 16 октября 2018 года № 1434,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21 ноября 2018 года № 1598, 05 декабря 2018 года № 1656, 11 февраля 2019 года № 157, 19 апреля 2019 года № 494, 30 апреля 2019 года № 581, 13 июня 2019 года № 780, 21 июня 2019 года № 847, 1 августа 2019 года №1181, 6 августа 2019 года № 1220, 22 августа 2019 года № 1293, 23 сентября 2019 № 1445, </w:t>
      </w:r>
      <w:r>
        <w:rPr>
          <w:rFonts w:cs="Times New Roman" w:ascii="Times New Roman" w:hAnsi="Times New Roman"/>
          <w:b w:val="false"/>
          <w:color w:val="C9211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 xml:space="preserve">12 декабря 2019 года №  </w:t>
      </w:r>
      <w:r>
        <w:rPr>
          <w:rFonts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ru-RU" w:bidi="ar-SA"/>
        </w:rPr>
        <w:t>1967, 27 декабря 2019 года №</w:t>
      </w:r>
      <w:r>
        <w:rPr>
          <w:rFonts w:cs="Times New Roman" w:ascii="Times New Roman" w:hAnsi="Times New Roman"/>
          <w:b w:val="false"/>
          <w:bCs/>
          <w:color w:val="000000"/>
          <w:kern w:val="0"/>
          <w:sz w:val="28"/>
          <w:szCs w:val="28"/>
          <w:lang w:val="en-US" w:eastAsia="ru-RU" w:bidi="ar-SA"/>
        </w:rPr>
        <w:t xml:space="preserve">2095, </w:t>
      </w:r>
      <w:r>
        <w:rPr>
          <w:rFonts w:eastAsia="Segoe UI" w:cs="Times New Roman" w:ascii="Times New Roman" w:hAnsi="Times New Roman"/>
          <w:b w:val="false"/>
          <w:bCs/>
          <w:color w:val="000000"/>
          <w:kern w:val="0"/>
          <w:sz w:val="28"/>
          <w:szCs w:val="28"/>
          <w:lang w:val="en-US" w:eastAsia="ru-RU" w:bidi="ar-SA"/>
        </w:rPr>
        <w:t>19</w:t>
      </w:r>
      <w:r>
        <w:rPr>
          <w:rFonts w:cs="Times New Roman" w:ascii="Times New Roman" w:hAnsi="Times New Roman"/>
          <w:b w:val="false"/>
          <w:bCs/>
          <w:color w:val="000000"/>
          <w:kern w:val="0"/>
          <w:sz w:val="28"/>
          <w:szCs w:val="28"/>
          <w:lang w:val="en-US" w:eastAsia="ru-RU" w:bidi="ar-SA"/>
        </w:rPr>
        <w:t xml:space="preserve"> </w:t>
      </w:r>
      <w:r>
        <w:rPr>
          <w:rFonts w:cs="Times New Roman" w:ascii="Times New Roman" w:hAnsi="Times New Roman"/>
          <w:b w:val="false"/>
          <w:bCs/>
          <w:color w:val="000000"/>
          <w:kern w:val="0"/>
          <w:sz w:val="28"/>
          <w:szCs w:val="28"/>
          <w:lang w:val="ru-RU" w:eastAsia="ru-RU" w:bidi="ar-SA"/>
        </w:rPr>
        <w:t>февраля 2020 года № 178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>)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Паспорт</w:t>
        <w:br/>
        <w:t>муниципальной программы муниципального образования Кавказский район "Развитие образования"</w:t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3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6969"/>
      </w:tblGrid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Учреждения, подведомственные управлению образования администрации муниципального образования Кавказский район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bookmarkStart w:id="0" w:name="sub_1175"/>
            <w:r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  <w:bookmarkEnd w:id="0"/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условий для эффективного развития образования в муниципальном образовании Кавказский район, направленного на формирование конкурентоспособного человеческого потенциала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bookmarkStart w:id="1" w:name="sub_707"/>
            <w:r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  <w:bookmarkEnd w:id="1"/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сети учреждений, оказывающих услуги дошкольного образования, присмотра и ухода;</w:t>
            </w:r>
          </w:p>
          <w:p>
            <w:pPr>
              <w:pStyle w:val="Style35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обновление технологий дошкольного образования, обеспечивающих раннее развитие детей, образование детей от 5 до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8 </w:t>
            </w:r>
            <w:r>
              <w:rPr>
                <w:rFonts w:ascii="Times New Roman" w:hAnsi="Times New Roman"/>
                <w:sz w:val="28"/>
                <w:szCs w:val="28"/>
              </w:rPr>
              <w:t>лет, и инклюзивного образования дошкольников с ограниченными возможностями;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внедрение эффективных механизмов управления качеством дошкольного образования;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доли педагогических и руководящих работников системы дошкольного образования, прошедших профессиональную подготовку и повышение квалификации, в целях распространения современных моделей доступного и качественного дошкольного образования;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устойчивой динамики роста показателя средней заработной платы педагогических работников дошкольных образовательных учреждений (ДОУ);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гарантий доступности общего образования для всех уровней образования;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проведение капитального и текущего ремонта зданий, помещений и сооружений общеобразовательных учреждений;</w:t>
            </w:r>
          </w:p>
          <w:p>
            <w:pPr>
              <w:pStyle w:val="Style35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строительство  пристроек к существующим зданиям и сооружениям муниципальных общеобразовательных организаций;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неограниченного круглосуточного доступа к корпоративной сети с выходом в информационно-телекоммуникационную сеть "Интернет", при неограниченном объеме потребляемого трафика, с технической поддержкой и предоставлением корпоративных сервисов для общеобразовательных организаций, при соответствующей гарантированной скорости доступа, определяемой техническими возможностями каналов связи, модернизация общеобразовательных учреждений путем организации в них дистанционного обучения для обучающихся (увеличение пропускной способности и оплата Интернет-трафика, обновление программного обеспечения и приобретение электронных образовательных ресурсов), обеспечение открытости и доступности образовательной организации за счёт создания и поддержки сайтов образовательных учреждений;</w:t>
            </w:r>
          </w:p>
          <w:p>
            <w:pPr>
              <w:pStyle w:val="Style35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обучение на курсах повышения квалификации руководителей и педагогических работников образовательных учреждений,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устойчивой динамики роста показателя средней заработной платы педагогических работников школ, в том числе учителей;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возможности участия детей в олимпиадах, конкурсах краевого, всероссийского уровня;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расширение практики введения новых федеральных образовательных стандартов в основном общем образовании и подготовка к введению в пилотном режиме стандартов среднего общего образования в образовательных учреждениях муниципального образования Кавказский район;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и проведение государственной итоговой аттестации в форме ОГЭ, ЕГЭ и ГВЭ в муниципальном образовании Кавказский район;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-активизация спортивно-массовой работы в образовательных учреждениях муниципального образования, создание условий для регулярного занятия физической культурой и спортом в образовательных учреждениях, учреждениях дополнительного образования детей, увеличение количества учащихся привлекаемых к занятиям физической культурой и спортом;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проведение капитального ремонта спортивных залов муниципальных общеобразовательных организаций,  помещений  при них, других помещений физкультурно – спортивного  назначения, физкультурно – оздоровительных  комплексов;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условий для обеспечения учащихся общеобразовательных учреждений сбалансированным горячим питанием, формирование у детей навыков здорового питания;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педагогических работников сбалансированным горячим питанием, формирование у педагогов навыков здорового питания;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социальная поддержка многодетных семей путем предоставления учащимся из многодетных семей сбалансированного горячего питания за счет субсидий краевого бюджета;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обогащение пищи детей дополнительной витаминизацией;</w:t>
            </w:r>
          </w:p>
          <w:p>
            <w:pPr>
              <w:pStyle w:val="Style35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гарантий доступности дополнительного образования для всех групп детского населения и учащейся молодежи, становление развивающей среды, стимулирующей процесс целенаправленного самоопределения ребенка, обеспечение необходимых условий для его личностного развития;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инфраструктуры и укрепление материально-технической базы учреждений дополнительного образования;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квалификации, профессиональная переподготовка руководителей и педагогических работников учреждений дополнительного образования;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устойчивой динамики роста показателя средней заработной платы педагогических работников дополнительного образования;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высокого качества управления процессами развития образования на муниципальном уровне, в пределах своей компетенции;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деятельности муниципального бюджетного учреждения детского лагеря "Кубаночка";</w:t>
            </w:r>
          </w:p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информационное и методическое сопровождение деятельности учреждений отрасли образования». 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5"/>
              <w:snapToGrid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969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sz w:val="28"/>
                <w:szCs w:val="28"/>
              </w:rPr>
            </w:pPr>
            <w:bookmarkStart w:id="2" w:name="sub_709"/>
            <w:r>
              <w:rPr>
                <w:rFonts w:ascii="Times New Roman" w:hAnsi="Times New Roman"/>
                <w:sz w:val="28"/>
                <w:szCs w:val="28"/>
              </w:rPr>
              <w:t>Перечень целевых показателей программы</w:t>
            </w:r>
            <w:bookmarkEnd w:id="2"/>
          </w:p>
        </w:tc>
        <w:tc>
          <w:tcPr>
            <w:tcW w:w="6969" w:type="dxa"/>
            <w:tcBorders/>
            <w:shd w:fill="auto" w:val="clear"/>
          </w:tcPr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охват детей дошкольного возраста различными формами дошкольного образования;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получателей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удельный вес дошкольных образовательных учреждений, реализующих современные образовательные программы и технологии дошкольного образования, обеспечивающие раннее развитие детей, образование детей от 5 до 7 лет, и инклюзивное образование дошкольников с ограниченными возможностями;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доля педагогов дошкольных учреждений, прошедших повышение квалификации от общей численности педагогов, нуждающихся в повышении квалификации;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построенных пристроек к существующим зданиям и сооружениям и отдельно стоящих зданий;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color w:val="000000"/>
              </w:rPr>
            </w:pP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капитальный ремонт зданий и сооружений и благоустройство территорий, прилегающих к зданиям и сооружениям муниципальных образовательных организаций;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охват детей в возрасте от 6,6 до 18 лет общим образованием (в общеобразовательных учреждениях);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численность обучающихся в общеобразовательных учреждениях;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численность обучающихся по программам общего образования в расчете на 1 учителя;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количество общеобразовательных организаций, расположенных в сельской местности и малых городах, в которых создана материально– техническая база для реализации основных и дополнительных общеобразовательных программ цифрового и гуманитарного профилей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- количество общеобразовательных организаций, в которых создана материально-техническая база для реализации основных и дополнительных общеобразовательных программ;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образовательных учреждений, в которых проведен капитальный и текущий ремонт;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образовательных учреждений, в которых проведен текущий ремонт;</w:t>
            </w:r>
          </w:p>
          <w:p>
            <w:pPr>
              <w:pStyle w:val="Normal"/>
              <w:spacing w:lineRule="auto" w:line="240" w:before="0" w:after="29"/>
              <w:ind w:left="0" w:right="92" w:hanging="0"/>
              <w:jc w:val="both"/>
              <w:rPr>
                <w:color w:val="000000"/>
              </w:rPr>
            </w:pP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- количество  муниципальных образовательных организаций, в которых проведены работы по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 xml:space="preserve">капитальному  ремонту зданий и сооружений и   благоустройству территорий, прилегающих к 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 xml:space="preserve">зданиям и сооружениям муниципальных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общеобразовательных организаций;</w:t>
            </w:r>
          </w:p>
          <w:p>
            <w:pPr>
              <w:pStyle w:val="Normal"/>
              <w:spacing w:lineRule="auto" w:line="240" w:before="0" w:after="29"/>
              <w:jc w:val="both"/>
              <w:rPr>
                <w:color w:val="000000"/>
              </w:rPr>
            </w:pP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приобретение движимого имущества для оснащения вновь созданных мест в муниципальных общеобразовательных организациях;</w:t>
            </w:r>
          </w:p>
          <w:p>
            <w:pPr>
              <w:pStyle w:val="Normal"/>
              <w:spacing w:lineRule="auto" w:line="240" w:before="0" w:after="29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>- количество оснащенных мест в общеобразовательных организациях;</w:t>
            </w:r>
          </w:p>
          <w:p>
            <w:pPr>
              <w:pStyle w:val="Normal"/>
              <w:spacing w:lineRule="auto" w:line="240" w:before="0" w:after="29"/>
              <w:jc w:val="both"/>
              <w:rPr>
                <w:color w:val="000000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создание и содержание сайта общеобразовательных учреждений;</w:t>
            </w:r>
          </w:p>
          <w:p>
            <w:pPr>
              <w:pStyle w:val="Normal"/>
              <w:spacing w:lineRule="auto" w:line="240" w:before="0" w:after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увеличение пропускной способности и оплата Интернет - трафика до 10 М/б;</w:t>
            </w:r>
          </w:p>
          <w:p>
            <w:pPr>
              <w:pStyle w:val="Normal"/>
              <w:spacing w:lineRule="auto" w:line="240" w:before="0" w:after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удельный вес численности педагогических кадров, прошедших обучение по программам переподготовки и повышения квалификации педагогических работников, образования;</w:t>
            </w:r>
          </w:p>
          <w:p>
            <w:pPr>
              <w:pStyle w:val="Normal"/>
              <w:spacing w:lineRule="auto" w:line="240" w:before="0" w:after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доля учащихся, принимавших участие во Всероссийских олимпиадах и иных интеллектуальных и творческих конкурсах от общей численности обучающихся;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удельный вес численности учащихся, обучающихся по новым федеральным государственным образовательным стандартам;</w:t>
            </w:r>
          </w:p>
          <w:p>
            <w:pPr>
              <w:pStyle w:val="Normal"/>
              <w:spacing w:lineRule="auto" w:line="240" w:before="0" w:after="14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капитально отремонтированных спортивных залов муниципальных общеобразовательных организаций, помещений при них, других помещений физкультурно-спортивного назначения, физкультурно-оздоровительных комплексов;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учащихся, охваченных горячим питанием;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охват горячим питанием школьников;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педагогических работников, охваченных горячим питанием;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учащихся из многодетных семей, получающих льготное питание;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учащихся, получающих молоко и молочную продукцию 2 раза в неделю;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детей, занимающихся в организациях дополнительного образования;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проведение медицинских осмотров лиц, занимающихся физической культурой и спортом, по углубленной программе медицинского обследования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доля оснащенных организаций, в соответствии с требованиями ФГОС;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доля педагогов в планах прохождения курсовой подготовки, от численности нуждающихся в повышении квалификации;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отношение средней заработной платы педагогических работников учреждений дополнительного образования детей к средней заработной плате учителей;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учреждений, подведомственных управлению образования;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обслуживаемых учреждений, подведомственных управлению образования и управление образования;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отдохнувших детей;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обслуживаемых учреждений, подведомственных управлению образования;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доля выпускников общеобразовательных организаций, не сдавших единый государственный экзамен, в общей численности выпускников общеобразовательных организаций;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введение ставок педагогов дополнительного образования для работы с детьми в спортивных клубах общеобразовательных учреждений;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-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число педагогов, получающих выплату за работу  с детьми  в спортивных клубах муниципальных организаций дополнительного образования детей системы образования Краснодарского края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открытие спортивных кружков и секций для работы с детьми в спортивных клубах общеобразовательных учреждений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открытие спортивных кружков и секций для работы с детьми в вечернее и каникулярное время в спортивных залах общеобразовательных учреждений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привлечение учащихся к регулярному занятию в секциях спортивных клубов общеобразовательных учреждений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привлечение учащихся к регулярному занятию спортом в секциях, в вечернее и каникулярное время, в спортивных залах общеобразовательных учреждений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введение ставок педагогов дополнительного образования для работы с детьми в спортивных клубах учреждений дополнительного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86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открытие спортивных кружков и секций для работы с детьми в спортивных клубах учреждений дополнительного образования;</w:t>
            </w:r>
          </w:p>
          <w:p>
            <w:pPr>
              <w:pStyle w:val="Normal"/>
              <w:spacing w:lineRule="auto" w:line="240" w:before="0" w:after="86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Arial Unicode MS" w:ascii="Times New Roman" w:hAnsi="Times New Roman"/>
                <w:color w:val="000000"/>
                <w:sz w:val="28"/>
                <w:szCs w:val="28"/>
              </w:rPr>
              <w:t>привлечение учащихся к регулярному занятию в секциях спортивных клубов учреждений дополнительного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>
            <w:pPr>
              <w:pStyle w:val="Normal"/>
              <w:spacing w:lineRule="auto" w:line="240" w:before="0" w:after="86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ru-RU"/>
              </w:rPr>
              <w:t>- к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  <w:lang w:val="ru-RU"/>
              </w:rPr>
              <w:t>оличество общеобразовательных учреждений, в которых обновлена материально-техническая база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Проекты и (или) программы</w:t>
            </w:r>
          </w:p>
        </w:tc>
        <w:tc>
          <w:tcPr>
            <w:tcW w:w="6969" w:type="dxa"/>
            <w:tcBorders/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 предусмотрены</w:t>
            </w:r>
          </w:p>
        </w:tc>
      </w:tr>
      <w:tr>
        <w:trPr/>
        <w:tc>
          <w:tcPr>
            <w:tcW w:w="26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3" w:name="sub_708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  <w:bookmarkEnd w:id="3"/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реализации муниципальной программы: </w:t>
            </w:r>
          </w:p>
          <w:p>
            <w:pPr>
              <w:pStyle w:val="Style35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этап: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2015-2019 годы;</w:t>
            </w:r>
          </w:p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этап: 2020-2024 годы.</w:t>
            </w:r>
          </w:p>
        </w:tc>
      </w:tr>
      <w:tr>
        <w:trPr>
          <w:trHeight w:val="3261" w:hRule="atLeast"/>
        </w:trPr>
        <w:tc>
          <w:tcPr>
            <w:tcW w:w="2669" w:type="dxa"/>
            <w:tcBorders/>
            <w:shd w:fill="auto" w:val="clear"/>
          </w:tcPr>
          <w:p>
            <w:pPr>
              <w:pStyle w:val="Style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Объёмы и источники финансирования муниципальной программы, в том числе на финансовой обеспечение проектов и (или) программ</w:t>
            </w:r>
          </w:p>
        </w:tc>
        <w:tc>
          <w:tcPr>
            <w:tcW w:w="6969" w:type="dxa"/>
            <w:tcBorders/>
            <w:shd w:fill="auto" w:val="clear"/>
          </w:tcPr>
          <w:p>
            <w:pPr>
              <w:pStyle w:val="Style35"/>
              <w:rPr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Объём  финансирования муниципальной программы   составляет – 12 279 344,0 тыс. руб., в том числе:</w:t>
            </w:r>
          </w:p>
          <w:p>
            <w:pPr>
              <w:pStyle w:val="Normal"/>
              <w:tabs>
                <w:tab w:val="clear" w:pos="408"/>
                <w:tab w:val="left" w:pos="3840" w:leader="none"/>
              </w:tabs>
              <w:spacing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 xml:space="preserve">из средств краевого бюджета – 8 230 830,7тыс. </w:t>
            </w:r>
            <w:r>
              <w:rPr>
                <w:rFonts w:eastAsia="Andale Sans UI;Arial Unicode MS" w:cs="Times New Roman" w:ascii="Times New Roman" w:hAnsi="Times New Roman"/>
                <w:bCs/>
                <w:color w:val="000000"/>
                <w:kern w:val="2"/>
                <w:sz w:val="28"/>
                <w:szCs w:val="28"/>
                <w:lang w:val="ru-RU" w:eastAsia="zh-CN" w:bidi="ar-SA"/>
              </w:rPr>
              <w:t>р</w:t>
            </w: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уб.;</w:t>
            </w:r>
          </w:p>
          <w:p>
            <w:pPr>
              <w:pStyle w:val="Normal"/>
              <w:tabs>
                <w:tab w:val="clear" w:pos="408"/>
                <w:tab w:val="left" w:pos="3840" w:leader="none"/>
              </w:tabs>
              <w:spacing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 xml:space="preserve">из средств краевого бюджета, источником финансового обеспечения которого являются средства федерального бюджета – 16 833,8 тыс. </w:t>
            </w: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val="ru-RU"/>
              </w:rPr>
              <w:t>р</w:t>
            </w: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уб.;</w:t>
            </w:r>
          </w:p>
          <w:p>
            <w:pPr>
              <w:pStyle w:val="Normal"/>
              <w:tabs>
                <w:tab w:val="clear" w:pos="408"/>
                <w:tab w:val="left" w:pos="3840" w:leader="none"/>
              </w:tabs>
              <w:spacing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 xml:space="preserve">из средств местного бюджета– 3 315 990,5 тыс. руб.;   </w:t>
            </w:r>
          </w:p>
          <w:p>
            <w:pPr>
              <w:pStyle w:val="Normal"/>
              <w:tabs>
                <w:tab w:val="clear" w:pos="408"/>
                <w:tab w:val="left" w:pos="3840" w:leader="none"/>
              </w:tabs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из внебюджетных источников–  715 689,0 тыс. руб.,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2"/>
        </w:numPr>
        <w:ind w:left="0" w:right="0" w:firstLine="851"/>
        <w:jc w:val="center"/>
        <w:rPr>
          <w:rFonts w:ascii="Times New Roman" w:hAnsi="Times New Roman" w:eastAsia="Times New Roman"/>
          <w:b/>
          <w:b/>
          <w:color w:val="000000"/>
          <w:sz w:val="28"/>
          <w:szCs w:val="28"/>
          <w:lang w:val="ru-RU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val="ru-RU"/>
        </w:rPr>
        <w:t>Характеристика текущего состояния и прогноз развития в сфере образования муниципального образования Кавказский район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C9211E"/>
          <w:sz w:val="28"/>
          <w:szCs w:val="28"/>
        </w:rPr>
        <w:t xml:space="preserve">  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</w:t>
      </w:r>
      <w:r>
        <w:rPr>
          <w:rFonts w:cs="Times New Roman" w:ascii="Times New Roman" w:hAnsi="Times New Roman"/>
          <w:color w:val="000000"/>
          <w:sz w:val="28"/>
          <w:szCs w:val="28"/>
        </w:rPr>
        <w:t>В системе образования муниципального образования Кавказский район в настоящее время функционирует: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32 дошкольных образовательных учреждения;         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25 общеобразовательных учреждений,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из них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 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</w:t>
      </w:r>
      <w:r>
        <w:rPr>
          <w:rFonts w:cs="Times New Roman" w:ascii="Times New Roman" w:hAnsi="Times New Roman"/>
          <w:color w:val="000000"/>
          <w:sz w:val="28"/>
          <w:szCs w:val="28"/>
        </w:rPr>
        <w:t>- 1 школа основного общего образования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    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1 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ru-RU" w:eastAsia="zh-CN" w:bidi="ar-SA"/>
        </w:rPr>
        <w:t>открытое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(сменное) общеобразовательное учреждение; 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4 учреждения дополнительного образования детей.</w:t>
      </w:r>
    </w:p>
    <w:p>
      <w:pPr>
        <w:pStyle w:val="Normal"/>
        <w:spacing w:before="0" w:after="0"/>
        <w:ind w:left="0" w:right="0" w:firstLine="851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них обучается 12961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ребёнок</w:t>
      </w:r>
      <w:r>
        <w:rPr>
          <w:rFonts w:ascii="Times New Roman" w:hAnsi="Times New Roman"/>
          <w:color w:val="000000"/>
          <w:sz w:val="28"/>
          <w:szCs w:val="28"/>
        </w:rPr>
        <w:t xml:space="preserve">.    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Дошкольное образование: определяющее влияние на развитие дошкольного, общего и дополнительного образования оказывают демографические тенденции и процессы миграции.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Следствием спада рождаемости и уменьшения численности обучающихся в 90-е годы 20 века стало сокращение количества дошкольных учреждений и численности обучающихся в общеобразовательных учреждениях.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Определяющее влияние на развитие дошкольного, общего и дополнительного образования оказывают демографические тенденции и миграционные процессы.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За последние пять лет численность воспитанников в детских садах муниципального образования Кавказский район выросло с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3 тыс.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 xml:space="preserve">5,2 </w:t>
      </w:r>
      <w:r>
        <w:rPr>
          <w:rFonts w:ascii="Times New Roman" w:hAnsi="Times New Roman"/>
          <w:sz w:val="28"/>
          <w:szCs w:val="28"/>
        </w:rPr>
        <w:t>тыс. воспитанников.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 целях реализации </w:t>
      </w:r>
      <w:hyperlink r:id="rId2">
        <w:r>
          <w:rPr>
            <w:rStyle w:val="Style10"/>
            <w:rFonts w:ascii="Times New Roman" w:hAnsi="Times New Roman"/>
            <w:b w:val="false"/>
            <w:bCs w:val="false"/>
            <w:color w:val="000000"/>
            <w:sz w:val="28"/>
            <w:szCs w:val="28"/>
          </w:rPr>
          <w:t>Указа</w:t>
        </w:r>
      </w:hyperlink>
      <w:r>
        <w:rPr>
          <w:rFonts w:ascii="Times New Roman" w:hAnsi="Times New Roman"/>
          <w:sz w:val="28"/>
          <w:szCs w:val="28"/>
        </w:rPr>
        <w:t xml:space="preserve"> Президента Российской Федерации от 7 мая 2012 года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№</w:t>
      </w:r>
      <w:r>
        <w:rPr>
          <w:rFonts w:ascii="Times New Roman" w:hAnsi="Times New Roman"/>
          <w:sz w:val="28"/>
          <w:szCs w:val="28"/>
        </w:rPr>
        <w:t xml:space="preserve"> 599 "О мерах по реализации государственной политики в области образования и науки" для обеспечения детей доступным дошкольным образованием в районе разработан план мероприятий ("дорожная карта") "Изменения в дошкольном образовании, направленные на повышение эффективности и качества услуг в сфере образования на 2015-20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21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В последние годы в Кавказском районе активно создавались новые места для детей дошкольного возраста. Сеть дошкольных мест расширялась за счёт вариативных форм дошкольного образования (групп кратковременного пребывания и групп семейного воспитания),</w:t>
      </w:r>
      <w:r>
        <w:rPr>
          <w:rFonts w:ascii="Times New Roman" w:hAnsi="Times New Roman"/>
          <w:color w:val="000000"/>
          <w:sz w:val="28"/>
          <w:szCs w:val="28"/>
        </w:rPr>
        <w:t xml:space="preserve"> а также строительства новых детских садов.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С 2000 года рост показателей рождаемости и нарастающая миграция обусловили рост численности детей, состоящих на учёте для предоставления места в дошкольных образовательных учреждениях. В последние годы в районе остаются высокими как уровень рождаемости, так и уровень миграционных процессов. Существ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овавшая</w:t>
      </w:r>
      <w:r>
        <w:rPr>
          <w:rFonts w:ascii="Times New Roman" w:hAnsi="Times New Roman"/>
          <w:sz w:val="28"/>
          <w:szCs w:val="28"/>
        </w:rPr>
        <w:t xml:space="preserve"> сеть детских садов не удовлетворя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ла</w:t>
      </w:r>
      <w:r>
        <w:rPr>
          <w:rFonts w:ascii="Times New Roman" w:hAnsi="Times New Roman"/>
          <w:sz w:val="28"/>
          <w:szCs w:val="28"/>
        </w:rPr>
        <w:t xml:space="preserve"> потребности населения. Почти 25% детей в районе были лишены возможности посещать дошкольные образовательные учреждения. В результате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возрастала</w:t>
      </w:r>
      <w:r>
        <w:rPr>
          <w:rFonts w:ascii="Times New Roman" w:hAnsi="Times New Roman"/>
          <w:sz w:val="28"/>
          <w:szCs w:val="28"/>
        </w:rPr>
        <w:t xml:space="preserve"> очередь  детей в возрасте от 0 до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лет в детские сады. Уровень охвата детей в возрасте от 0 до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лет всеми формами дошкольного образования в районе составля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л</w:t>
      </w:r>
      <w:r>
        <w:rPr>
          <w:rFonts w:ascii="Times New Roman" w:hAnsi="Times New Roman"/>
          <w:sz w:val="28"/>
          <w:szCs w:val="28"/>
        </w:rPr>
        <w:t xml:space="preserve"> 78,8%. При этом в районе сохраня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л</w:t>
      </w:r>
      <w:r>
        <w:rPr>
          <w:rFonts w:ascii="Times New Roman" w:hAnsi="Times New Roman"/>
          <w:sz w:val="28"/>
          <w:szCs w:val="28"/>
        </w:rPr>
        <w:t xml:space="preserve">ся дефицит мест в детских садах. В общей очереди от 0 до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лет на услуги дошкольного образования наход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ились</w:t>
      </w:r>
      <w:r>
        <w:rPr>
          <w:rFonts w:ascii="Times New Roman" w:hAnsi="Times New Roman"/>
          <w:sz w:val="28"/>
          <w:szCs w:val="28"/>
        </w:rPr>
        <w:t xml:space="preserve"> 3339 тысячи человек, из них от 3-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лет 158 человек.  Введение дополнительных мест за счёт внутренних резервов детских садов, использование новых вариативных форм дошкольного образования, таких как группы кратковременного пребывания, семейные группы не мог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ли</w:t>
      </w:r>
      <w:r>
        <w:rPr>
          <w:rFonts w:ascii="Times New Roman" w:hAnsi="Times New Roman"/>
          <w:sz w:val="28"/>
          <w:szCs w:val="28"/>
        </w:rPr>
        <w:t xml:space="preserve"> кардинально повлиять на доступность дошкольного образования. Для изменения сложившейся ситуации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были приняты</w:t>
      </w:r>
      <w:r>
        <w:rPr>
          <w:rFonts w:ascii="Times New Roman" w:hAnsi="Times New Roman"/>
          <w:sz w:val="28"/>
          <w:szCs w:val="28"/>
        </w:rPr>
        <w:t xml:space="preserve"> радикальные меры, главным образом направленные на сокращение дефицита мест так в 2015 году заверш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илось</w:t>
      </w:r>
      <w:r>
        <w:rPr>
          <w:rFonts w:ascii="Times New Roman" w:hAnsi="Times New Roman"/>
          <w:sz w:val="28"/>
          <w:szCs w:val="28"/>
        </w:rPr>
        <w:t xml:space="preserve"> строительство нов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ых</w:t>
      </w:r>
      <w:r>
        <w:rPr>
          <w:rFonts w:ascii="Times New Roman" w:hAnsi="Times New Roman"/>
          <w:sz w:val="28"/>
          <w:szCs w:val="28"/>
        </w:rPr>
        <w:t xml:space="preserve"> детск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их</w:t>
      </w:r>
      <w:r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ов</w:t>
      </w:r>
      <w:r>
        <w:rPr>
          <w:rFonts w:ascii="Times New Roman" w:hAnsi="Times New Roman"/>
          <w:sz w:val="28"/>
          <w:szCs w:val="28"/>
        </w:rPr>
        <w:t xml:space="preserve"> на 250 мест в г. Кропоткине и на 250 мест в станице Кавказской,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sz w:val="28"/>
          <w:szCs w:val="28"/>
        </w:rPr>
        <w:t xml:space="preserve"> декабре 2018 года в связи с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передачей в муниципальную собственность</w:t>
      </w:r>
      <w:r>
        <w:rPr>
          <w:rFonts w:ascii="Times New Roman" w:hAnsi="Times New Roman"/>
          <w:sz w:val="28"/>
          <w:szCs w:val="28"/>
        </w:rPr>
        <w:t xml:space="preserve"> ЧДОУ Детский сад № 94 ОАО «РЖД» был создан МАДОУ ЦРР-детский сад № 34 города Кропоткин на 233 места, в  МБДОУ ЦРР- д/с № 21 посёлка им.М.Горького построена пристройка на 60 мест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 xml:space="preserve">в </w:t>
      </w:r>
      <w:r>
        <w:rPr>
          <w:rFonts w:ascii="Times New Roman" w:hAnsi="Times New Roman"/>
          <w:sz w:val="28"/>
          <w:szCs w:val="28"/>
        </w:rPr>
        <w:t>ст. Дмитриевской.</w:t>
      </w:r>
    </w:p>
    <w:p>
      <w:pPr>
        <w:pStyle w:val="Normal"/>
        <w:widowControl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На сегодняшний день охват детей в возрасте от 0 до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лет всеми формами дошкольного образования в районе составл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яет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100</w:t>
      </w:r>
      <w:r>
        <w:rPr>
          <w:rFonts w:ascii="Times New Roman" w:hAnsi="Times New Roman"/>
          <w:sz w:val="28"/>
          <w:szCs w:val="28"/>
        </w:rPr>
        <w:t xml:space="preserve">%. В очереди на услуги дошкольного образования детей в возрасте от 3 до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лет нет.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реализации программы будут достигнуты следующие результаты: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всем детям в возрасте от 3 до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лет будут предоставлены услуги дошкольного образования;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будут созданы передовые модели современных детских садов;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средняя заработная плата педагогических работников дошкольных образовательных учреждений будет доведена до средней заработной платы в сфере общего образования в Кавказском районе;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дошкольных образовательных учреждениях будет внедрён федеральный государственный стандарт;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вырастет доля первоклассников, у которых сформирована готовность к освоению программ начального общего образования.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Общее образование: в результате реализации приоритетного национального проекта "Образование", национальной образовательной инициативы "Наша новая школа" регионального проекта модернизации систем общего образования существенно обновлена инфраструктура общего образования. В настоящее время во всех общеобразовательных учреждениях имеются интерактивные доски и мультимедийные проекты, ими оснащены 100% учебных кабинетов, в том числе 100% кабинетов начальных классов. </w:t>
        <w:tab/>
        <w:t>Доля общеобразовательных учреждений, имеющих доступ к сети "Интернет" на скорости более 2 Мб/с, составляет 97%. Во всех средних школах оборудованы локальные вычислительные сети, что обеспечило повсеместный переход на электронные дневники, журналы и электронную систему управления, доступ к сети "Интернет" в учебных кабинетах, библиотеках.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Созданы дополнительные условия для сохранения и укрепления здоровья школьников. Во многие школьные спортивные залы поставлено новое спортивное оборудование, что повысило уровень физкультурно-оздоровительной и спортивно-массовой работы. В районе во всех образовательных учреждениях медицинские кабинеты оснащены современным оборудованием и имеют лицензи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ю</w:t>
      </w:r>
      <w:r>
        <w:rPr>
          <w:rFonts w:ascii="Times New Roman" w:hAnsi="Times New Roman"/>
          <w:sz w:val="28"/>
          <w:szCs w:val="28"/>
        </w:rPr>
        <w:t xml:space="preserve">. 100% школ имеют в пищеблоках новое высокотехнологическое оборудование, что заметно улучшило организацию и повысило качество питания обучающихся.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Горячим питанием охвачены 100% учащихся.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Решены вопросы безопасности школьных перевозок. Весь парк школьных автобусов соответствует требованиям ГОСТа. Проведена необходимая модернизация и оснащение бортовым навигационным оборудованием ГЛОНАСС. Регулярно осуществляется замена устаревших школьных автобусов.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 ходе модернизации значительно укрепилась школьная инфраструктура. В настоящее время </w:t>
      </w:r>
      <w:r>
        <w:rPr>
          <w:rFonts w:ascii="Times New Roman" w:hAnsi="Times New Roman"/>
          <w:color w:val="000000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% школьных окон обновлены (от общего количества), произведена замена оконных блоков на металлопластиковые. Капитально отремонтировано </w:t>
      </w:r>
      <w:r>
        <w:rPr>
          <w:rFonts w:ascii="Times New Roman" w:hAnsi="Times New Roman"/>
          <w:color w:val="000000"/>
          <w:kern w:val="0"/>
          <w:sz w:val="28"/>
          <w:szCs w:val="28"/>
          <w:lang w:val="ru-RU" w:eastAsia="ru-RU"/>
        </w:rPr>
        <w:t>8</w:t>
      </w:r>
      <w:r>
        <w:rPr>
          <w:rFonts w:ascii="Times New Roman" w:hAnsi="Times New Roman"/>
          <w:sz w:val="28"/>
          <w:szCs w:val="28"/>
        </w:rPr>
        <w:t xml:space="preserve"> школьных спортивных залов, в 2016 году построен новый спортивный зал в МБОУ СОШ № 10 пос. Степной.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Вместе с тем сохраняется дифференциация по уровню соответствия инфраструктуре современным требованиям. В ряде школ требуется капитальный ремонт спортивных залов, системы электропроводки и теплоснабжение, необходимо ограждение по периметру школьных территорий и дополнительная установка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камер</w:t>
      </w:r>
      <w:r>
        <w:rPr>
          <w:rFonts w:ascii="Times New Roman" w:hAnsi="Times New Roman"/>
          <w:sz w:val="28"/>
          <w:szCs w:val="28"/>
        </w:rPr>
        <w:t xml:space="preserve"> видеонаблюдения. 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последние годы существенно обновляется содержание общего образования: поэтапно внедряются федеральные государственные требования к структуре основной общеобразовательной программы дошкольного образования, федеральный государственный образовательный стандарт начального, основного и полного общего образования. Тем не менее, по-прежнему актуально создание условий для введения новых федеральных государственных образовательных стандартов.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Требует дальнейшего совершенствования система оценки качества образования на всех уровнях, в том числе процедура проведения единого государственного экзамена.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единого государственного экзамена показывают, что средний уровень подготовки школьников Кавказского района по двум предметам превышает среднекраевой уровень, а по отдельным предметам сопоставим с ним. Из года в год выпускники района выполняют экзаменационные работы на высший балл - 100. Одарённые школьники района показывают хорошие результаты на всероссийских олимпиадах и творческих конкурсах.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Для решения доступности образовательных услуг для детей с ограниченными возможностями здоровья в районе реализуется проект по обучению их на дому с использованием дистанционных технологий. В настоящее время этой формой обучения охвачено </w:t>
      </w:r>
      <w:r>
        <w:rPr>
          <w:rFonts w:ascii="Times New Roman" w:hAnsi="Times New Roman"/>
          <w:color w:val="000000"/>
          <w:sz w:val="28"/>
          <w:szCs w:val="28"/>
        </w:rPr>
        <w:t xml:space="preserve">13 </w:t>
      </w:r>
      <w:r>
        <w:rPr>
          <w:rFonts w:ascii="Times New Roman" w:hAnsi="Times New Roman"/>
          <w:sz w:val="28"/>
          <w:szCs w:val="28"/>
        </w:rPr>
        <w:t>детей, имеющих необходимые медицинские показания.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реализации мероприятий программы: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не менее 100 процентов школьников будет обучаться по новым федеральным образовательным стандартам начального общего образования и не менее </w:t>
      </w:r>
      <w:r>
        <w:rPr>
          <w:rFonts w:ascii="Times New Roman" w:hAnsi="Times New Roman"/>
          <w:color w:val="000000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процентов школьников будут обучаться по новым федеральным образовательным стандартам основного общего образования, для этого в общеобразовательных учреждениях будут созданы определённые условия;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общеобразовательные учреждения района будут иметь современную базовую инфраструктуру: обновлённые металлопластиковые окна, модернизированные пищеблоки;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старшеклассники получат возможность обучаться по образовательным программам профильного обучения и получать профессиональную подготовку;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улучшатся показатели готовности учащихся к освоению программ основного общего, среднего общего образования;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заработная плата педагогических работников общеобразовательных организаций будет сохранена на уровне 100 процентов средней заработной платы по экономике района;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Дополнительное образование: в муниципальном образовании Кавказский район большое внимание уделяется организации дополнительного образования детей в сфере образования, культуры и спорта. </w:t>
        <w:tab/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дополнительного образования детей создают равные "стартовые" возможности каждому ребёнку для самореализации, оказывают помощь и поддержку одарённым и талантливым. Дополнительное образование остаётся бесплатным. Более половины детей, занимающихся в системе дополнительного образования детей, из семей с достаточно низким уровнем достатка.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Анализ качества и доступности дополнительного образования детей позволяет сделать вывод о том, </w:t>
      </w:r>
      <w:r>
        <w:rPr>
          <w:rFonts w:ascii="Times New Roman" w:hAnsi="Times New Roman"/>
          <w:sz w:val="28"/>
          <w:szCs w:val="28"/>
          <w:lang w:val="ru-RU"/>
        </w:rPr>
        <w:t xml:space="preserve">что </w:t>
      </w:r>
      <w:r>
        <w:rPr>
          <w:rFonts w:ascii="Times New Roman" w:hAnsi="Times New Roman"/>
          <w:sz w:val="28"/>
          <w:szCs w:val="28"/>
        </w:rPr>
        <w:t>остаются проблемы получения услуг дополнительного образования детьми с ограниченными возможностями здоровья. Таким образом, полностью обеспечить равный доступ дополнительного образования детям с разными потребностями и возможностями пока не удалось.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 дополнительного образования детей не используются дистанционные формы образования, требуют совершенствования новые образовательные технологии - проектные, исследовательские, профессиональные, ориентированные, особенно в области техники, естественных наук и профориентации подростков.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реализации мероприятий программы: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- не менее 7</w:t>
      </w:r>
      <w:r>
        <w:rPr>
          <w:rFonts w:ascii="Times New Roman" w:hAnsi="Times New Roman"/>
          <w:color w:val="111111"/>
          <w:kern w:val="0"/>
          <w:sz w:val="28"/>
          <w:szCs w:val="28"/>
          <w:lang w:val="ru-RU" w:eastAsia="ru-RU"/>
        </w:rPr>
        <w:t>5</w:t>
      </w:r>
      <w:r>
        <w:rPr>
          <w:rFonts w:ascii="Times New Roman" w:hAnsi="Times New Roman"/>
          <w:sz w:val="28"/>
          <w:szCs w:val="28"/>
        </w:rPr>
        <w:t xml:space="preserve"> процентов детей от 5 до 18 лет будут охвачены программами дополнительного образования;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дети, находящиеся в трудной жизненной ситуации, дети из семей с низким социально-экономическим статусом получат возможность бесплатного обучения по программам дополнительного образования;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материальная база учреждений дополнительного образования будет укреплена учебно-производственным, спортивным инвентарём, музыкальным инструментами и техническими средствами обучения;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будут открыты новые направления дополнительного образования;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повысятся показатели уровня социализации выпускников основных общеобразовательных учреждений.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>Уровень жизни педагогических работников: повышение заработной платы учителей стало одной из целей реализуемого с 2011 года проекта модернизации системы общего образования. В сравнении средняя заработная плата педагогических работников школ по итогу работы за 2015 год составила в среднем по району 27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681</w:t>
      </w:r>
      <w:r>
        <w:rPr>
          <w:rFonts w:ascii="Times New Roman" w:hAnsi="Times New Roman"/>
          <w:sz w:val="28"/>
          <w:szCs w:val="28"/>
        </w:rPr>
        <w:t xml:space="preserve"> рубль, 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з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2019 года 30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692</w:t>
      </w:r>
      <w:r>
        <w:rPr>
          <w:rFonts w:ascii="Times New Roman" w:hAnsi="Times New Roman"/>
          <w:sz w:val="28"/>
          <w:szCs w:val="28"/>
        </w:rPr>
        <w:t xml:space="preserve"> рубля. Наряду с учительской повышается заработная плата и педагогических работников детских садов. По итогу работы за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2015</w:t>
      </w:r>
      <w:r>
        <w:rPr>
          <w:rFonts w:ascii="Times New Roman" w:hAnsi="Times New Roman"/>
          <w:sz w:val="28"/>
          <w:szCs w:val="28"/>
        </w:rPr>
        <w:t xml:space="preserve"> год их заработная плата составила в среднем по району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24172</w:t>
      </w:r>
      <w:r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я</w:t>
      </w:r>
      <w:r>
        <w:rPr>
          <w:rFonts w:ascii="Times New Roman" w:hAnsi="Times New Roman"/>
          <w:sz w:val="28"/>
          <w:szCs w:val="28"/>
        </w:rPr>
        <w:t xml:space="preserve">, а </w:t>
      </w:r>
      <w:bookmarkStart w:id="4" w:name="__DdeLink__18870_3654207489"/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2019</w:t>
      </w:r>
      <w:bookmarkEnd w:id="4"/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29442</w:t>
      </w:r>
      <w:r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 реализуется программа поэтапного повышения заработной платы педагогических работников учреждений дополнительного образования.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По итогу работы за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2015</w:t>
      </w:r>
      <w:r>
        <w:rPr>
          <w:rFonts w:ascii="Times New Roman" w:hAnsi="Times New Roman"/>
          <w:sz w:val="28"/>
          <w:szCs w:val="28"/>
        </w:rPr>
        <w:t xml:space="preserve"> год их заработная плата составила в среднем по району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23677</w:t>
      </w:r>
      <w:r>
        <w:rPr>
          <w:rFonts w:ascii="Times New Roman" w:hAnsi="Times New Roman"/>
          <w:sz w:val="28"/>
          <w:szCs w:val="28"/>
        </w:rPr>
        <w:t xml:space="preserve"> рублей, а за за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2019 года </w:t>
      </w:r>
      <w:r>
        <w:rPr>
          <w:rFonts w:ascii="Times New Roman" w:hAnsi="Times New Roman"/>
          <w:kern w:val="0"/>
          <w:sz w:val="28"/>
          <w:szCs w:val="28"/>
          <w:lang w:val="ru-RU" w:eastAsia="ru-RU"/>
        </w:rPr>
        <w:t>31396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tabs>
          <w:tab w:val="clear" w:pos="408"/>
          <w:tab w:val="left" w:pos="709" w:leader="none"/>
        </w:tabs>
        <w:spacing w:before="0" w:after="0"/>
        <w:ind w:left="0" w:right="0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В районе введена новая система оплаты труда, стимулирующая качество результатов деятельности педагогов и мотивацию профессионального развития.</w:t>
      </w:r>
    </w:p>
    <w:p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1"/>
        <w:spacing w:before="0" w:after="0"/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imes New Roman"/>
          <w:color w:val="000000"/>
          <w:sz w:val="28"/>
          <w:szCs w:val="28"/>
          <w:lang w:val="ru-RU"/>
        </w:rPr>
      </w:r>
    </w:p>
    <w:p>
      <w:pPr>
        <w:pStyle w:val="1"/>
        <w:spacing w:before="0" w:after="0"/>
        <w:rPr/>
      </w:pPr>
      <w:r>
        <w:rPr>
          <w:rFonts w:eastAsia="Times New Roman"/>
          <w:b w:val="false"/>
          <w:color w:val="000000"/>
          <w:sz w:val="28"/>
          <w:szCs w:val="28"/>
          <w:lang w:val="ru-RU"/>
        </w:rPr>
        <w:t xml:space="preserve">   </w:t>
      </w:r>
      <w:r>
        <w:rPr>
          <w:rFonts w:eastAsia="Times New Roman" w:ascii="Times New Roman" w:hAnsi="Times New Roman"/>
          <w:b w:val="false"/>
          <w:color w:val="000000"/>
          <w:sz w:val="28"/>
          <w:szCs w:val="28"/>
          <w:lang w:val="ru-RU"/>
        </w:rPr>
        <w:t xml:space="preserve">        </w:t>
      </w:r>
      <w:r>
        <w:rPr>
          <w:rFonts w:eastAsia="Times New Roman" w:ascii="Times New Roman" w:hAnsi="Times New Roman"/>
          <w:color w:val="000000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>
      <w:pPr>
        <w:pStyle w:val="Normal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left="0" w:righ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sub_201"/>
      <w:bookmarkEnd w:id="5"/>
      <w:r>
        <w:rPr>
          <w:rFonts w:ascii="Times New Roman" w:hAnsi="Times New Roman"/>
          <w:color w:val="000000"/>
          <w:sz w:val="28"/>
          <w:szCs w:val="28"/>
        </w:rPr>
        <w:t>Основная цель программы - обеспечение условий для эффективного развития образования в муниципальном образовании Кавказский район, направленного на формирование конкурентоспособного человеческого потенциала.</w:t>
      </w:r>
    </w:p>
    <w:p>
      <w:pPr>
        <w:pStyle w:val="Normal"/>
        <w:ind w:left="0" w:right="0" w:firstLine="851"/>
        <w:jc w:val="both"/>
        <w:rPr/>
      </w:pPr>
      <w:bookmarkStart w:id="6" w:name="sub_2011"/>
      <w:bookmarkEnd w:id="6"/>
      <w:r>
        <w:rPr>
          <w:rFonts w:ascii="Times New Roman" w:hAnsi="Times New Roman"/>
          <w:color w:val="000000"/>
          <w:sz w:val="28"/>
          <w:szCs w:val="28"/>
        </w:rPr>
        <w:t xml:space="preserve">Для достижения указанной цели необходимо решить задачи, приведенные в Паспорте Программы в 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</w:rPr>
        <w:t>разделе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Задачи муниципальной программы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Муниципальная программа разработана на основе программно-целевого метода, представляет собой комплекс различных мероприятий, обеспечивающих достижение конкретных целей и решение задач, стоящих перед кубанским образованием.</w:t>
      </w:r>
    </w:p>
    <w:p>
      <w:pPr>
        <w:pStyle w:val="Normal"/>
        <w:ind w:left="0" w:righ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Эффективность реализации муниципальной программы определяется на основе системы целевых индикаторов и показателей, позволяющих оценить ход и результативность решения поставленных задач по ключевым направлениям развития образования и определить его влияние на социально-экономическое развитие Кавказского района.</w:t>
      </w:r>
    </w:p>
    <w:p>
      <w:pPr>
        <w:pStyle w:val="Normal"/>
        <w:ind w:left="0" w:right="0" w:firstLine="851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 приведены в таблице 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</w:rPr>
        <w:t>Приложени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  <w:lang w:val="ru-RU"/>
        </w:rPr>
        <w:t>я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</w:rPr>
        <w:t xml:space="preserve"> 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  <w:lang w:val="ru-RU"/>
        </w:rPr>
        <w:t>№1</w:t>
      </w:r>
      <w:r>
        <w:rPr>
          <w:rFonts w:ascii="Times New Roman" w:hAnsi="Times New Roman"/>
          <w:color w:val="000000"/>
          <w:sz w:val="28"/>
          <w:szCs w:val="28"/>
        </w:rPr>
        <w:t xml:space="preserve"> и в таблице  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</w:rPr>
        <w:t>Приложени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  <w:lang w:val="ru-RU"/>
        </w:rPr>
        <w:t>я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</w:rPr>
        <w:t xml:space="preserve"> 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  <w:lang w:val="ru-RU"/>
        </w:rPr>
        <w:t>№</w:t>
      </w:r>
      <w:r>
        <w:rPr>
          <w:rStyle w:val="Style10"/>
          <w:rFonts w:ascii="Times New Roman" w:hAnsi="Times New Roman"/>
          <w:b w:val="false"/>
          <w:color w:val="000000"/>
          <w:sz w:val="28"/>
          <w:szCs w:val="28"/>
        </w:rPr>
        <w:t> 3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настоящей Программе.</w:t>
      </w:r>
    </w:p>
    <w:p>
      <w:pPr>
        <w:pStyle w:val="Style35"/>
        <w:spacing w:before="0" w:after="0"/>
        <w:ind w:left="0" w:right="0" w:firstLine="851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Сроки реализации муниципальной программы: 2015-2021 годы, этапы реализации: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этап: 2015-2019 годы;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этап: 2020-2024 годы.</w:t>
      </w:r>
    </w:p>
    <w:p>
      <w:pPr>
        <w:pStyle w:val="Normal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bookmarkStart w:id="7" w:name="sub_20811"/>
      <w:bookmarkStart w:id="8" w:name="sub_208"/>
      <w:bookmarkStart w:id="9" w:name="sub_20811"/>
      <w:bookmarkStart w:id="10" w:name="sub_208"/>
      <w:bookmarkEnd w:id="9"/>
      <w:bookmarkEnd w:id="10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Перечень основных мероприятий муниципальной программы</w:t>
      </w:r>
      <w:bookmarkStart w:id="11" w:name="sub_300"/>
      <w:bookmarkEnd w:id="11"/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Перечень основных мероприятий муниципальной программы приведен в </w:t>
      </w:r>
      <w:hyperlink w:anchor="sub_1200">
        <w:r>
          <w:rPr>
            <w:rStyle w:val="Style10"/>
            <w:rFonts w:cs="Times New Roman" w:ascii="Times New Roman" w:hAnsi="Times New Roman"/>
            <w:color w:val="auto"/>
            <w:sz w:val="28"/>
            <w:szCs w:val="28"/>
          </w:rPr>
          <w:t>Приложении N 2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1"/>
        <w:spacing w:before="0" w:after="0"/>
        <w:rPr/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4. Обоснование ресурсного обеспечения Программы</w:t>
      </w:r>
    </w:p>
    <w:p>
      <w:pPr>
        <w:pStyle w:val="Normal"/>
        <w:spacing w:before="0" w:after="14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муниципального бюджета, краевого бюджета, федерального бюджета и внебюджетных источников.</w:t>
      </w:r>
    </w:p>
    <w:p>
      <w:pPr>
        <w:pStyle w:val="Normal"/>
        <w:ind w:left="0" w:righ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Объем финансовых ресурсов, предусмотренных на реализацию муниципальной программы «Развитие образования» приведен в Приложении № 2.1 к муниципальной программе.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108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Прогноз сводных показателей на оказание муниципальных услуг (выполнение работ) муниципальными учреждениями в сфере реализации программы "Развитие образования"</w:t>
      </w:r>
      <w:bookmarkStart w:id="12" w:name="sub_500"/>
      <w:bookmarkEnd w:id="12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управлению образования, на очередной финансовый год и плановый период представлен в таблице в </w:t>
      </w:r>
      <w:hyperlink w:anchor="sub_1400">
        <w:r>
          <w:rPr>
            <w:rStyle w:val="Style10"/>
            <w:rFonts w:cs="Times New Roman" w:ascii="Times New Roman" w:hAnsi="Times New Roman"/>
            <w:sz w:val="28"/>
            <w:szCs w:val="28"/>
          </w:rPr>
          <w:t>Приложении N 4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К основным рискам реализации мероприятий муниципальной программы можно отнести следующие риски: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финансово-экономические риски - недофинансирование мероприятий муниципальной программы, в том числе со стороны образовательных организаций.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нормативно-правовые риски - непринятие или несвоевременное принятие необходимых нормативных актов, внесение изменений в постановления, влияющих на мероприятия муниципальной программы. Устранение (минимизация)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 Данные риски будут минимизированы в рамках совершенствования мер правового регулирования, предусмотренных муниципальной программой, путем повышения ответственности должностных лиц, ответственных за своевременное и высокопрофессиональное исполнение мероприятий муниципальной программы.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организационные и управленческие риски - недостаточная проработка вопросов, решаемых в рамках муниципальной программы, недостаточная подготовка управленческого потенциала, отставание от сроков реализации мероприятий. Устранение данных рисков возможно за счет организации постоянного и оперативного мониторинга реализации муниципальной программы, а также за счет корректировки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системы образования, а также опережающая разработка инструментов мониторинга до начала реализации муниципальной программы.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социальные риски, связанные с сопротивлением населения, профессиональной общественности целям и реализации муниципальной программы. Социальные риски могут реализоваться в сопротивлении общественности осуществляемым изменениям, связанном с недостаточных освещением в СМИ, целей, задач и планируемых в рамках муниципальной программы результатов, с ошибками в реализации мероприятий муниципальной программы, с планированием, недостаточно учитывающим социальные последствия.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Меры правового регулирования в сфере реализации муниципальной программы</w:t>
      </w:r>
      <w:bookmarkStart w:id="13" w:name="sub_700"/>
      <w:bookmarkEnd w:id="13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Принятие нормативно-правовых актов с изменениями правового регулирования в сфере реализации муниципальной программы "Развитие образования" не планируется.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Методика оценки эффективности реализации муниципальной программы</w:t>
      </w:r>
      <w:bookmarkStart w:id="14" w:name="sub_800"/>
      <w:bookmarkEnd w:id="14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jc w:val="both"/>
        <w:rPr/>
      </w:pP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 xml:space="preserve">      </w:t>
      </w:r>
      <w:r>
        <w:rPr>
          <w:rFonts w:eastAsia="Times New Roman" w:cs="Times New Roman" w:ascii="Times New Roman" w:hAnsi="Times New Roman"/>
          <w:b w:val="false"/>
          <w:color w:val="auto"/>
          <w:sz w:val="28"/>
          <w:szCs w:val="28"/>
        </w:rPr>
        <w:t xml:space="preserve">Эффективность реализации муниципальной программы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МО Кавказский район от 11 июля 2014 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Механизм реализации муниципальной программы и контроль за ее выполнением</w:t>
      </w:r>
      <w:bookmarkStart w:id="15" w:name="sub_900"/>
      <w:bookmarkEnd w:id="15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Реализация мероприятий программы осуществляется на основе взаимодействия управления образования администрации муниципального образования Кавказский район с образовательными учреждениями муниципального образования Кавказский район.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Текущее управление по реализации мероприятий программы осуществляет управление образования администрации муниципального образования Кавказский район - координатор муниципальной программы, который: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обеспечивает разработку и реализацию мероприятий программы, ее согласование с участниками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формирует структуру муниципальной программы, перечень участников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проводит мониторинг реализации муниципальной программы и анализ отчетности, предоставляемой участниками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Интернет" (далее сайт);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Координатор программы организует взаимодействие с образовательными учреждениями по подготовке и реализации программных мероприятий, а также по анализу и рациональному использованию средств муниципального бюджета, он же организует контроль за реализацией мероприятий программы.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Координатор  муниципальной программ ежегодно, не позднее 31 декабря текущего финансового года, утверждает согласованный  с координаторами подпрограмм, участниками муниципальной программы  план реализации муниципальной программы на очередной год (далее – план реализации муниципальной программы) по форме согласно Приложению № 5 к муниципальной программе.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 План реализации муниципальной программы  составляется в разрезе основных мероприятий, планируемых к реализации в очередном году, а также  значимых контрольных событий реализации  муниципальной программы (далее- контрольные события), оказывающих существенное влияние на сроки  и результаты ее реализации в очередном году.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 Основными характеристиками  контрольных событий    муниципальной  программы являются  общественная, в том числе  социально – экономическая значимость (важность) для достижения результата основного мероприятия, нулевая длительность, возможность однозначной оценки достижения                           (0% или 100 %), документальное подтверждение  результата.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 В обязательном порядке контрольные события  выделяются по основным мероприятиям  в составе  которых предусмотрена реализация  муниципальных функций  по разработке и реализации государственной в соответствующей сфере реализации муниципальной программы, осуществлению муниципального контроля и надзора, управлению муниципальным имуществом.  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 Контрольные события определяются в зависимости от содержания  основных мероприятий, по которым они выделяются. Для основных мероприятий: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 характеристику  конечного (или промежуточного) результата реализации соответствующего мероприятия (значимый промежуточный (ожидаемый) результат) реализации мероприятий;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направленных на обеспечение  реализации  муниципальных функций (предоставление муниципальных услуг), в качестве контрольных событий при необходимости следует использовать  достижение заданных  показателей объема  и (или) качества исполнения муниципальных функций (предоставления муниципальных услуг);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 результативность осуществления контрольных (надзорных) мероприятий.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В плане реализации  муниципальной  программы при необходимости  следует обеспечивать  равномерное распределение  контрольных событий  в течение года.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 xml:space="preserve">В процессе реализации муниципальной программы  ее координатор по согласованию с координатором подпрограмм и (или) участниками муниципальной программы  может принимать решения о внесении  изменений в план реализации муниципальной программы.  Изменения в план реализации муниципальной программы следует вносить  не чаще 1 раза в квартал. </w:t>
      </w:r>
    </w:p>
    <w:p>
      <w:pPr>
        <w:pStyle w:val="Normal"/>
        <w:tabs>
          <w:tab w:val="clear" w:pos="408"/>
          <w:tab w:val="left" w:pos="0" w:leader="none"/>
          <w:tab w:val="left" w:pos="6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В целях обеспечения контроля за выполнением муниципальной программы  ее координатор  представляет  план реализации муниципальной программы (изменения в план реализации муниципальной программы) в финансовое управление  муниципального образования Кавказский район и обеспечивает его размещение  на официальном сайте  в информационно -  телекоммуникационной  сети «Интернет» не позднее 5 рабочих дней  после его утверждения (утверждения изменений в план реализации муниципальной программы).</w:t>
      </w:r>
      <w:bookmarkStart w:id="16" w:name="sub_4"/>
      <w:bookmarkEnd w:id="16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Координатор муниципальной программы ежеквартально, до 20-го числа месяца, следующего за отчетным кварталом, предоставляет в финансовое управление заполненные отчетные формы мониторинга реализации муниципальной программы на бумажных и электронных носителях.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 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 (приложение № </w:t>
      </w:r>
      <w:hyperlink w:anchor="sub_1700">
        <w:r>
          <w:rPr>
            <w:rStyle w:val="Style10"/>
            <w:rFonts w:cs="Times New Roman" w:ascii="Times New Roman" w:hAnsi="Times New Roman"/>
            <w:color w:val="auto"/>
            <w:sz w:val="28"/>
            <w:szCs w:val="28"/>
          </w:rPr>
          <w:t>6</w:t>
        </w:r>
      </w:hyperlink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Приложение № 1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муниципального образования Кавказский район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от 31 октября 2014 года № 1733</w:t>
      </w:r>
    </w:p>
    <w:p>
      <w:pPr>
        <w:pStyle w:val="Normal"/>
        <w:spacing w:before="0" w:after="0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tbl>
      <w:tblPr>
        <w:tblW w:w="14570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88"/>
        <w:gridCol w:w="4139"/>
        <w:gridCol w:w="2"/>
        <w:gridCol w:w="936"/>
        <w:gridCol w:w="3"/>
        <w:gridCol w:w="825"/>
        <w:gridCol w:w="1"/>
        <w:gridCol w:w="780"/>
        <w:gridCol w:w="1"/>
        <w:gridCol w:w="784"/>
        <w:gridCol w:w="2"/>
        <w:gridCol w:w="782"/>
        <w:gridCol w:w="2"/>
        <w:gridCol w:w="782"/>
        <w:gridCol w:w="3"/>
        <w:gridCol w:w="782"/>
        <w:gridCol w:w="2"/>
        <w:gridCol w:w="784"/>
        <w:gridCol w:w="3"/>
        <w:gridCol w:w="783"/>
        <w:gridCol w:w="3"/>
        <w:gridCol w:w="784"/>
        <w:gridCol w:w="2"/>
        <w:gridCol w:w="782"/>
        <w:gridCol w:w="1"/>
        <w:gridCol w:w="3"/>
        <w:gridCol w:w="8"/>
        <w:gridCol w:w="802"/>
      </w:tblGrid>
      <w:tr>
        <w:trPr>
          <w:trHeight w:val="401" w:hRule="atLeast"/>
        </w:trPr>
        <w:tc>
          <w:tcPr>
            <w:tcW w:w="788" w:type="dxa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38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28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81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85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84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84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85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86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86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87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84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14" w:type="dxa"/>
            <w:gridSpan w:val="4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</w:tr>
      <w:tr>
        <w:trPr>
          <w:trHeight w:val="596" w:hRule="atLeast"/>
        </w:trPr>
        <w:tc>
          <w:tcPr>
            <w:tcW w:w="788" w:type="dxa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979" w:type="dxa"/>
            <w:gridSpan w:val="26"/>
            <w:tcBorders/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ЦЕЛИ, ЗАДАЧИ И ЦЕЛЕВЫЕ ПОКАЗАТЕЛИ МУНИЦИПАЛЬНОЙ ПРОГРАММЫ</w:t>
              <w:br/>
              <w:t xml:space="preserve">«Развитие образования» </w:t>
            </w:r>
          </w:p>
        </w:tc>
        <w:tc>
          <w:tcPr>
            <w:tcW w:w="802" w:type="dxa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788" w:type="dxa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38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28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81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85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84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84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85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86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86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87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84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14" w:type="dxa"/>
            <w:gridSpan w:val="4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</w:tr>
      <w:tr>
        <w:trPr>
          <w:trHeight w:val="95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/>
            </w:pPr>
            <w:r>
              <w:rPr/>
              <w:t xml:space="preserve">№ </w:t>
            </w:r>
            <w:r>
              <w:rPr>
                <w:sz w:val="24"/>
              </w:rPr>
              <w:t>п/п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Наименование целевого показателя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Ед.изм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Статус*</w:t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2015 год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2016 год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2017 год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2018 год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2019 год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2020 год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2021 год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2024 год</w:t>
            </w:r>
          </w:p>
        </w:tc>
      </w:tr>
      <w:tr>
        <w:trPr>
          <w:trHeight w:val="671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tabs>
                <w:tab w:val="clear" w:pos="408"/>
                <w:tab w:val="left" w:pos="1029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781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Цель муниципальной программы: обеспечение условий для эффективного развития образования в муниципальном образовании Кавказский район, направленного на формирование конкурентоспособного человеческого потенциала</w:t>
            </w:r>
          </w:p>
        </w:tc>
      </w:tr>
      <w:tr>
        <w:trPr>
          <w:trHeight w:val="641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81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 мероприятие № 1: Развитие системы дошкольного образования в муниципальном образовании Кавказский район</w:t>
            </w:r>
          </w:p>
        </w:tc>
      </w:tr>
      <w:tr>
        <w:trPr>
          <w:trHeight w:val="41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3781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Развитие сети учреждений, оказывающих услуги дошкольного образования, присмотра и ухода</w:t>
            </w:r>
          </w:p>
        </w:tc>
      </w:tr>
      <w:tr>
        <w:trPr>
          <w:trHeight w:val="110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охват детей дошкольного возраста различными формами дошкольного образования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%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85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90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90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100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100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100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100</w:t>
            </w:r>
          </w:p>
        </w:tc>
      </w:tr>
      <w:tr>
        <w:trPr>
          <w:trHeight w:val="2531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- количество получателей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4448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4710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4750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4600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4400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4400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4400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4400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4400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4400</w:t>
            </w:r>
          </w:p>
        </w:tc>
      </w:tr>
      <w:tr>
        <w:trPr>
          <w:trHeight w:val="851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3781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Обновление технологий дошкольного образования, обеспечивающих раннее развитие детей, образование детей от 5 до 7 лет, и инклюзивного образования дошкольников с ограниченными возможностями, внедрение эффективных механизмов управления качеством дошкольного образования</w:t>
            </w:r>
          </w:p>
        </w:tc>
      </w:tr>
      <w:tr>
        <w:trPr>
          <w:trHeight w:val="3131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удельный вес дошкольных образовательных учреждений, реализующих современные образовательные программы и технологии дошкольного образования, обеспечивающие раннее развитие детей, образование детей от 5 до 7 лет, и инклюзивное образование дошкольников с ограниченными возможностями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%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100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br/>
              <w:t>100</w:t>
            </w:r>
          </w:p>
        </w:tc>
      </w:tr>
      <w:tr>
        <w:trPr>
          <w:trHeight w:val="851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3781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Повышение доли педагогических и руководящих работников системы дошкольного образования, прошедших профессиональную подготовку и повышение квалификации, в целях распространения современных моделей доступного и качественного дошкольного образования</w:t>
            </w:r>
          </w:p>
        </w:tc>
      </w:tr>
      <w:tr>
        <w:trPr>
          <w:trHeight w:val="194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- доля педагогов дошкольных учреждений, прошедших повышение квалификации от общей численности педагогов, нуждающихся в повышении квалификации.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%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35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90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95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98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</w:tr>
      <w:tr>
        <w:trPr>
          <w:trHeight w:val="59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3781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 : Обеспечение устойчивой динамики роста показателя средней заработной платы педагогических работников дошкольных образовательных учреждений</w:t>
            </w:r>
          </w:p>
        </w:tc>
      </w:tr>
      <w:tr>
        <w:trPr>
          <w:trHeight w:val="215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- отношение среднемесячной заработной платы педагогических работников ДОУ к среднемесячной заработной плате в сфере общего образования Краснодарского края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5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3781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Задача : Строительство пристроек к существующим зданиям и сооружениям муниципальных образовательных организаций</w:t>
            </w:r>
          </w:p>
        </w:tc>
      </w:tr>
      <w:tr>
        <w:trPr>
          <w:trHeight w:val="1361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- Количество построенных пристроек к существующим зданиям и сооружениям и отдельно стоящих зданий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 учр.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185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- капитальный ремонт зданий и сооружений и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 учр.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581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81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 мероприятие № 2: Развитие системы общего образования в муниципальном образовании Кавказский район</w:t>
            </w:r>
          </w:p>
        </w:tc>
      </w:tr>
      <w:tr>
        <w:trPr>
          <w:trHeight w:val="35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3781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Обеспечение гарантий доступности общего образования для всех уровней образования;</w:t>
            </w:r>
          </w:p>
        </w:tc>
      </w:tr>
      <w:tr>
        <w:trPr>
          <w:trHeight w:val="140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охват детей в возрасте от 6,6 до 18 лет общим образованием (в общеобразовательных учреждениях)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11890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12021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12345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12700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110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численность обучающихся в общеобразовательных учреждениях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12900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12900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12900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12900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12900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12900</w:t>
            </w:r>
          </w:p>
        </w:tc>
      </w:tr>
      <w:tr>
        <w:trPr>
          <w:trHeight w:val="1391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численность обучающихся по программам общего образования в расчете на 1 учителя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16,5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17,7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19,0</w:t>
            </w:r>
          </w:p>
        </w:tc>
      </w:tr>
      <w:tr>
        <w:trPr>
          <w:trHeight w:val="3101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количество общеобразовательных организаций, расположенных в сельской местности и малых городах, в которых создана материально-техническая база для реализации основных и дополнительных общеобразовательных программ цифрового и гуманитарного профилей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кол. учр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261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Целевой показатель:</w:t>
              <w:br/>
              <w:t>количество общеобразовательных организаций, в которых создана материально-техническая база для реализации основных и дополнительных общеобразовательных программ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br/>
              <w:t>кол. учр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1421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Целевой показатель:</w:t>
              <w:br/>
              <w:t xml:space="preserve">количество общеобразовательных учреждений, в которых обновлена материально-техническая база 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br/>
              <w:t>кол. учр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5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3781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Проведение капитального ремонта зданий, помещений и сооружений общеобразовательных учреждений</w:t>
            </w:r>
          </w:p>
        </w:tc>
      </w:tr>
      <w:tr>
        <w:trPr>
          <w:trHeight w:val="137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- количество образовательных учреждений, в которых проведен капитальный и текущий ремонт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 учр.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110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- количество образовательных учреждений, в которых проведен текущий ремонт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 учр.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287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- количество муниципальных образовательных организаций, в которых проведены работы по капитальному ремонту зданий и сооружений и благоустройству территорий, прилегающих к зданиям и сооружениям муниципальных общеобразовательных организаций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 учр.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13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9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</w:tr>
      <w:tr>
        <w:trPr>
          <w:trHeight w:val="185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приобретение движимого имущества для оснащения вновь созданных мест в муниципальных общеобразовательных организациях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 учр.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110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количество оснащенных мест в общеобразовательных организациях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1931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3781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Обеспечение неограниченного круглосуточного доступа к корпоративной сети с выходом в информационно-телекоммуникационную сеть «Интернет», при неограниченном объеме потребляемого трафика, с технической поддержкой и предоставлением корпоративных сервисов для общеобразовательных организаций, при соответствующей гарантированной скорости доступа, определяемой техническими возможностями каналов связи, модернизация общеобразовательных учреждений путем организации в них дистанционного обучения для обучающихся (увеличение пропускной способности и оплата Интернет-трафика, обновление программного обеспечения и приобретение электронных образовательных ресурсов), обеспечение открытости и доступности образовательной организации за счёт создания и поддержки сайтов образовательных учреждений</w:t>
            </w:r>
          </w:p>
        </w:tc>
      </w:tr>
      <w:tr>
        <w:trPr>
          <w:trHeight w:val="110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Создание и содержание сайта общеобразовательных учреждений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 учр.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110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увеличение пропускной способности и оплата Интернет – трафика до 10 М/б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 учр.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</w:t>
            </w:r>
          </w:p>
        </w:tc>
      </w:tr>
      <w:tr>
        <w:trPr>
          <w:trHeight w:val="110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3781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Обучение на курсах повышения квалификации руководителей и педагогических работников образовательных учреждений, совершенствование профессиональной компетенции педагогических кадров и повышение результативности образовательного процесса в образовательных учреждениях путем обучения на курсах повышения квалификации руководителей и педагогических работников образовательных учреждений</w:t>
            </w:r>
          </w:p>
        </w:tc>
      </w:tr>
      <w:tr>
        <w:trPr>
          <w:trHeight w:val="230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Удельный вес численности педагогических кадров, прошедших обучение программам переподготовки и повышения квалификации педагогических работников, образования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9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3781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Задача: Обеспечение устойчивой динамики роста показателя средней заработной платы педагогических работников школ,</w:t>
              <w:br/>
              <w:t>в том числе учителей</w:t>
            </w:r>
          </w:p>
        </w:tc>
      </w:tr>
      <w:tr>
        <w:trPr>
          <w:trHeight w:val="203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%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100</w:t>
            </w:r>
          </w:p>
        </w:tc>
      </w:tr>
      <w:tr>
        <w:trPr>
          <w:trHeight w:val="35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3781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Обеспечение возможности участия детей в олимпиадах, конкурсах краевого, всероссийского уровня</w:t>
            </w:r>
          </w:p>
        </w:tc>
      </w:tr>
      <w:tr>
        <w:trPr>
          <w:trHeight w:val="2021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доля учащихся, принимавших участие во Всероссийских олимпиадах и иных интеллектуальных и творческих конкурсах от общей численности обучающихся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851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3781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Расширение практики введения новых федеральных образовательных стандартов в основном общем образовании и подготовка к введению в пилотном режиме стандартов среднего общего образования в образовательных учреждениях муниципального образования Кавказский район</w:t>
            </w:r>
          </w:p>
        </w:tc>
      </w:tr>
      <w:tr>
        <w:trPr>
          <w:trHeight w:val="1421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/>
            </w:pPr>
            <w:r>
              <w:rPr>
                <w:sz w:val="24"/>
              </w:rPr>
              <w:t>Целевой показатель: удельный вес численности учащихся, обучающихся по новым федеральным государственным образовательным стандартам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9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3781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Проведение капитального ремонта спортивных залов муниципальных общеобразовательных организаций, помещений при них физкультурно – спортивного назначения, физкультурно – оздоровительных комплексов</w:t>
            </w:r>
          </w:p>
        </w:tc>
      </w:tr>
      <w:tr>
        <w:trPr>
          <w:trHeight w:val="2621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 : количество капитально отремонтированных спортивных залов муниципальных общеобразовательных организаций, помещений при них, других помещений физкультурно – спортивного назначения, физкультурно – оздоровительных комплексов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-</w:t>
            </w:r>
          </w:p>
        </w:tc>
      </w:tr>
      <w:tr>
        <w:trPr>
          <w:trHeight w:val="59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3781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Создание условий для обеспечения учащихся общеобразовательных учреждений сбалансированным горячим питанием, формирование у детей навыков здорового питания</w:t>
            </w:r>
          </w:p>
        </w:tc>
      </w:tr>
      <w:tr>
        <w:trPr>
          <w:trHeight w:val="851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количество учащихся, охваченных горячим питанием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11890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11840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11840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11840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12500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12500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12500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12500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12500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12500</w:t>
            </w:r>
          </w:p>
        </w:tc>
      </w:tr>
      <w:tr>
        <w:trPr>
          <w:trHeight w:val="851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охват горячим питанием школьников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9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13781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Обеспечение педагогических работников сбалансированным горячим питанием, формирование у педагогов навыков здорового питания</w:t>
            </w:r>
          </w:p>
        </w:tc>
      </w:tr>
      <w:tr>
        <w:trPr>
          <w:trHeight w:val="851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количество педагогических работников, охваченных горячим питанием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Человек чел.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741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9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13781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Социальная поддержка многодетных семей путем предоставления учащимся из многодетных</w:t>
              <w:br/>
              <w:t>семей сбалансированного горячего питания за счет субсидий краевого бюджета</w:t>
            </w:r>
          </w:p>
        </w:tc>
      </w:tr>
      <w:tr>
        <w:trPr>
          <w:trHeight w:val="1151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количество учащихся из многодетных семей, получающих льготное питание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1441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1498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1750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1900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2200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2200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2200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2200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2200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2200</w:t>
            </w:r>
          </w:p>
        </w:tc>
      </w:tr>
      <w:tr>
        <w:trPr>
          <w:trHeight w:val="35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13781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Обогащение пищи детей дополнительной витаминизацией</w:t>
            </w:r>
          </w:p>
        </w:tc>
      </w:tr>
      <w:tr>
        <w:trPr>
          <w:trHeight w:val="110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количество учащихся, получающих молоко и молочную продукцию 2 раза в неделю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11377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9603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5080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5500</w:t>
            </w:r>
          </w:p>
        </w:tc>
      </w:tr>
      <w:tr>
        <w:trPr>
          <w:trHeight w:val="59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1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 мероприятие № 3: Развитие системы дополнительного образования в муниципальном образовании Кавказский район</w:t>
            </w:r>
          </w:p>
        </w:tc>
      </w:tr>
      <w:tr>
        <w:trPr>
          <w:trHeight w:val="851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3781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Обеспечение гарантий доступности дополнительного образования для всех групп детского населения и учащейся молодежи, становление развивающей среды, стимулирующей процесс целенаправленного самоопределения ребенка, обеспечение необходимых условий для его личностного развития</w:t>
            </w:r>
          </w:p>
        </w:tc>
      </w:tr>
      <w:tr>
        <w:trPr>
          <w:trHeight w:val="110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количество детей, занимающихся в организациях дополнительного образования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3400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4019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4050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7110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4183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4183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4183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4183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4183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4183</w:t>
            </w:r>
          </w:p>
        </w:tc>
      </w:tr>
      <w:tr>
        <w:trPr>
          <w:trHeight w:val="188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численность лиц, занимающихся физической культурой и спортом, прошедших медицинские осмотры по углубленной программе медицинского обследования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>
        <w:trPr>
          <w:trHeight w:val="35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3781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Развитие инфраструктуры и укрепление материально-технической базы учреждений дополнительного образования</w:t>
            </w:r>
          </w:p>
        </w:tc>
      </w:tr>
      <w:tr>
        <w:trPr>
          <w:trHeight w:val="110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- доля оснащенных организаций, в соответствии с требованиями ФГОС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9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3781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Повышение квалификации, профессиональная переподготовка руководителей и педагогических работников учреждений дополнительного образования</w:t>
            </w:r>
          </w:p>
        </w:tc>
      </w:tr>
      <w:tr>
        <w:trPr>
          <w:trHeight w:val="1691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Доля педагогов в планах прохождения курсовой подготовки, от численности нуждающихся в повышении квалификации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%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5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3781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Обеспечение устойчивой динамики роста показателя средней заработной платы педагогических работников</w:t>
            </w:r>
          </w:p>
        </w:tc>
      </w:tr>
      <w:tr>
        <w:trPr>
          <w:trHeight w:val="197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отношение средней заработной платы педагогических работников учреждений дополнительного образования детей к средней заработной плате учителей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9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81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 мероприятие № 4 . Финансовое обеспечение деятельности органов управления «Руководство и управление в сфере образования»</w:t>
            </w:r>
          </w:p>
        </w:tc>
      </w:tr>
      <w:tr>
        <w:trPr>
          <w:trHeight w:val="59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3781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Обеспечение высокого качества управления процессами развития образования на муниципальном уровне, в пределах своей компетенции</w:t>
            </w:r>
          </w:p>
        </w:tc>
      </w:tr>
      <w:tr>
        <w:trPr>
          <w:trHeight w:val="851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количество учреждений, подведомственных управлению образования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</w:t>
              <w:br/>
              <w:t>учр.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35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81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 мероприятие № 5. Финансовое обеспечение деятельности казенных учреждений</w:t>
            </w:r>
          </w:p>
        </w:tc>
      </w:tr>
      <w:tr>
        <w:trPr>
          <w:trHeight w:val="59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3781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</w:t>
            </w:r>
          </w:p>
        </w:tc>
      </w:tr>
      <w:tr>
        <w:trPr>
          <w:trHeight w:val="143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количество обслуживаемых учреждений, подведомственных управлению образования и управление образования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</w:t>
              <w:br/>
              <w:t>учр.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59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81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 мероприятие № 6. Финансовое обеспечение деятельности муниципального бюджетного учреждения детского лагеря «Кубаночка»</w:t>
            </w:r>
          </w:p>
        </w:tc>
      </w:tr>
      <w:tr>
        <w:trPr>
          <w:trHeight w:val="35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3781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Обеспечение деятельности муниципального бюджетного учреждения детского лагеря «Кубаночка»</w:t>
            </w:r>
          </w:p>
        </w:tc>
      </w:tr>
      <w:tr>
        <w:trPr>
          <w:trHeight w:val="59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количество отдохнувших детей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5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781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Основное мероприятие № 7. Прочие мероприятия в области образования</w:t>
            </w:r>
          </w:p>
        </w:tc>
      </w:tr>
      <w:tr>
        <w:trPr>
          <w:trHeight w:val="35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3781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Информационное и методическое сопровождение деятельности учреждений отрасли образования</w:t>
            </w:r>
          </w:p>
        </w:tc>
      </w:tr>
      <w:tr>
        <w:trPr>
          <w:trHeight w:val="110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количество обслуживаемых учреждений, подведомственных управлению образования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кол.</w:t>
              <w:br/>
              <w:t>учр.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59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13781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Организация и проведение государственной итоговой аттестации в форме ОГЭ, ЕГЭ и ГВЭ в муниципальном образовании Кавказский район</w:t>
            </w:r>
          </w:p>
        </w:tc>
      </w:tr>
      <w:tr>
        <w:trPr>
          <w:trHeight w:val="2531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доля выпускников общеобразовательных организаций, не сдавших единый государственный экзамен, в общей численности выпускников общеобразовательных организаций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%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0,98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0,97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0,97</w:t>
            </w:r>
          </w:p>
        </w:tc>
      </w:tr>
      <w:tr>
        <w:trPr>
          <w:trHeight w:val="851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13781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Задача: Активизация спортивно-массовой работы в образовательных учреждениях муниципального образования, создание условий для регулярного занятия физической культурой и спортом в образовательных учреждениях, увеличение количества учащихся привлекаемых к занятиям физической культурой и спортом;</w:t>
            </w:r>
          </w:p>
        </w:tc>
      </w:tr>
      <w:tr>
        <w:trPr>
          <w:trHeight w:val="200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введение ставок педагогов дополнительного образования для работы с детьми в спортивных клубах общеобразовательных учреждений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ста-вок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33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35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18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27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27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27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27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27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27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27</w:t>
            </w:r>
          </w:p>
        </w:tc>
      </w:tr>
      <w:tr>
        <w:trPr>
          <w:trHeight w:val="2291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Целевой показатель: 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br/>
              <w:t>ставок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1,5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1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br/>
              <w:t>0</w:t>
            </w:r>
          </w:p>
        </w:tc>
      </w:tr>
      <w:tr>
        <w:trPr>
          <w:trHeight w:val="227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число педагогов, получающих выплату за работу с детьми в спортивных клубах муниципальных организаций дополнительного образования детей системы образования Краснодарского края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167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открытие спортивных кружков и секций для работы с детьми в спортивных клубах общеобразовательных учреждений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1961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открытие спортивных кружков и секций для работы с детьми в вечернее и каникулярное время в спортивных залах общеобразовательных учреждений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167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привлечение учащихся к регулярному занятию в секциях спортивных клубов общеобразовательных учреждений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2860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2860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231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 привлечение учащихся к регулярному занятию спортом в секциях, в вечернее и каникулярное время, в спортивных залах общеобразовательных учреждений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92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13781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Задача: Активизация спортивно-массовой работы в образовательных учреждениях муниципального образования, </w:t>
              <w:br/>
              <w:t>создание условий для регулярного занятия физической культурой и спортом в учреждениях дополнительного образования, увеличение количества учащихся привлекаемых к занятиям физической культурой и спортом</w:t>
            </w:r>
          </w:p>
        </w:tc>
      </w:tr>
      <w:tr>
        <w:trPr>
          <w:trHeight w:val="1691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Целевой показатель: количество введеных ставок педагогов дополнительного образования для работы с детьми в спортивных клубах учреждений дополнительного образования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Ставок 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1646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Количество спортивных кружков и секций для работы с детьми в спортивных клубах учреждений дополнительного образования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1601" w:hRule="atLeast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Целевой показатель:</w:t>
              <w:br/>
              <w:t>численность учащихся, привлеченных к регулярным занятиям в секциях спортивных клубов учреждений дополнительного образования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/>
            </w:pPr>
            <w:r>
              <w:rPr/>
              <w:t>316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/>
            </w:pPr>
            <w:r>
              <w:rPr/>
              <w:t>316</w:t>
            </w:r>
          </w:p>
        </w:tc>
        <w:tc>
          <w:tcPr>
            <w:tcW w:w="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/>
            </w:pPr>
            <w:r>
              <w:rPr/>
              <w:t>316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/>
            </w:pPr>
            <w:r>
              <w:rPr/>
              <w:t>316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/>
            </w:pPr>
            <w:r>
              <w:rPr/>
              <w:t>316</w:t>
            </w:r>
          </w:p>
        </w:tc>
        <w:tc>
          <w:tcPr>
            <w:tcW w:w="8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/>
            </w:pPr>
            <w:r>
              <w:rPr/>
              <w:t>316</w:t>
            </w:r>
          </w:p>
        </w:tc>
      </w:tr>
      <w:tr>
        <w:trPr>
          <w:trHeight w:val="356" w:hRule="atLeast"/>
        </w:trPr>
        <w:tc>
          <w:tcPr>
            <w:tcW w:w="788" w:type="dxa"/>
            <w:tcBorders/>
            <w:shd w:fill="auto" w:val="clear"/>
            <w:vAlign w:val="center"/>
          </w:tcPr>
          <w:p>
            <w:pPr>
              <w:pStyle w:val="Style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938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828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781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785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784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784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785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786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786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787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784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814" w:type="dxa"/>
            <w:gridSpan w:val="4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</w:tr>
      <w:tr>
        <w:trPr>
          <w:trHeight w:val="356" w:hRule="atLeast"/>
        </w:trPr>
        <w:tc>
          <w:tcPr>
            <w:tcW w:w="788" w:type="dxa"/>
            <w:tcBorders/>
            <w:shd w:fill="auto" w:val="clear"/>
            <w:vAlign w:val="center"/>
          </w:tcPr>
          <w:p>
            <w:pPr>
              <w:pStyle w:val="Style4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39" w:type="dxa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938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828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781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785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784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784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785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786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786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787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784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  <w:tc>
          <w:tcPr>
            <w:tcW w:w="814" w:type="dxa"/>
            <w:gridSpan w:val="4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</w:tr>
      <w:tr>
        <w:trPr>
          <w:trHeight w:val="356" w:hRule="atLeast"/>
        </w:trPr>
        <w:tc>
          <w:tcPr>
            <w:tcW w:w="4929" w:type="dxa"/>
            <w:gridSpan w:val="3"/>
            <w:vMerge w:val="restart"/>
            <w:tcBorders/>
            <w:shd w:fill="auto" w:val="clear"/>
            <w:vAlign w:val="center"/>
          </w:tcPr>
          <w:p>
            <w:pPr>
              <w:pStyle w:val="Style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Начальник управления образования администрации муниципального образования Кавказский район </w:t>
            </w:r>
          </w:p>
        </w:tc>
        <w:tc>
          <w:tcPr>
            <w:tcW w:w="939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6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6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4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5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4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7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6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6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3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13" w:type="dxa"/>
            <w:gridSpan w:val="3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4929" w:type="dxa"/>
            <w:gridSpan w:val="3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39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6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1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6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4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5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4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87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58" w:type="dxa"/>
            <w:gridSpan w:val="7"/>
            <w:tcBorders/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С.Г. Демченко</w:t>
            </w:r>
          </w:p>
        </w:tc>
        <w:tc>
          <w:tcPr>
            <w:tcW w:w="810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/>
            </w:pPr>
            <w:r>
              <w:rPr/>
            </w:r>
          </w:p>
        </w:tc>
      </w:tr>
    </w:tbl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муниципального образования Кавказский район</w:t>
      </w:r>
    </w:p>
    <w:p>
      <w:pPr>
        <w:pStyle w:val="Normal"/>
        <w:widowControl w:val="false"/>
        <w:suppressAutoHyphens w:val="true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от 31 октября 2014 года № 1733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b w:val="false"/>
          <w:b w:val="false"/>
          <w:bCs w:val="false"/>
          <w:sz w:val="28"/>
          <w:szCs w:val="28"/>
        </w:rPr>
      </w:pPr>
      <w:r>
        <w:rPr>
          <w:rFonts w:eastAsia="Arial Unicode MS"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/>
      </w:pPr>
      <w:r>
        <w:rPr>
          <w:rFonts w:eastAsia="Arial Unicode MS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ПЕРЕЧЕНЬ ОСНОВНЫХ МЕРОПРИЯТИЙ МУНИЦИПАЛЬНОЙ ПРОГРАММЫ</w:t>
      </w:r>
    </w:p>
    <w:p>
      <w:pPr>
        <w:pStyle w:val="Normal"/>
        <w:bidi w:val="0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«Развитие образования»</w:t>
      </w:r>
      <w:r>
        <w:br w:type="page"/>
      </w:r>
    </w:p>
    <w:tbl>
      <w:tblPr>
        <w:tblW w:w="15159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53"/>
        <w:gridCol w:w="3255"/>
        <w:gridCol w:w="670"/>
        <w:gridCol w:w="1145"/>
        <w:gridCol w:w="1305"/>
        <w:gridCol w:w="1287"/>
        <w:gridCol w:w="1200"/>
        <w:gridCol w:w="1173"/>
        <w:gridCol w:w="1253"/>
        <w:gridCol w:w="1694"/>
        <w:gridCol w:w="1624"/>
      </w:tblGrid>
      <w:tr>
        <w:trPr/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pageBreakBefore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z w:val="24"/>
              </w:rPr>
              <w:t>п/п</w:t>
            </w:r>
          </w:p>
        </w:tc>
        <w:tc>
          <w:tcPr>
            <w:tcW w:w="3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6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Статус</w:t>
            </w:r>
          </w:p>
        </w:tc>
        <w:tc>
          <w:tcPr>
            <w:tcW w:w="11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Год реализации </w:t>
            </w:r>
          </w:p>
        </w:tc>
        <w:tc>
          <w:tcPr>
            <w:tcW w:w="1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Объем финансирования, всего (тыс. руб.)</w:t>
            </w:r>
          </w:p>
        </w:tc>
        <w:tc>
          <w:tcPr>
            <w:tcW w:w="49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 по источникам финансирования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Непосредственный результат реализации мероприятия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  <w:tcMar>
              <w:bottom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краевой бюджет, источником финансового обеспечения которого, являются средства федерального бюджета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внебюджетные источник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</w:tr>
      <w:tr>
        <w:trPr/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 «Развитие образования»</w:t>
            </w:r>
          </w:p>
        </w:tc>
        <w:tc>
          <w:tcPr>
            <w:tcW w:w="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12279344,0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16833,8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8230830,7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3315990,5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715689,0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1028597,4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723650,4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252041,0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52906,0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1129190,1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3381,4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798599,5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275276,2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51933,0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1140132,0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2987,0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802439,4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276955,6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57750,0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1200176,3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772488,0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353888,3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73800,0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1344167,2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6148,6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878337,8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380380,8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79300,0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1325326,7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1072,4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868332,2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375922,1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80000,0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1279120,5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2163,8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846570,7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350386,0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80000,0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1278334,6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1080,6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846834,3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350419,7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80000,0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1277149,6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846789,2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350360,4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80000,0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1277149,6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846789,2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350360,4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80000,0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3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Основное мероприятие № 1 Развитие системы дошкольного образования в муниципальном образовании Кавказский район</w:t>
            </w:r>
          </w:p>
        </w:tc>
        <w:tc>
          <w:tcPr>
            <w:tcW w:w="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5597624,3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3516956,5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1474061,8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606606,0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Дошкольные 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422237,4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285076,1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92255,3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44906,0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501466,3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346374,1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109092,2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46000,0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503265,3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349735,2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104530,1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49000,0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559284,3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334399,8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162684,5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62200,0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608839,6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370271,6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171568,0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67000,0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605149,1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366117,4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171531,7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67500,0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599289,4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366189,4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165600,0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67500,0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599364,3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366264,3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165600,0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67500,0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599364,3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366264,3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165600,0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67500,0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599364,3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366264,3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165600,0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67500,0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Мероприятие № 1.1 Реализация мероприятий в области образования</w:t>
            </w:r>
          </w:p>
        </w:tc>
        <w:tc>
          <w:tcPr>
            <w:tcW w:w="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15912,4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15912,4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10922,4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10922,4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965,0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965,0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830,0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830,0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825,0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825,0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1410,0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1410,0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960,0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960,0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1.1.1</w:t>
            </w:r>
          </w:p>
        </w:tc>
        <w:tc>
          <w:tcPr>
            <w:tcW w:w="3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Мероприятие № 1.1.1 Наказы избирателей</w:t>
            </w:r>
          </w:p>
        </w:tc>
        <w:tc>
          <w:tcPr>
            <w:tcW w:w="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5257,0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5257,0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Style40"/>
              <w:spacing w:lineRule="auto" w: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Проведение текущего ремонта и укрепление материально-технической базы дошкольных общеобразовательных учреждений</w:t>
            </w:r>
          </w:p>
        </w:tc>
        <w:tc>
          <w:tcPr>
            <w:tcW w:w="1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392,0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392,0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965,0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965,0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830,0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830,0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825,0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825,0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1285,0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1285,0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960,0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960,0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9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Style30"/>
        <w:rPr/>
      </w:pPr>
      <w:r>
        <w:rPr/>
      </w:r>
      <w:r>
        <w:br w:type="page"/>
      </w:r>
    </w:p>
    <w:tbl>
      <w:tblPr>
        <w:tblW w:w="15053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53"/>
        <w:gridCol w:w="3256"/>
        <w:gridCol w:w="634"/>
        <w:gridCol w:w="36"/>
        <w:gridCol w:w="1093"/>
        <w:gridCol w:w="51"/>
        <w:gridCol w:w="1305"/>
        <w:gridCol w:w="1289"/>
        <w:gridCol w:w="16"/>
        <w:gridCol w:w="1128"/>
        <w:gridCol w:w="53"/>
        <w:gridCol w:w="1022"/>
        <w:gridCol w:w="52"/>
        <w:gridCol w:w="1200"/>
        <w:gridCol w:w="53"/>
        <w:gridCol w:w="1657"/>
        <w:gridCol w:w="2"/>
        <w:gridCol w:w="1651"/>
      </w:tblGrid>
      <w:tr>
        <w:trPr/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pageBreakBefore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1.1.2</w:t>
            </w:r>
          </w:p>
        </w:tc>
        <w:tc>
          <w:tcPr>
            <w:tcW w:w="3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Мероприятие № 1.1.2 Осуществление текущего ремонта, благоустройства территорий и материально- техническое обеспечение дошкольными образовательными учреждениями (в том числе в рамках софинансирования краевого бюджета, выделенного на дополнительную помощь местным бюджетам для реализации социально- значимых мероприятий)</w:t>
            </w:r>
          </w:p>
        </w:tc>
        <w:tc>
          <w:tcPr>
            <w:tcW w:w="6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10655,4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10655,4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Проведение текущего ремонта и укрепление материально-технической базы дошкольных общеобразовательных учреждений</w:t>
            </w:r>
          </w:p>
        </w:tc>
        <w:tc>
          <w:tcPr>
            <w:tcW w:w="16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10530,4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10530,4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125,0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125,0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3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Мероприятие № 1.2 Осуществление отдельных полномочий Краснодарского края на компенсацию расходов на оплату жилых помещений, отопления и освещения педагогическим работникам, муниципальных учреждений, проживающим и работающим в сельской местности</w:t>
            </w:r>
          </w:p>
        </w:tc>
        <w:tc>
          <w:tcPr>
            <w:tcW w:w="6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20239,7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20239,7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Выплата компенсационных выплат педагогическим работникам</w:t>
            </w:r>
          </w:p>
        </w:tc>
        <w:tc>
          <w:tcPr>
            <w:tcW w:w="16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736,1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736,1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3112,3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3112,3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2175,4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2175,4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2098,7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2098,7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2600,0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2600,0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1800,9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1800,9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1872,9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1872,9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1947,8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1947,8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1947,8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1947,8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1947,8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1947,8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3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Мероприятие № 1.3 Финансовое обеспечение деятельности муниципальных бюджетных и автономных учреждений на реализацию программ дошкольного образования (предоставление субсидий на оказание муниципальных услуг) </w:t>
            </w:r>
          </w:p>
        </w:tc>
        <w:tc>
          <w:tcPr>
            <w:tcW w:w="6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5389365,6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3335162,8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1447596,8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606606,0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6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395626,0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270787,1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79932,9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44906,0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462795,2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315223,2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101572,0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46000,0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479475,0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327924,9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102550,1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49000,0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529907,8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306518,3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161189,5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62200,0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588550,9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352170,3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169380,6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67000,0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590579,5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352507,8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170571,7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67500,0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585607,8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352507,8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165600,0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67500,0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585607,8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352507,8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165600,0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67500,0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585607,8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352507,8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165600,0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67500,0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585607,8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352507,8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165600,0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67500,0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3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keepNext w:val="true"/>
              <w:keepLines/>
              <w:tabs>
                <w:tab w:val="clear" w:pos="408"/>
              </w:tabs>
              <w:spacing w:before="0" w:after="0"/>
              <w:contextualSpacing/>
              <w:jc w:val="center"/>
              <w:rPr/>
            </w:pPr>
            <w:r>
              <w:rPr>
                <w:color w:val="000000"/>
                <w:sz w:val="24"/>
              </w:rPr>
              <w:t>Мероприятие № 1.4 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6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109259,1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109259,1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Осуществление компенсационных выплат родителям</w:t>
            </w:r>
          </w:p>
        </w:tc>
        <w:tc>
          <w:tcPr>
            <w:tcW w:w="16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9207,4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9207,4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8792,4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8792,4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9662,6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9662,6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11087,8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11087,8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11465,4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11465,4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11808,7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11808,7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11808,7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11808,7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11808,7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11808,7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11808,7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11808,7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11808,7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11808,7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3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Мероприятие № 1.5 Премирование дошкольных образовательных организаций, внедрение инновационных образовательных программ (выплата премии победителям краевого конкурса среди ДОУ)</w:t>
            </w:r>
          </w:p>
        </w:tc>
        <w:tc>
          <w:tcPr>
            <w:tcW w:w="6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50,0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50,0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Приобретение спортивного инвентаря (детских тренажеров)</w:t>
            </w:r>
          </w:p>
        </w:tc>
        <w:tc>
          <w:tcPr>
            <w:tcW w:w="16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3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/>
            </w:pPr>
            <w:r>
              <w:rPr>
                <w:color w:val="000000"/>
                <w:sz w:val="24"/>
              </w:rPr>
              <w:t xml:space="preserve">Мероприятие № 1.6 Осуществление муниципальными учреждениями капитального ремонта </w:t>
            </w:r>
          </w:p>
        </w:tc>
        <w:tc>
          <w:tcPr>
            <w:tcW w:w="6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9819,0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9819,0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Осуществление капитального ремонта учреждений </w:t>
            </w:r>
          </w:p>
        </w:tc>
        <w:tc>
          <w:tcPr>
            <w:tcW w:w="16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1300,0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1300,0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6019,0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6019,0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1150,0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1150,0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670,0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680,0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680,0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3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Мероприятие № 1.7 Дополнительная помощь местным бюджетам для решения социально-значимых вопросов (в том числе подготовка к зиме) </w:t>
            </w:r>
          </w:p>
        </w:tc>
        <w:tc>
          <w:tcPr>
            <w:tcW w:w="6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17351,7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17351,7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Проведение текущего и капитального ремонта, благоустройство территории, подготовка к зиме, материально-технической обеспечение образовательных учреждений</w:t>
            </w:r>
          </w:p>
        </w:tc>
        <w:tc>
          <w:tcPr>
            <w:tcW w:w="16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2400,0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2400,0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1500,0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1500,0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2250,0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2250,0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8041,7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8041,7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3160,0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3160,0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88" w:hRule="atLeast"/>
        </w:trPr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3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Мероприятие № 1.8 Развитие системы дошкольного образования (в том числе строительство пристроек к существующим зданиям и сооружениям муниципальных образовательных организаций)</w:t>
            </w:r>
          </w:p>
        </w:tc>
        <w:tc>
          <w:tcPr>
            <w:tcW w:w="6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12149,2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11513,0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636,2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Приобретение мебели для оснащения дополнительно вводимых мест в дошкольных образовательных организациях</w:t>
            </w:r>
          </w:p>
        </w:tc>
        <w:tc>
          <w:tcPr>
            <w:tcW w:w="16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1995,5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1895,5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10153,7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9617,5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536,2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</w:t>
            </w:r>
          </w:p>
        </w:tc>
        <w:tc>
          <w:tcPr>
            <w:tcW w:w="3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Мероприятие № 1.9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частных дошкольных о общеобразовательных организациях </w:t>
            </w:r>
          </w:p>
        </w:tc>
        <w:tc>
          <w:tcPr>
            <w:tcW w:w="6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22504,3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22504,3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6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8128,7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8128,7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7722,3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7722,3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6653,3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6653,3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</w:t>
            </w:r>
          </w:p>
        </w:tc>
        <w:tc>
          <w:tcPr>
            <w:tcW w:w="3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Мероприятие № 1.10 Реализация мероприятий государственной программы Краснодарского края «Развитие образования» (капитальный ремонт зданий и сооружений и благоустройство территорий, прилегающих к зданиям и сооружениям муниципальных образовательных организаций, за исключением мероприятий, предусмотренных пунктами 1.1 и 1.3*) </w:t>
            </w:r>
          </w:p>
        </w:tc>
        <w:tc>
          <w:tcPr>
            <w:tcW w:w="6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973,3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875,9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97,4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Капитальный ремонт ограждения территории ДОУ№ 16 </w:t>
            </w:r>
          </w:p>
        </w:tc>
        <w:tc>
          <w:tcPr>
            <w:tcW w:w="16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973,3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875,9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97,4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0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659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325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Основное мероприятие № 2 Развитие системы общего образования в муниципальном образовании Кавказский район</w:t>
            </w:r>
          </w:p>
        </w:tc>
        <w:tc>
          <w:tcPr>
            <w:tcW w:w="63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5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5756384,1</w:t>
            </w:r>
          </w:p>
        </w:tc>
        <w:tc>
          <w:tcPr>
            <w:tcW w:w="13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16833,8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4615911,8</w:t>
            </w:r>
          </w:p>
        </w:tc>
        <w:tc>
          <w:tcPr>
            <w:tcW w:w="10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1039355,5</w:t>
            </w:r>
          </w:p>
        </w:tc>
        <w:tc>
          <w:tcPr>
            <w:tcW w:w="12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84283,0</w:t>
            </w:r>
          </w:p>
        </w:tc>
        <w:tc>
          <w:tcPr>
            <w:tcW w:w="1710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65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Общеобразовательные учреждения, школа – интернат, подведомственные управлению образования </w:t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525136,7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430415,1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89221,6</w:t>
            </w: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5500,0</w:t>
            </w:r>
          </w:p>
        </w:tc>
        <w:tc>
          <w:tcPr>
            <w:tcW w:w="1710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545196,1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3381,4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446173,2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92108,5</w:t>
            </w: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3533,0</w:t>
            </w:r>
          </w:p>
        </w:tc>
        <w:tc>
          <w:tcPr>
            <w:tcW w:w="1710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548042,4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2987,0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446646,2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92259,2</w:t>
            </w: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6150,0</w:t>
            </w:r>
          </w:p>
        </w:tc>
        <w:tc>
          <w:tcPr>
            <w:tcW w:w="1710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547127,7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431172,8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106854,9</w:t>
            </w: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9100,0</w:t>
            </w:r>
          </w:p>
        </w:tc>
        <w:tc>
          <w:tcPr>
            <w:tcW w:w="1710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639559,1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6148,6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500138,1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123272,4</w:t>
            </w: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10000,0</w:t>
            </w:r>
          </w:p>
        </w:tc>
        <w:tc>
          <w:tcPr>
            <w:tcW w:w="1710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621847,7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1072,4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489666,4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121108,9</w:t>
            </w: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10000,0</w:t>
            </w:r>
          </w:p>
        </w:tc>
        <w:tc>
          <w:tcPr>
            <w:tcW w:w="1710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583688,3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2163,8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467817,8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103706,7</w:t>
            </w: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10000,0</w:t>
            </w:r>
          </w:p>
        </w:tc>
        <w:tc>
          <w:tcPr>
            <w:tcW w:w="1710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582718,7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1080,6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467990,8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103647,3</w:t>
            </w: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10000,0</w:t>
            </w:r>
          </w:p>
        </w:tc>
        <w:tc>
          <w:tcPr>
            <w:tcW w:w="1710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581533,7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467945,7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103588,0</w:t>
            </w: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10000,0</w:t>
            </w:r>
          </w:p>
        </w:tc>
        <w:tc>
          <w:tcPr>
            <w:tcW w:w="1710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581533,7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467945,7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103588,0</w:t>
            </w: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10000,0</w:t>
            </w:r>
          </w:p>
        </w:tc>
        <w:tc>
          <w:tcPr>
            <w:tcW w:w="1710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Мероприятие № 2.1 Организация питания учащихся муниципальных общеобразовательных учреждений, реализующих общеобразовательные программы, обеспечение молоком и молочными продуктами учащихся муниципальных общеобразовательных учреждений, реализующих общеобразовательные программы начального общего образования; обеспечение льготным питанием учащихся из многодетных семей </w:t>
            </w:r>
          </w:p>
        </w:tc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137372,7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28141,7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109231,0</w:t>
            </w: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Осуществление питания учащихся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17326,5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2156,5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15170,0</w:t>
            </w: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710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15552,9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2186,9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13366,0</w:t>
            </w: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0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12999,4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2499,4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10500,0</w:t>
            </w: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0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16221,5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2966,5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13255,0</w:t>
            </w: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0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16124,2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3124,2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13000,0</w:t>
            </w: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0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15377,5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2877,5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12500,0</w:t>
            </w: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0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10852,6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2992,6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7860,0</w:t>
            </w: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0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10972,7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3112,7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7860,0</w:t>
            </w: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0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10972,7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3112,7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7860,0</w:t>
            </w: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0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95" w:hRule="atLeast"/>
        </w:trPr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3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10972,7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3112,7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7860,0</w:t>
            </w: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0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Style30"/>
        <w:rPr/>
      </w:pPr>
      <w:r>
        <w:rPr/>
      </w:r>
      <w:r>
        <w:br w:type="page"/>
      </w:r>
    </w:p>
    <w:tbl>
      <w:tblPr>
        <w:tblW w:w="15053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53"/>
        <w:gridCol w:w="3255"/>
        <w:gridCol w:w="581"/>
        <w:gridCol w:w="1182"/>
        <w:gridCol w:w="1305"/>
        <w:gridCol w:w="1305"/>
        <w:gridCol w:w="1127"/>
        <w:gridCol w:w="1128"/>
        <w:gridCol w:w="1251"/>
        <w:gridCol w:w="1711"/>
        <w:gridCol w:w="1653"/>
      </w:tblGrid>
      <w:tr>
        <w:trPr/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pageBreakBefore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3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Мероприятие № 2.2 Осуществление отдельных полномочий Краснодарского края на компенсацию расходов на оплату жилых помещений, отопления и освещения педагогическим работникам, муниципальных учреждений, проживающим и работающим в сельской местности </w:t>
            </w:r>
          </w:p>
        </w:tc>
        <w:tc>
          <w:tcPr>
            <w:tcW w:w="5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31022,4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31022,4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Выплата компенсационных выплат педагогическим работникам</w:t>
            </w:r>
          </w:p>
        </w:tc>
        <w:tc>
          <w:tcPr>
            <w:tcW w:w="16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946,1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946,1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5113,4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5113,4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4197,0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4197,0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3666,4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3666,4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4666,0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4666,0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2352,7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2352,7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2446,7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2446,7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2544,7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2544,7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2544,7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2544,7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2544,7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2544,7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3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Мероприятие № 2.3 Реализация мероприятий в области образования</w:t>
            </w:r>
          </w:p>
        </w:tc>
        <w:tc>
          <w:tcPr>
            <w:tcW w:w="5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13417,0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13417,0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6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4294,0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4294,0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1210,0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1210,0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1670,0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1670,0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1675,0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1675,0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1718,0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1718,0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2538,0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2538,0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78,0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78,0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78,0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78,0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78,0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78,0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78,0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78,0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2.3.1</w:t>
            </w:r>
          </w:p>
        </w:tc>
        <w:tc>
          <w:tcPr>
            <w:tcW w:w="3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Мероприятие № 2.3.1 Наказы избирателей</w:t>
            </w:r>
          </w:p>
        </w:tc>
        <w:tc>
          <w:tcPr>
            <w:tcW w:w="5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8448,0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8448,0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Проведение текущего ремонта и укрепление материально-технической базы общеобразовательных учреждений</w:t>
            </w:r>
          </w:p>
        </w:tc>
        <w:tc>
          <w:tcPr>
            <w:tcW w:w="16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1088,0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1088,0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910,0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910,0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1670,0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1670,0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1625,0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1625,0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1415,0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1415,0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1740,0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1740,0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2.3.2</w:t>
            </w:r>
          </w:p>
        </w:tc>
        <w:tc>
          <w:tcPr>
            <w:tcW w:w="3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Мероприятие № 2.3.2 Реализация мероприятий по популяризации здорового образа жизни</w:t>
            </w:r>
          </w:p>
        </w:tc>
        <w:tc>
          <w:tcPr>
            <w:tcW w:w="5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100,0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Организация и проведение мероприятий по популяризации здорового образа жизни</w:t>
            </w:r>
          </w:p>
        </w:tc>
        <w:tc>
          <w:tcPr>
            <w:tcW w:w="16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2.3.3</w:t>
            </w:r>
          </w:p>
        </w:tc>
        <w:tc>
          <w:tcPr>
            <w:tcW w:w="3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Мероприятие № 2.3.3 Реализация мероприятий по правовому воспитанию учащихся, проведение творческих конкурсов </w:t>
            </w:r>
          </w:p>
        </w:tc>
        <w:tc>
          <w:tcPr>
            <w:tcW w:w="5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468,0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468,0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Организация и проведение творческих конкурсов и мероприятий по правовому воспитанию учащихся</w:t>
            </w:r>
          </w:p>
        </w:tc>
        <w:tc>
          <w:tcPr>
            <w:tcW w:w="16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78,0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78,0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78,0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78,0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78,0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78,0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78,0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78,0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78,0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78,0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78,0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78,0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1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Style30"/>
        <w:rPr/>
      </w:pPr>
      <w:r>
        <w:rPr/>
      </w:r>
      <w:r>
        <w:br w:type="page"/>
      </w:r>
    </w:p>
    <w:tbl>
      <w:tblPr>
        <w:tblW w:w="15053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53"/>
        <w:gridCol w:w="3255"/>
        <w:gridCol w:w="512"/>
        <w:gridCol w:w="1199"/>
        <w:gridCol w:w="1304"/>
        <w:gridCol w:w="1305"/>
        <w:gridCol w:w="1128"/>
        <w:gridCol w:w="1180"/>
        <w:gridCol w:w="1252"/>
        <w:gridCol w:w="1710"/>
        <w:gridCol w:w="1653"/>
      </w:tblGrid>
      <w:tr>
        <w:trPr/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pageBreakBefore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2.3.4</w:t>
            </w:r>
          </w:p>
        </w:tc>
        <w:tc>
          <w:tcPr>
            <w:tcW w:w="3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Мероприятие № 2.3.4 Осуществление текущего ремонта, благоустройства территорий и материально-техническое обеспечение образовательными учреждениями (в том числе в рамках софинансирования краевого бюджета, выделенного на дополнительную помощь местным бюджетам для реализации социально- значимых мероприятий)</w:t>
            </w:r>
          </w:p>
        </w:tc>
        <w:tc>
          <w:tcPr>
            <w:tcW w:w="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4401,0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4401,0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710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Проведение текущего ремонта и укрепление материально-технической базы общеобразовательных учреждений</w:t>
            </w:r>
          </w:p>
        </w:tc>
        <w:tc>
          <w:tcPr>
            <w:tcW w:w="16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3206,0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3206,0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0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0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0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0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175,0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175,0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0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0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0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0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0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82" w:hRule="atLeast"/>
        </w:trPr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710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3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Мероприятие № 2.4 Финансовое обеспечение деятельности муниципальных бюджетных и автономных учреждений на реализацию программ общего образования (предоставление субсидий на оказание муниципальных услуг) </w:t>
            </w:r>
          </w:p>
        </w:tc>
        <w:tc>
          <w:tcPr>
            <w:tcW w:w="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5356166,1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4425155,4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847210,7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83800,0</w:t>
            </w:r>
          </w:p>
        </w:tc>
        <w:tc>
          <w:tcPr>
            <w:tcW w:w="1710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6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471159,6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416326,4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49333,2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5500,0</w:t>
            </w:r>
          </w:p>
        </w:tc>
        <w:tc>
          <w:tcPr>
            <w:tcW w:w="1710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486982,7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428354,6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55428,1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3200,0</w:t>
            </w:r>
          </w:p>
        </w:tc>
        <w:tc>
          <w:tcPr>
            <w:tcW w:w="1710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501518,5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430714,7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64803,8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6000,0</w:t>
            </w:r>
          </w:p>
        </w:tc>
        <w:tc>
          <w:tcPr>
            <w:tcW w:w="1710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512657,2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413779,2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89778,0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9100,0</w:t>
            </w:r>
          </w:p>
        </w:tc>
        <w:tc>
          <w:tcPr>
            <w:tcW w:w="1710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551989,6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441455,5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100534,1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10000,0</w:t>
            </w:r>
          </w:p>
        </w:tc>
        <w:tc>
          <w:tcPr>
            <w:tcW w:w="1710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573638,5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458905,0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104733,5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10000,0</w:t>
            </w:r>
          </w:p>
        </w:tc>
        <w:tc>
          <w:tcPr>
            <w:tcW w:w="1710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564555,0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458905,0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95650,0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10000,0</w:t>
            </w:r>
          </w:p>
        </w:tc>
        <w:tc>
          <w:tcPr>
            <w:tcW w:w="1710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564555,0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458905,0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95650,0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10000,0</w:t>
            </w:r>
          </w:p>
        </w:tc>
        <w:tc>
          <w:tcPr>
            <w:tcW w:w="1710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564555,0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458905,0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95650,0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10000,0</w:t>
            </w:r>
          </w:p>
        </w:tc>
        <w:tc>
          <w:tcPr>
            <w:tcW w:w="1710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25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564555,0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458905,0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95650,0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10000,0</w:t>
            </w:r>
          </w:p>
        </w:tc>
        <w:tc>
          <w:tcPr>
            <w:tcW w:w="1710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Style30"/>
        <w:rPr/>
      </w:pPr>
      <w:r>
        <w:rPr/>
      </w:r>
      <w:r>
        <w:br w:type="page"/>
      </w:r>
    </w:p>
    <w:tbl>
      <w:tblPr>
        <w:tblW w:w="15053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53"/>
        <w:gridCol w:w="2988"/>
        <w:gridCol w:w="618"/>
        <w:gridCol w:w="1073"/>
        <w:gridCol w:w="1358"/>
        <w:gridCol w:w="1412"/>
        <w:gridCol w:w="1093"/>
        <w:gridCol w:w="1181"/>
        <w:gridCol w:w="1305"/>
        <w:gridCol w:w="1817"/>
        <w:gridCol w:w="1653"/>
      </w:tblGrid>
      <w:tr>
        <w:trPr/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pageBreakBefore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2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Мероприятие № 2.5 Финансовое обеспечение деятельности МБОУ ШИООО № 3 на реализацию программ основного образования (за исключением субвенции на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образования)</w:t>
            </w:r>
          </w:p>
        </w:tc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48167,8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47684,8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483,0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17535,0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17535,0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19181,3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18848,3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333,0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11451,5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11301,5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2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</w:rPr>
            </w:pPr>
            <w:r>
              <w:rPr>
                <w:bCs w:val="false"/>
                <w:iCs w:val="false"/>
                <w:color w:val="000000"/>
                <w:sz w:val="24"/>
              </w:rPr>
              <w:t>Мероприятие № 2.6 Реализация мероприятий государственной программы Краснодарского края «Развитие образования» (поддержка массового спорта, оплата интернет-трафика, приобретение школьных автобусов)</w:t>
            </w:r>
          </w:p>
        </w:tc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8475,1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7641,1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834,0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6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Общеобразовательные учреждения, подведомственные управлению образования </w:t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8475,1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7641,1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834,0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2.7</w:t>
            </w:r>
          </w:p>
        </w:tc>
        <w:tc>
          <w:tcPr>
            <w:tcW w:w="2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Мероприятие № 2.7 Осуществление муниципальными учреждениями капитального ремонта </w:t>
            </w:r>
          </w:p>
        </w:tc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6261,4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6261,4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Проведение капитального ремонта </w:t>
            </w:r>
          </w:p>
        </w:tc>
        <w:tc>
          <w:tcPr>
            <w:tcW w:w="16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Общеобразовательные учреждения, подведомственные управлению образования </w:t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2055,4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2055,4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796,0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796,0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1790,0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1790,0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520,0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520,0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1100,0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2.8</w:t>
            </w:r>
          </w:p>
        </w:tc>
        <w:tc>
          <w:tcPr>
            <w:tcW w:w="2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Мероприятие № 2.8 Дополнительная помощь местным бюджетам для решения социально-значимых вопросов (в том числе подготовка к зиме)</w:t>
            </w:r>
          </w:p>
        </w:tc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24105,2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24105,2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Проведение текущего и капитального ремонта, благоустройство территории, подготовка к зиме, материально-технической обеспечение образовательных учреждений</w:t>
            </w:r>
          </w:p>
        </w:tc>
        <w:tc>
          <w:tcPr>
            <w:tcW w:w="16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Общеобразовательные учреждения, подведомственные управлению образования </w:t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3345,0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3345,0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4880,0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4880,0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3440,0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3440,0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7700,2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7700,2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4740,0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4740,0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2.9</w:t>
            </w:r>
          </w:p>
        </w:tc>
        <w:tc>
          <w:tcPr>
            <w:tcW w:w="2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Мероприятие № 2.9 Благоустройство территории учреждений образования </w:t>
            </w:r>
          </w:p>
        </w:tc>
        <w:tc>
          <w:tcPr>
            <w:tcW w:w="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800,0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800,0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8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Проведение работ по установке бордюрного камня и отвода ливневых вод</w:t>
            </w:r>
          </w:p>
        </w:tc>
        <w:tc>
          <w:tcPr>
            <w:tcW w:w="16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Общеобразовательные учреждения, подведомственные управлению образования </w:t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17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Style30"/>
        <w:rPr/>
      </w:pPr>
      <w:r>
        <w:rPr/>
      </w:r>
      <w:r>
        <w:br w:type="page"/>
      </w:r>
    </w:p>
    <w:tbl>
      <w:tblPr>
        <w:tblW w:w="14570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36"/>
        <w:gridCol w:w="3115"/>
        <w:gridCol w:w="511"/>
        <w:gridCol w:w="1074"/>
        <w:gridCol w:w="1358"/>
        <w:gridCol w:w="1250"/>
        <w:gridCol w:w="1075"/>
        <w:gridCol w:w="1234"/>
        <w:gridCol w:w="1252"/>
        <w:gridCol w:w="1562"/>
        <w:gridCol w:w="1601"/>
      </w:tblGrid>
      <w:tr>
        <w:trPr/>
        <w:tc>
          <w:tcPr>
            <w:tcW w:w="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pageBreakBefore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2.10</w:t>
            </w:r>
          </w:p>
        </w:tc>
        <w:tc>
          <w:tcPr>
            <w:tcW w:w="31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Мероприятие № 2.10 Осуществление государственных полномочий по материально-техническому обеспечению пунктов проведения экзаменов для государственной итоговой аттестации </w:t>
              <w:br/>
              <w:t xml:space="preserve">по образовательным программам основного общего образования (выплата педагогическим работникам, </w:t>
              <w:br/>
              <w:t>участвующим в проведении единого государственного экзамена, компенсации за работу по подготовке и проведению единого государственного экзамена)</w:t>
            </w:r>
          </w:p>
        </w:tc>
        <w:tc>
          <w:tcPr>
            <w:tcW w:w="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29702,6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29702,6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56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6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Общеобразовательные учреждения, подведомственные управлению образования </w:t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1880,8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1880,8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2555,7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2555,7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1887,8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1887,8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3480,5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3480,5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6364,6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6364,6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3383,3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3383,3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3383,3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3383,3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3383,3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3383,3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3383,3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3383,3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2.11</w:t>
            </w:r>
          </w:p>
        </w:tc>
        <w:tc>
          <w:tcPr>
            <w:tcW w:w="31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Мероприятие № 2.11 Реализация мероприятий государственной программы Краснодарского края «Развитие образования» (проведение капитального ремонта спортивных залов муниципальных общеобразовательных организаций, (в том числе расположенных в сельской местности), помещений при них, других помещений физкультурно-спортивного назначения, физкультурно-оздоровительных комплексов </w:t>
            </w:r>
          </w:p>
        </w:tc>
        <w:tc>
          <w:tcPr>
            <w:tcW w:w="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16512,7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6368,4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4559,1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5585,2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56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6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7859,7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3381,4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2106,2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2372,1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6353,4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2987,0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1280,2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2086,2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2299,6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1172,7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1126,9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2.12</w:t>
            </w:r>
          </w:p>
        </w:tc>
        <w:tc>
          <w:tcPr>
            <w:tcW w:w="31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Мероприятие № 2.12 Реализация мероприятий государственной программы Краснодарского края «Развитие образования» (проведение капитального ремонта зданий и сооружений образовательных организаций с приобретением мебели и оборудования для создания новых мест в общеобразовательных организациях)</w:t>
            </w:r>
          </w:p>
        </w:tc>
        <w:tc>
          <w:tcPr>
            <w:tcW w:w="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3806,2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3610,5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195,7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56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6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Общеобразовательные учреждения, подведомственные управлению образования </w:t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1739,3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1651,3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88,0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2066,9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1959,2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107,7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2.13</w:t>
            </w:r>
          </w:p>
        </w:tc>
        <w:tc>
          <w:tcPr>
            <w:tcW w:w="31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Мероприятие № 2.13 Реализация мероприятий государственной программы Краснодарского края «Развитие образования» (капитальный ремонт зданий и сооружений и благоустройство территорий, прилегающих к зданиям и сооружениям муниципальных образовательных организаций, за исключением мероприятий, предусмотренных пунктами 1.1 и 1.3*) </w:t>
            </w:r>
          </w:p>
        </w:tc>
        <w:tc>
          <w:tcPr>
            <w:tcW w:w="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21929,9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19736,5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2193,4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56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Капитальный ремонт ограждений территорий МБОУ СОШ № 12, № 21, замена оконных блоков МБОУ СОШ № 7, МБОУ </w:t>
              <w:br/>
              <w:t>ШООО № 43, МБОУ СОШ № 17 капитальный ремонт кровли МБОУ СОШ № 2, № 6, № 7, № 5, № 8, № 13</w:t>
            </w:r>
          </w:p>
        </w:tc>
        <w:tc>
          <w:tcPr>
            <w:tcW w:w="16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Общеобразовательные учреждения, подведомственные управлению образования </w:t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16760,7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15084,3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1676,4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5169,2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4652,2</w:t>
            </w:r>
          </w:p>
        </w:tc>
        <w:tc>
          <w:tcPr>
            <w:tcW w:w="1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517,0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12" w:hRule="atLeast"/>
        </w:trPr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Style30"/>
        <w:rPr/>
      </w:pPr>
      <w:r>
        <w:rPr/>
      </w:r>
      <w:r>
        <w:br w:type="page"/>
      </w:r>
    </w:p>
    <w:tbl>
      <w:tblPr>
        <w:tblW w:w="14570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36"/>
        <w:gridCol w:w="3115"/>
        <w:gridCol w:w="511"/>
        <w:gridCol w:w="1074"/>
        <w:gridCol w:w="1358"/>
        <w:gridCol w:w="1250"/>
        <w:gridCol w:w="1075"/>
        <w:gridCol w:w="1234"/>
        <w:gridCol w:w="1252"/>
        <w:gridCol w:w="1562"/>
        <w:gridCol w:w="1601"/>
      </w:tblGrid>
      <w:tr>
        <w:trPr/>
        <w:tc>
          <w:tcPr>
            <w:tcW w:w="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pageBreakBefore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2.14</w:t>
            </w:r>
          </w:p>
        </w:tc>
        <w:tc>
          <w:tcPr>
            <w:tcW w:w="31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Мероприятие № 2.14 Реализация мероприятий государственной программы Краснодарского края «Развитие образования» (приобретение движимого имущества для оснащения вновь созданных мест в муниципальных общеобразовательных организациях, за исключением мероприятий, предусмотренных пунктами 1.1*) </w:t>
            </w:r>
          </w:p>
        </w:tc>
        <w:tc>
          <w:tcPr>
            <w:tcW w:w="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19399,8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18429,8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970,0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56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Оснащение оборудованием МБОУ СОШ № 7</w:t>
            </w:r>
          </w:p>
        </w:tc>
        <w:tc>
          <w:tcPr>
            <w:tcW w:w="16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Общеобразовательные учреждения, подведомственные управлению образования </w:t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19399,8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18429,8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970,0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2.15</w:t>
            </w:r>
          </w:p>
        </w:tc>
        <w:tc>
          <w:tcPr>
            <w:tcW w:w="31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Мероприятие № 2.15 Реализация мероприятий государственной программы Краснодарского края «Развитие образования» (обновление материально- технической базы для формирования у обучающихся современных технологических и гуманитарных навыков, за исключением мероприятия, предусмотренного подпунктом 1.3.3 пункта 1.3*) </w:t>
            </w:r>
          </w:p>
        </w:tc>
        <w:tc>
          <w:tcPr>
            <w:tcW w:w="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11475,5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10465,4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436,2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573,9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56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Обновление материально-технической базы для создания Центра образования цифрового и гуманитарного профилей («Точка роста» регионального проекта «Современная школа») МБОУ СОШ № 9, № 12, № 18, № 20, № 14, № 8, № 15, № 13</w:t>
            </w:r>
          </w:p>
        </w:tc>
        <w:tc>
          <w:tcPr>
            <w:tcW w:w="16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Общеобразовательные учреждения, подведомственные управлению образования </w:t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  <w:t>3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  <w:t>3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  <w:t>3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  <w:t>3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  <w:t>3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6741,9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6148,6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256,2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337,1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  <w:t>3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1175,9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1072,4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44,7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58,8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  <w:t>3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2372,7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2163,8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90,2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118,7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  <w:t>3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1185,0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1080,6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45,1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59,3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  <w:t>3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  <w:t>3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Style30"/>
        <w:rPr/>
      </w:pPr>
      <w:r>
        <w:rPr/>
      </w:r>
      <w:r>
        <w:br w:type="page"/>
      </w:r>
    </w:p>
    <w:tbl>
      <w:tblPr>
        <w:tblW w:w="14570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36"/>
        <w:gridCol w:w="3115"/>
        <w:gridCol w:w="511"/>
        <w:gridCol w:w="1074"/>
        <w:gridCol w:w="1358"/>
        <w:gridCol w:w="1250"/>
        <w:gridCol w:w="1075"/>
        <w:gridCol w:w="1234"/>
        <w:gridCol w:w="1252"/>
        <w:gridCol w:w="1562"/>
        <w:gridCol w:w="1601"/>
      </w:tblGrid>
      <w:tr>
        <w:trPr/>
        <w:tc>
          <w:tcPr>
            <w:tcW w:w="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pageBreakBefore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2.16</w:t>
            </w:r>
          </w:p>
        </w:tc>
        <w:tc>
          <w:tcPr>
            <w:tcW w:w="31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Мероприятие № 2.16 Реализация мероприятий государственной программы Краснодарского края «Развитие образования» (проведение капитального ремонта спортивных залов муниципальных образовательных организаций, помещений при них, других помещений физкультурно- спортивного назначения, физкультурно- оздоровительных комплексов)</w:t>
            </w:r>
          </w:p>
        </w:tc>
        <w:tc>
          <w:tcPr>
            <w:tcW w:w="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6840,6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3488,7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3351,9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56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Капитальный ремонт спортивных залов </w:t>
              <w:br/>
              <w:t xml:space="preserve">лицея № 3, МБОУ </w:t>
              <w:br/>
              <w:t>ШООО № 43</w:t>
            </w:r>
          </w:p>
        </w:tc>
        <w:tc>
          <w:tcPr>
            <w:tcW w:w="16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Общеобразовательные учреждения, подведомственные управлению образования </w:t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6840,6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3488,7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3351,9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2.17</w:t>
            </w:r>
          </w:p>
        </w:tc>
        <w:tc>
          <w:tcPr>
            <w:tcW w:w="31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Мероприятие № 2.17 Реализация мероприятий государственной программы Краснодарского края «Развитие образования»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рамках реализации мероприятий регионального проекта Краснодарского края «Современная школа» (обновление материально- технической базы для формирования у обучающихся современных навыков по предметной области «Технология» и других предметных областей, за исключением мероприятия, предусмотренного подпунктом 1.3.3 пункта 1.3*)</w:t>
            </w:r>
          </w:p>
        </w:tc>
        <w:tc>
          <w:tcPr>
            <w:tcW w:w="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20929,1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19882,6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1046,5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56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Обновление материально- технической базы для формирования у обучающихся современных навыков по предметнойобласти «Технология» и других предметных областей (регионального проекта «Современная школа») МБОУ СОШ № 2, № 7, № 20, № 17, МАОУ лицей № 3</w:t>
            </w:r>
          </w:p>
        </w:tc>
        <w:tc>
          <w:tcPr>
            <w:tcW w:w="16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Общеобразовательные учреждения, подведомственные управлению образования </w:t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  <w:t>3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  <w:t>3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  <w:t>3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  <w:t>3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  <w:t>3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5697,8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5412,9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284,9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  <w:t>3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15231,3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14469,7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761,6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  <w:t>3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  <w:t>3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  <w:t>3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  <w:t>3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</w:p>
        </w:tc>
        <w:tc>
          <w:tcPr>
            <w:tcW w:w="31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Основное мероприятие № 3. Развитие системы дополнительного образования в муниципальном образовании Кавказский район</w:t>
            </w:r>
          </w:p>
        </w:tc>
        <w:tc>
          <w:tcPr>
            <w:tcW w:w="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499229,9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16021,1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458408,8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24800,0</w:t>
            </w:r>
          </w:p>
        </w:tc>
        <w:tc>
          <w:tcPr>
            <w:tcW w:w="156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6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Общеобразовательные учреждения, подведомственные управлению образования </w:t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43757,1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6722,6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34534,5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2500,0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43597,2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4780,2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36417,0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2400,0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46639,1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635,1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43404,0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2600,0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49190,7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683,7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46007,0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2500,0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51952,3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1206,0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48446,3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2300,0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53277,2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377,2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50400,0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2500,0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52692,3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392,3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49800,0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2500,0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52708,0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408,0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49800,0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2500,0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52708,0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408,0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49800,0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2500,0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52708,0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408,0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49800,0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2500,0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1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Мероприятие № 3.1 Осуществление отдельных полномочий Краснодарского края на компенсацию расходов на оплату жилых помещений, отопления и освещения педагогическим работникам, муниципальных учреждений, проживающим и работающим в сельской местности</w:t>
            </w:r>
          </w:p>
        </w:tc>
        <w:tc>
          <w:tcPr>
            <w:tcW w:w="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3954,5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3954,5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56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Выплата компенсационных выплат педагогическим работникам</w:t>
            </w:r>
          </w:p>
        </w:tc>
        <w:tc>
          <w:tcPr>
            <w:tcW w:w="16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138,5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138,5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507,0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507,0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572,6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572,6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422,9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422,9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377,2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377,2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392,3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392,3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408,0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408,0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408,0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408,0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408,0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408,0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31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Мероприятие № 3.2 Реализация мероприятий в области образования, наказы избирателей</w:t>
            </w:r>
          </w:p>
        </w:tc>
        <w:tc>
          <w:tcPr>
            <w:tcW w:w="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125,0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125,0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56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Проведение текущего ремонта и укрепление материально-технической базы</w:t>
            </w:r>
          </w:p>
        </w:tc>
        <w:tc>
          <w:tcPr>
            <w:tcW w:w="16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31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Мероприятие № 3.3 Финансовое обеспечение деятельности муниципальных бюджетных и автономных учреждений на реализацию программ дополнительного образования (предоставление субсидий на оказание муниципальных услуг)</w:t>
            </w:r>
          </w:p>
        </w:tc>
        <w:tc>
          <w:tcPr>
            <w:tcW w:w="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486150,2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3210,7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458139,5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24800,0</w:t>
            </w:r>
          </w:p>
        </w:tc>
        <w:tc>
          <w:tcPr>
            <w:tcW w:w="156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6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36931,5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34431,5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2500,0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41952,7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3210,7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36342,0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2400,0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46004,0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43404,0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2600,0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48507,0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46007,0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2500,0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50655,0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48355,0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2300,0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52900,0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50400,0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2500,0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52300,0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49800,0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2500,0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52300,0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49800,0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2500,0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52300,0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49800,0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2500,0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52300,0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49800,0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2500,0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31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Мероприятие № 3.4 Поэтапное повышение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4221,6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4221,6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56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Повышение уровня жизни работников муниципальных учреждений дополнительного образования</w:t>
            </w:r>
          </w:p>
        </w:tc>
        <w:tc>
          <w:tcPr>
            <w:tcW w:w="16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Учреждения дополнительного образования детей, подведомственные управлению образования </w:t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4221,6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4221,6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3.5</w:t>
            </w:r>
          </w:p>
        </w:tc>
        <w:tc>
          <w:tcPr>
            <w:tcW w:w="31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Мероприятие № 3.5 Социальная поддержка отдельной категории работников образовательных учреждений дополнительного образования детей</w:t>
            </w:r>
          </w:p>
        </w:tc>
        <w:tc>
          <w:tcPr>
            <w:tcW w:w="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187,5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187,5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56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Повышение уровня жизни работников муниципальных учреждений дополнительного образования</w:t>
            </w:r>
          </w:p>
        </w:tc>
        <w:tc>
          <w:tcPr>
            <w:tcW w:w="16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Учреждения дополнительного образования детей, подведомственные управлению образования </w:t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62,5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62,5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62,5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62,5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62,5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62,5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3.6</w:t>
            </w:r>
          </w:p>
        </w:tc>
        <w:tc>
          <w:tcPr>
            <w:tcW w:w="31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Мероприятие № 3.6 Реализация мероприятий государственной программы Краснодарского края «Развитие образования»</w:t>
            </w:r>
          </w:p>
        </w:tc>
        <w:tc>
          <w:tcPr>
            <w:tcW w:w="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2053,0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2000,0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53,0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56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Укрепление материально-технической базы</w:t>
            </w:r>
          </w:p>
        </w:tc>
        <w:tc>
          <w:tcPr>
            <w:tcW w:w="16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1053,0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3.7</w:t>
            </w:r>
          </w:p>
        </w:tc>
        <w:tc>
          <w:tcPr>
            <w:tcW w:w="31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Мероприятие № 3.7 Дополнительная помощь местным бюджетам для решения социально-значимых вопросов (в том числе подготовка к зиме)</w:t>
            </w:r>
          </w:p>
        </w:tc>
        <w:tc>
          <w:tcPr>
            <w:tcW w:w="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1663,7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1663,7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56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Проведение текущего и капитального ремонта, благоустройство территории, подготовка к зиме, материально-технической обеспечение образовательных учреждений</w:t>
            </w:r>
          </w:p>
        </w:tc>
        <w:tc>
          <w:tcPr>
            <w:tcW w:w="16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Учреждения дополнительного образования детей, подведомственные управлению образования </w:t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1300,0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1300,0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363,7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363,7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3.8</w:t>
            </w:r>
          </w:p>
        </w:tc>
        <w:tc>
          <w:tcPr>
            <w:tcW w:w="31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Мероприятие № 3.8 Реализация мероприятий государственной программы Краснодарского края «Развитие образования» (проведение медицинских осмотров лиц, занимающихся физической культурой и спортом по углубленной программе медицинского обследования)</w:t>
            </w:r>
          </w:p>
        </w:tc>
        <w:tc>
          <w:tcPr>
            <w:tcW w:w="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824,4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783,1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41,3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56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Проведение медицинских осмотров 210 чел. в МБОУ ДЮСШ «Совершенство»</w:t>
            </w:r>
          </w:p>
        </w:tc>
        <w:tc>
          <w:tcPr>
            <w:tcW w:w="16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МБОУ ДЮСШ «Совершенство»</w:t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824,4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783,1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41,3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85" w:hRule="atLeast"/>
        </w:trPr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3.9</w:t>
            </w:r>
          </w:p>
        </w:tc>
        <w:tc>
          <w:tcPr>
            <w:tcW w:w="31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Мероприятие № 3.9 Осуществление муниципальными учреждениями капитального ремонта</w:t>
            </w:r>
          </w:p>
        </w:tc>
        <w:tc>
          <w:tcPr>
            <w:tcW w:w="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50,0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50,0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56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Проведение текущего и капитального ремонта </w:t>
            </w:r>
          </w:p>
        </w:tc>
        <w:tc>
          <w:tcPr>
            <w:tcW w:w="16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Учреждения дополнительного образования детей, подведомственные управлению образования </w:t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</w:t>
            </w:r>
          </w:p>
        </w:tc>
        <w:tc>
          <w:tcPr>
            <w:tcW w:w="31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Основное мероприятие № 4. Финансовое обеспечение деятельности органов управления «Руководство и управление в сфере образования»</w:t>
            </w:r>
          </w:p>
        </w:tc>
        <w:tc>
          <w:tcPr>
            <w:tcW w:w="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68505,0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68505,0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56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Повышение качества и доступности образования в МО Кавказский район </w:t>
            </w:r>
          </w:p>
        </w:tc>
        <w:tc>
          <w:tcPr>
            <w:tcW w:w="16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Управление образования администрации МО Кавказский район </w:t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6390,0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6390,0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6117,0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6117,0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6073,0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6073,0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6673,8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6673,8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7261,1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7261,1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7270,1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7270,1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7180,0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7180,0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7180,0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7180,0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7180,0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7180,0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7180,0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7180,0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</w:t>
            </w:r>
          </w:p>
        </w:tc>
        <w:tc>
          <w:tcPr>
            <w:tcW w:w="31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Основное мероприятие № 5. Обеспечение деятельности в области бухгалтерского и бюджетного учета</w:t>
            </w:r>
          </w:p>
        </w:tc>
        <w:tc>
          <w:tcPr>
            <w:tcW w:w="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300671,4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79083,6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221587,8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56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Повышение эффективности расходования средств</w:t>
            </w:r>
          </w:p>
        </w:tc>
        <w:tc>
          <w:tcPr>
            <w:tcW w:w="16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МКУ ЦБО </w:t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22166,6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22166,6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22565,0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22565,0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28398,5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5399,2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22999,3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30636,6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6206,6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24430,0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32675,8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6621,8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26054,0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33987,6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12171,2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21816,4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32490,5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12171,2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20319,3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32583,6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12171,2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20412,4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32583,6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12171,2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20412,4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32583,6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12171,2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20412,4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</w:t>
            </w:r>
          </w:p>
        </w:tc>
        <w:tc>
          <w:tcPr>
            <w:tcW w:w="31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Основное мероприятие № 6. Финансовое обеспечение деятельности муниципального казенного учреждения детского лагеря «Кубаночка» (предоставление субсидий на оказание муниципальных услуг)</w:t>
            </w:r>
          </w:p>
        </w:tc>
        <w:tc>
          <w:tcPr>
            <w:tcW w:w="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6058,6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6058,6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56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Создание условий для отдыха детям </w:t>
            </w:r>
          </w:p>
        </w:tc>
        <w:tc>
          <w:tcPr>
            <w:tcW w:w="16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ЛТО Кубаночка </w:t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1364,0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1364,0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1601,5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1601,5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1650,0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1650,0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1443,1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1443,1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</w:t>
            </w:r>
          </w:p>
        </w:tc>
        <w:tc>
          <w:tcPr>
            <w:tcW w:w="31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Основное мероприятие № 7. Прочие мероприятия в области образования</w:t>
            </w:r>
          </w:p>
        </w:tc>
        <w:tc>
          <w:tcPr>
            <w:tcW w:w="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50870,7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2857,7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48013,0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56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Повышение качества образования, оказание психолого – медико педагогической помощи детям, нуждающимся в коррекции</w:t>
            </w:r>
          </w:p>
        </w:tc>
        <w:tc>
          <w:tcPr>
            <w:tcW w:w="16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МБУ «ОМЦ»</w:t>
              <w:br/>
              <w:t>МБУ ЦППМСП</w:t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7545,6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1436,6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6109,0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8647,0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1272,0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7375,0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6063,7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23,7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6040,0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5820,1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25,1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5795,0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3879,3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100,3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3779,0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3795,0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3795,0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3780,0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3780,0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3780,0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3780,0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3780,0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3780,0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3780,0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3780,0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7.1</w:t>
            </w:r>
          </w:p>
        </w:tc>
        <w:tc>
          <w:tcPr>
            <w:tcW w:w="31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Мероприятие № 7.1 Расходы на обеспечение деятельности муниципальных казенных учреждений</w:t>
            </w:r>
          </w:p>
        </w:tc>
        <w:tc>
          <w:tcPr>
            <w:tcW w:w="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44809,0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44809,0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56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tabs>
                <w:tab w:val="clear" w:pos="408"/>
                <w:tab w:val="left" w:pos="35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Создание условий для получения доступного и качественного образования детей </w:t>
            </w:r>
          </w:p>
        </w:tc>
        <w:tc>
          <w:tcPr>
            <w:tcW w:w="16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5340,0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5340,0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5500,0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5500,0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5540,0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5540,0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5735,0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5735,0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3779,0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3779,0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3795,0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3795,0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3780,0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3780,0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3780,0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3780,0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3780,0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3780,0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3780,0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3780,0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Style30"/>
        <w:rPr/>
      </w:pPr>
      <w:r>
        <w:rPr/>
      </w:r>
      <w:r>
        <w:br w:type="page"/>
      </w:r>
    </w:p>
    <w:tbl>
      <w:tblPr>
        <w:tblW w:w="14570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36"/>
        <w:gridCol w:w="3115"/>
        <w:gridCol w:w="511"/>
        <w:gridCol w:w="1074"/>
        <w:gridCol w:w="1358"/>
        <w:gridCol w:w="1250"/>
        <w:gridCol w:w="1075"/>
        <w:gridCol w:w="1234"/>
        <w:gridCol w:w="1252"/>
        <w:gridCol w:w="1562"/>
        <w:gridCol w:w="1601"/>
      </w:tblGrid>
      <w:tr>
        <w:trPr/>
        <w:tc>
          <w:tcPr>
            <w:tcW w:w="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pageBreakBefore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7.2</w:t>
            </w:r>
          </w:p>
        </w:tc>
        <w:tc>
          <w:tcPr>
            <w:tcW w:w="31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№ 7.2 Реализация мероприятий государственной программы Краснодарского края «Развитие образования» Организация и проведение государственной итоговой аттестации в форме ОГЭ, ЕГЭ и ГВЭ в муниципальном образовании Кавказский район (выплата педагогическим и иным работникам, участвующим в проведении единого государственного экзамена, компенсации за работу по подготовке и проведению единого государственного экзамена)</w:t>
            </w:r>
          </w:p>
        </w:tc>
        <w:tc>
          <w:tcPr>
            <w:tcW w:w="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3715,7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1791,7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1924,0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56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Создание условий для получения доступного и качественного образования детей </w:t>
              <w:br/>
              <w:br/>
            </w:r>
          </w:p>
        </w:tc>
        <w:tc>
          <w:tcPr>
            <w:tcW w:w="16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2205,6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1436,6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769,0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861,0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206,0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655,0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523,7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23,7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25,1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25,1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100,3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100,3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62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0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Style30"/>
        <w:rPr/>
      </w:pPr>
      <w:r>
        <w:rPr/>
      </w:r>
      <w:r>
        <w:br w:type="page"/>
      </w:r>
    </w:p>
    <w:tbl>
      <w:tblPr>
        <w:tblW w:w="15053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53"/>
        <w:gridCol w:w="2725"/>
        <w:gridCol w:w="650"/>
        <w:gridCol w:w="5"/>
        <w:gridCol w:w="1072"/>
        <w:gridCol w:w="4"/>
        <w:gridCol w:w="2"/>
        <w:gridCol w:w="1421"/>
        <w:gridCol w:w="4"/>
        <w:gridCol w:w="2"/>
        <w:gridCol w:w="1351"/>
        <w:gridCol w:w="5"/>
        <w:gridCol w:w="1"/>
        <w:gridCol w:w="1176"/>
        <w:gridCol w:w="5"/>
        <w:gridCol w:w="1"/>
        <w:gridCol w:w="1122"/>
        <w:gridCol w:w="6"/>
        <w:gridCol w:w="1244"/>
        <w:gridCol w:w="6"/>
        <w:gridCol w:w="2040"/>
        <w:gridCol w:w="6"/>
        <w:gridCol w:w="1650"/>
      </w:tblGrid>
      <w:tr>
        <w:trPr/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pageBreakBefore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7.3</w:t>
            </w:r>
          </w:p>
        </w:tc>
        <w:tc>
          <w:tcPr>
            <w:tcW w:w="2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Мероприятие № 7.3 Реализация мероприятий государственной программы Краснодарского края «Развитие образования» Поддержка массового спорта в общеобразовательных учреждениях и учреждениях дополнительного образования МО Кавказский район (оплата педагогам дополнительного образования за работу с детьми в спортивных клубах в муниципальных организациях дополнительного образования детей системы образования Краснодарского края)</w:t>
            </w:r>
          </w:p>
        </w:tc>
        <w:tc>
          <w:tcPr>
            <w:tcW w:w="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1123,6</w:t>
            </w: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1066,0</w:t>
            </w:r>
          </w:p>
        </w:tc>
        <w:tc>
          <w:tcPr>
            <w:tcW w:w="1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57,6</w:t>
            </w: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046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widowControl w:val="false"/>
              <w:suppressLineNumbers/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7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2046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6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7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1123,6</w:t>
            </w: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1066,0</w:t>
            </w:r>
          </w:p>
        </w:tc>
        <w:tc>
          <w:tcPr>
            <w:tcW w:w="1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57,6</w:t>
            </w: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2046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6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7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2046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6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7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2046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6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7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2046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6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7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2046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6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7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2046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6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7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2046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6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7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2046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6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7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2046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6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7.4</w:t>
            </w:r>
          </w:p>
        </w:tc>
        <w:tc>
          <w:tcPr>
            <w:tcW w:w="2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Мероприятие № 7.4 Реализация мероприятий в области образования</w:t>
            </w:r>
          </w:p>
        </w:tc>
        <w:tc>
          <w:tcPr>
            <w:tcW w:w="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1222,4</w:t>
            </w: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1222,4</w:t>
            </w: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2046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Создание условий для получения доступного и качественного образования детей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Общеобразовательные учреждения, подведомственные управлению образования</w:t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7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2046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6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7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1162,4</w:t>
            </w: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1162,4</w:t>
            </w: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2046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6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7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2046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6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7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60,0</w:t>
            </w: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2046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6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7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2046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6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7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2046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6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7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</w:t>
            </w: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2046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6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7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2046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6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7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2046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6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7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5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2046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56" w:type="dxa"/>
            <w:gridSpan w:val="2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16" w:hRule="atLeast"/>
        </w:trPr>
        <w:tc>
          <w:tcPr>
            <w:tcW w:w="553" w:type="dxa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25" w:type="dxa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650" w:type="dxa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77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7" w:type="dxa"/>
            <w:gridSpan w:val="3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57" w:type="dxa"/>
            <w:gridSpan w:val="3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82" w:type="dxa"/>
            <w:gridSpan w:val="3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28" w:type="dxa"/>
            <w:gridSpan w:val="3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50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046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56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806" w:hRule="atLeast"/>
        </w:trPr>
        <w:tc>
          <w:tcPr>
            <w:tcW w:w="15051" w:type="dxa"/>
            <w:gridSpan w:val="23"/>
            <w:tcBorders/>
            <w:shd w:fill="auto" w:val="clear"/>
            <w:vAlign w:val="center"/>
          </w:tcPr>
          <w:p>
            <w:pPr>
              <w:pStyle w:val="Style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* в соответствии с приложением № 3 «Перечень основных мероприятий государственной программы» государственная программа «Развитие образования», утвержденная постановлением главы администрации (губернатора) Краснодарского края № 939 от 05 октября 2015 года.</w:t>
            </w:r>
          </w:p>
        </w:tc>
      </w:tr>
      <w:tr>
        <w:trPr>
          <w:trHeight w:val="416" w:hRule="atLeast"/>
        </w:trPr>
        <w:tc>
          <w:tcPr>
            <w:tcW w:w="553" w:type="dxa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25" w:type="dxa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650" w:type="dxa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77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7" w:type="dxa"/>
            <w:gridSpan w:val="3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57" w:type="dxa"/>
            <w:gridSpan w:val="3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82" w:type="dxa"/>
            <w:gridSpan w:val="3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28" w:type="dxa"/>
            <w:gridSpan w:val="3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50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046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56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416" w:hRule="atLeast"/>
        </w:trPr>
        <w:tc>
          <w:tcPr>
            <w:tcW w:w="553" w:type="dxa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25" w:type="dxa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650" w:type="dxa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77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7" w:type="dxa"/>
            <w:gridSpan w:val="3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57" w:type="dxa"/>
            <w:gridSpan w:val="3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82" w:type="dxa"/>
            <w:gridSpan w:val="3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28" w:type="dxa"/>
            <w:gridSpan w:val="3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50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046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56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416" w:hRule="atLeast"/>
        </w:trPr>
        <w:tc>
          <w:tcPr>
            <w:tcW w:w="553" w:type="dxa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25" w:type="dxa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650" w:type="dxa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77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7" w:type="dxa"/>
            <w:gridSpan w:val="3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57" w:type="dxa"/>
            <w:gridSpan w:val="3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82" w:type="dxa"/>
            <w:gridSpan w:val="3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28" w:type="dxa"/>
            <w:gridSpan w:val="3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50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046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56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446" w:hRule="atLeast"/>
        </w:trPr>
        <w:tc>
          <w:tcPr>
            <w:tcW w:w="5011" w:type="dxa"/>
            <w:gridSpan w:val="7"/>
            <w:tcBorders/>
            <w:shd w:fill="auto" w:val="clear"/>
            <w:vAlign w:val="center"/>
          </w:tcPr>
          <w:p>
            <w:pPr>
              <w:pStyle w:val="Style4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Начальник управления образования администрации</w:t>
            </w:r>
          </w:p>
        </w:tc>
        <w:tc>
          <w:tcPr>
            <w:tcW w:w="1427" w:type="dxa"/>
            <w:gridSpan w:val="3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1357" w:type="dxa"/>
            <w:gridSpan w:val="3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1182" w:type="dxa"/>
            <w:gridSpan w:val="3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1128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1250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046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476" w:hRule="atLeast"/>
        </w:trPr>
        <w:tc>
          <w:tcPr>
            <w:tcW w:w="3933" w:type="dxa"/>
            <w:gridSpan w:val="4"/>
            <w:tcBorders/>
            <w:shd w:fill="auto" w:val="clear"/>
            <w:vAlign w:val="center"/>
          </w:tcPr>
          <w:p>
            <w:pPr>
              <w:pStyle w:val="Style4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муниципального образования Кавказский район </w:t>
            </w:r>
          </w:p>
        </w:tc>
        <w:tc>
          <w:tcPr>
            <w:tcW w:w="1076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1427" w:type="dxa"/>
            <w:gridSpan w:val="3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1358" w:type="dxa"/>
            <w:gridSpan w:val="3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1182" w:type="dxa"/>
            <w:gridSpan w:val="3"/>
            <w:tcBorders/>
            <w:shd w:fill="auto" w:val="clear"/>
            <w:vAlign w:val="center"/>
          </w:tcPr>
          <w:p>
            <w:pPr>
              <w:pStyle w:val="Style4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2379" w:type="dxa"/>
            <w:gridSpan w:val="5"/>
            <w:tcBorders/>
            <w:shd w:fill="auto" w:val="clear"/>
            <w:vAlign w:val="center"/>
          </w:tcPr>
          <w:p>
            <w:pPr>
              <w:pStyle w:val="Style4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С.Г. Демченко</w:t>
            </w:r>
          </w:p>
        </w:tc>
        <w:tc>
          <w:tcPr>
            <w:tcW w:w="2046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50" w:type="dxa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416" w:hRule="atLeast"/>
        </w:trPr>
        <w:tc>
          <w:tcPr>
            <w:tcW w:w="553" w:type="dxa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725" w:type="dxa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650" w:type="dxa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077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427" w:type="dxa"/>
            <w:gridSpan w:val="3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357" w:type="dxa"/>
            <w:gridSpan w:val="3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82" w:type="dxa"/>
            <w:gridSpan w:val="3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128" w:type="dxa"/>
            <w:gridSpan w:val="3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250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2046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56" w:type="dxa"/>
            <w:gridSpan w:val="2"/>
            <w:tcBorders/>
            <w:shd w:fill="auto" w:val="clear"/>
            <w:vAlign w:val="cente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</w:tbl>
    <w:p>
      <w:pPr>
        <w:pStyle w:val="Style30"/>
        <w:rPr/>
      </w:pPr>
      <w:r>
        <w:rPr/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rial Unicode MS" w:cs="Times New Roman"/>
          <w:sz w:val="28"/>
          <w:szCs w:val="28"/>
        </w:rPr>
      </w:pPr>
      <w:r>
        <w:br w:type="column"/>
      </w:r>
      <w:r>
        <w:rPr>
          <w:rFonts w:eastAsia="Arial Unicode MS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Приложение № 2.1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муниципального образования Кавказский район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от 31 октября 2014 года № 1733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W w:w="14570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83"/>
        <w:gridCol w:w="3682"/>
        <w:gridCol w:w="1687"/>
        <w:gridCol w:w="1817"/>
        <w:gridCol w:w="3"/>
        <w:gridCol w:w="1580"/>
        <w:gridCol w:w="3"/>
        <w:gridCol w:w="1528"/>
        <w:gridCol w:w="3"/>
        <w:gridCol w:w="1825"/>
        <w:gridCol w:w="3"/>
        <w:gridCol w:w="1654"/>
      </w:tblGrid>
      <w:tr>
        <w:trPr>
          <w:trHeight w:val="911" w:hRule="atLeast"/>
        </w:trPr>
        <w:tc>
          <w:tcPr>
            <w:tcW w:w="14568" w:type="dxa"/>
            <w:gridSpan w:val="12"/>
            <w:tcBorders/>
            <w:shd w:fill="auto" w:val="clear"/>
            <w:vAlign w:val="center"/>
          </w:tcPr>
          <w:p>
            <w:pPr>
              <w:pStyle w:val="Style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Объем финансовых ресурсов, предусмотренных на реализацию муниципальной программы "Развитие образования"</w:t>
            </w:r>
          </w:p>
        </w:tc>
      </w:tr>
      <w:tr>
        <w:trPr/>
        <w:tc>
          <w:tcPr>
            <w:tcW w:w="7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40"/>
              <w:jc w:val="center"/>
              <w:rPr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z w:val="24"/>
              </w:rPr>
              <w:t>п/п</w:t>
            </w:r>
          </w:p>
        </w:tc>
        <w:tc>
          <w:tcPr>
            <w:tcW w:w="3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16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Год реализации программы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Объём финанси-рования всего</w:t>
            </w:r>
          </w:p>
        </w:tc>
        <w:tc>
          <w:tcPr>
            <w:tcW w:w="659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 по источникам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(тыс. руб.)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краевой бюджет, источником финансового обеспечения которого, являются средства федерального бюджета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муници-пальный бюджет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внебюджетные источники</w:t>
            </w:r>
          </w:p>
        </w:tc>
      </w:tr>
      <w:tr>
        <w:trPr>
          <w:trHeight w:val="416" w:hRule="atLeast"/>
        </w:trPr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</w:tr>
      <w:tr>
        <w:trPr/>
        <w:tc>
          <w:tcPr>
            <w:tcW w:w="7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 «Развитие образования»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12305355,9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12517,0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8235147,5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3342002,4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715689,0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1028597,4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723650,4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252041,0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52906,0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1129190,1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3381,4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798599,5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275276,2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51933,0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1140132,0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2987,0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802439,4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276955,6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57750,0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1200176,3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772488,0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353888,3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73800,0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1344167,2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6148,6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878337,8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380380,8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79300,0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1330187,3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869404,6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380782,7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80000,0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1284408,1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848734,5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355673,6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80000,0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1283623,1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847914,9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355708,2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80000,0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1282437,2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846789,2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355648,0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80000,0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1282437,2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846789,2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355648,0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80000,0</w:t>
            </w:r>
          </w:p>
        </w:tc>
      </w:tr>
      <w:tr>
        <w:trPr/>
        <w:tc>
          <w:tcPr>
            <w:tcW w:w="7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3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Основное мероприятие №1.Развитие системы дошкольного образования в муниципальном образовании Кавказский район»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5624062,3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3543394,5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1474061,8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606606,0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422237,4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285076,1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92255,3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44906,0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501466,3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346374,1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109092,2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46000,0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503265,3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349735,2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104530,1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49000,0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559284,3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334399,8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162684,5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62200,0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608839,6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370271,6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171568,0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67000,0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610436,7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371405,0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171531,7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67500,0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604577,0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371477,0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165600,0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67500,0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604651,9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371551,9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165600,0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67500,0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604651,9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371551,9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165600,0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67500,0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604651,9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371551,9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165600,0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67500,0</w:t>
            </w:r>
          </w:p>
        </w:tc>
      </w:tr>
      <w:tr>
        <w:trPr/>
        <w:tc>
          <w:tcPr>
            <w:tcW w:w="7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3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Основное мероприятие № 2. Развитие системы общего образования в муниципальном образовании Кавказский район»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5755958,0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12517,0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4620228,6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1038929,4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84283,0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525136,7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430415,1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89221,6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5500,0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545196,1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3381,4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446173,2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92108,5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3533,0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548042,4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2987,0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446646,2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92259,2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6150,0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547127,7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431172,8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106854,9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9100,0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639559,1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6148,6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500138,1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123272,4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10000,0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621420,7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490738,8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120681,9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10000,0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583688,3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469981,6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103706,7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10000,0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582719,6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469071,4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103648,2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10000,0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581533,7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467945,7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103588,0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10000,0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581533,7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467945,7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103588,0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10000,0</w:t>
            </w:r>
          </w:p>
        </w:tc>
      </w:tr>
      <w:tr>
        <w:trPr/>
        <w:tc>
          <w:tcPr>
            <w:tcW w:w="7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</w:p>
        </w:tc>
        <w:tc>
          <w:tcPr>
            <w:tcW w:w="3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Основное мероприятие № 3. Развитие системы дополнительного образования в муниципальном образовании Кавказский район»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499229,9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16021,1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458408,8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24800,0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43757,1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6722,6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34534,5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2500,0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43597,2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4780,2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36417,0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2400,0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46639,1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635,1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43404,0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2600,0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49190,7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683,7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46007,0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2500,0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51952,3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1206,0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48446,3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2300,0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53277,2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377,2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50400,0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2500,0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52692,3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392,3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49800,0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2500,0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52708,0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408,0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49800,0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2500,0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52708,0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408,0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49800,0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2500,0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52708,0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408,0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49800,0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2500,0</w:t>
            </w:r>
          </w:p>
        </w:tc>
      </w:tr>
      <w:tr>
        <w:trPr/>
        <w:tc>
          <w:tcPr>
            <w:tcW w:w="7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</w:t>
            </w:r>
          </w:p>
        </w:tc>
        <w:tc>
          <w:tcPr>
            <w:tcW w:w="3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Основное мероприятие № 4. Финансовое обеспечение деятельности органов управления «Руководство и управление в сфере образования» 0709/ 0110400190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68505,0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68505,0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6390,0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6390,0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6117,0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6117,0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6073,0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6073,0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6673,8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6673,8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7261,1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7261,1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7270,1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7270,1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7180,0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7180,0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7180,0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7180,0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7180,0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7180,0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7180,0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7180,0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</w:t>
            </w:r>
          </w:p>
        </w:tc>
        <w:tc>
          <w:tcPr>
            <w:tcW w:w="3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Основное мероприятие № 5. Обеспечение деятельности в области бухгалтерского и бюджетного учета 0709/ 0110500590/ 0110560860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300671,4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52645,6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248025,8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22166,6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22166,6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22565,0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22565,0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28398,5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5399,2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22999,3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30636,6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6206,6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24430,0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32675,8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6621,8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26054,0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33987,6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6883,6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27104,0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32490,5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6883,6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25606,9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32583,6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6883,6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25700,0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32583,6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6883,6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25700,0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32583,6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6883,6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25700,0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/>
        <w:tc>
          <w:tcPr>
            <w:tcW w:w="7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</w:t>
            </w:r>
          </w:p>
        </w:tc>
        <w:tc>
          <w:tcPr>
            <w:tcW w:w="3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Основное мероприятие № 6. Финансовое обеспечение деятельности муниципального казенного учреждения детского лагеря «Кубаночка» (предоставление субсидий на оказание муниципальных услуг)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6058,6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6058,6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1364,0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1364,0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1601,5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1601,5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1650,0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1650,0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1443,1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1443,1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/>
        <w:tc>
          <w:tcPr>
            <w:tcW w:w="7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</w:t>
            </w:r>
          </w:p>
        </w:tc>
        <w:tc>
          <w:tcPr>
            <w:tcW w:w="36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Основное мероприятие №7. Прочие мероприятия в области образования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ВСЕГО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50870,7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2857,7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48013,0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7545,6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1436,6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6109,0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2016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8647,0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1272,0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7375,0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6063,7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23,7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6040,0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5820,1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25,1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5795,0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3879,3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100,3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3779,0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3795,0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3795,0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3780,0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3780,0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3780,0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3780,0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3780,0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3780,0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/>
        <w:tc>
          <w:tcPr>
            <w:tcW w:w="7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68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sz w:val="24"/>
              </w:rPr>
            </w:pPr>
            <w:r>
              <w:rPr>
                <w:sz w:val="24"/>
              </w:rPr>
              <w:t>3780,0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3780,0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</w:tr>
      <w:tr>
        <w:trPr>
          <w:trHeight w:val="416" w:hRule="atLeast"/>
        </w:trPr>
        <w:tc>
          <w:tcPr>
            <w:tcW w:w="783" w:type="dxa"/>
            <w:tcBorders>
              <w:top w:val="single" w:sz="2" w:space="0" w:color="000000"/>
            </w:tcBorders>
            <w:shd w:fill="FFFFFF" w:val="clear"/>
            <w:tcMar>
              <w:left w:w="0" w:type="dxa"/>
              <w:bottom w:w="0" w:type="dxa"/>
              <w:right w:w="0" w:type="dxa"/>
            </w:tcMar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682" w:type="dxa"/>
            <w:tcBorders>
              <w:top w:val="single" w:sz="2" w:space="0" w:color="000000"/>
            </w:tcBorders>
            <w:shd w:fill="FFFFFF" w:val="clear"/>
            <w:tcMar>
              <w:left w:w="0" w:type="dxa"/>
              <w:bottom w:w="0" w:type="dxa"/>
              <w:right w:w="0" w:type="dxa"/>
            </w:tcMar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87" w:type="dxa"/>
            <w:tcBorders>
              <w:top w:val="single" w:sz="2" w:space="0" w:color="000000"/>
            </w:tcBorders>
            <w:shd w:fill="FFFFFF" w:val="clear"/>
            <w:tcMar>
              <w:left w:w="0" w:type="dxa"/>
              <w:bottom w:w="0" w:type="dxa"/>
              <w:right w:w="0" w:type="dxa"/>
            </w:tcMar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17" w:type="dxa"/>
            <w:tcBorders>
              <w:top w:val="single" w:sz="2" w:space="0" w:color="000000"/>
            </w:tcBorders>
            <w:shd w:fill="FFFFFF" w:val="clear"/>
            <w:tcMar>
              <w:left w:w="0" w:type="dxa"/>
              <w:bottom w:w="0" w:type="dxa"/>
              <w:right w:w="0" w:type="dxa"/>
            </w:tcMar>
          </w:tcPr>
          <w:p>
            <w:pPr>
              <w:pStyle w:val="Style4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</w:tcBorders>
            <w:shd w:fill="FFFFFF" w:val="clear"/>
            <w:tcMar>
              <w:left w:w="0" w:type="dxa"/>
              <w:bottom w:w="0" w:type="dxa"/>
              <w:right w:w="0" w:type="dxa"/>
            </w:tcMar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</w:tcBorders>
            <w:shd w:fill="FFFFFF" w:val="clear"/>
            <w:tcMar>
              <w:left w:w="0" w:type="dxa"/>
              <w:bottom w:w="0" w:type="dxa"/>
              <w:right w:w="0" w:type="dxa"/>
            </w:tcMar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</w:tcBorders>
            <w:shd w:fill="FFFFFF" w:val="clear"/>
            <w:tcMar>
              <w:left w:w="0" w:type="dxa"/>
              <w:bottom w:w="0" w:type="dxa"/>
              <w:right w:w="0" w:type="dxa"/>
            </w:tcMar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</w:tcBorders>
            <w:shd w:fill="FFFFFF" w:val="clear"/>
            <w:tcMar>
              <w:left w:w="0" w:type="dxa"/>
              <w:bottom w:w="0" w:type="dxa"/>
              <w:right w:w="0" w:type="dxa"/>
            </w:tcMar>
          </w:tcPr>
          <w:p>
            <w:pPr>
              <w:pStyle w:val="Style4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446" w:hRule="atLeast"/>
        </w:trPr>
        <w:tc>
          <w:tcPr>
            <w:tcW w:w="7972" w:type="dxa"/>
            <w:gridSpan w:val="5"/>
            <w:vMerge w:val="restart"/>
            <w:tcBorders/>
            <w:shd w:fill="auto" w:val="clear"/>
            <w:vAlign w:val="center"/>
          </w:tcPr>
          <w:p>
            <w:pPr>
              <w:pStyle w:val="Style40"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Начальник управления образования администрации муниципального образования Кавказский район </w:t>
            </w:r>
          </w:p>
        </w:tc>
        <w:tc>
          <w:tcPr>
            <w:tcW w:w="1583" w:type="dxa"/>
            <w:gridSpan w:val="2"/>
            <w:tcBorders/>
            <w:shd w:fill="auto" w:val="clea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531" w:type="dxa"/>
            <w:gridSpan w:val="2"/>
            <w:tcBorders/>
            <w:shd w:fill="auto" w:val="clea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828" w:type="dxa"/>
            <w:gridSpan w:val="2"/>
            <w:tcBorders/>
            <w:shd w:fill="auto" w:val="clea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654" w:type="dxa"/>
            <w:tcBorders/>
            <w:shd w:fill="auto" w:val="clea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446" w:hRule="atLeast"/>
        </w:trPr>
        <w:tc>
          <w:tcPr>
            <w:tcW w:w="7972" w:type="dxa"/>
            <w:gridSpan w:val="5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83" w:type="dxa"/>
            <w:gridSpan w:val="2"/>
            <w:tcBorders/>
            <w:shd w:fill="auto" w:val="clea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1531" w:type="dxa"/>
            <w:gridSpan w:val="2"/>
            <w:tcBorders/>
            <w:shd w:fill="auto" w:val="clear"/>
          </w:tcPr>
          <w:p>
            <w:pPr>
              <w:pStyle w:val="Style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3482" w:type="dxa"/>
            <w:gridSpan w:val="3"/>
            <w:tcBorders/>
            <w:shd w:fill="auto" w:val="clear"/>
          </w:tcPr>
          <w:p>
            <w:pPr>
              <w:pStyle w:val="Style40"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           </w:t>
            </w:r>
            <w:r>
              <w:rPr>
                <w:color w:val="000000"/>
                <w:sz w:val="28"/>
              </w:rPr>
              <w:t>С.Г. Демченко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                                   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                                       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eastAsia="Arial Unicode MS"/>
        </w:rPr>
      </w:pPr>
      <w:r>
        <w:rPr>
          <w:rFonts w:eastAsia="Arial Unicode MS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Приложение № 3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муниципального образования Кавказский район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от 31 октября 2014 года № 1733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  <w:t>Форма непосредственного контроля выполнения целевых показателей и периодичность отчетности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Arial Unicode MS" w:cs="Times New Roman"/>
          <w:color w:val="2D2D2D"/>
          <w:sz w:val="24"/>
          <w:szCs w:val="24"/>
          <w:highlight w:val="white"/>
        </w:rPr>
      </w:pPr>
      <w:r>
        <w:rPr>
          <w:rFonts w:eastAsia="Arial Unicode MS" w:cs="Times New Roman" w:ascii="Times New Roman" w:hAnsi="Times New Roman"/>
          <w:color w:val="2D2D2D"/>
          <w:sz w:val="24"/>
          <w:szCs w:val="24"/>
          <w:highlight w:val="white"/>
        </w:rPr>
      </w:r>
    </w:p>
    <w:tbl>
      <w:tblPr>
        <w:tblW w:w="1460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385"/>
        <w:gridCol w:w="5240"/>
        <w:gridCol w:w="3270"/>
      </w:tblGrid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Форма статистической отчетности (иной отчетности)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Периодичность сдачи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охват детей дошкольного возраста различными формами дошкольного образования;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«План мероприятий («дорожная карта») «Изменения в отрасли образования» МО Кавказский район, направленные на повышение эффективности деятельности отрасли» (постановление АМО Кавказский район от 28.06.2013 г. №787)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1 раз в квартал, до 15 числа месяца следующего за отчетным периодом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количество получателей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 образования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«Сведения о параметрах реализации мероприятий по улучшению демографии»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1 раз в квартал до 8числа следующего за отчетным периодом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удельный вес дошкольных  образовательных учреждений, реализующих современные образовательные программы  и технологии  дошкольного образования, обеспечивающие раннее развитие детей, образование детей от 5 до 7 лет, и инклюзивное образование дошкольников с ограниченными возможностями.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«План мероприятий («дорожная карта») «Изменения в отрасли образования» МО Кавказский район, направленные на повышение эффективности деятельности отрасли» (постановление АМО Кавказский район от 28.06.2013 г. №787)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43" w:hanging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1 раз в квартал, до 15 числа месяца следующего за отчетным периодом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доля педагогов дошкольных учреждений, прошедших повышение квалификации от общей численности педагогов, нуждающихся в повышении квалификации.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Мониторинг прохождения курсовой подготовки педагогами ДОУ предоставляется в МОН Краснодарского края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раз в квартал, до 15 числа месяца следующего за отчетным периодом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отношение среднемесячной заработной платы педагогических работников ДОУ  к среднемесячной заработной плате педагогов учреждений  общего образования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Оперативная информация МКУ ЦБО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раз в квартал, до 20 числа месяца следующего за отчетным периодом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охват детей в возрасте от 6,6 до 18 лет общим образованием.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Статистическая отчетность ФСН (форма ОШ-1, ОШ-5, 76-РИК, СВ-1)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1 раз в год, до 20 февраля года, следующего за отчетным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численность обучающихся по программам общего образования в расчете на 1 учителя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ОШ-2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1 раз в год, до 20 февраля года, следующего за отчетным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удельный вес численности учащихся, обучающихся по новым федеральным государственным образовательным стандартам 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«План мероприятий («дорожная карта») «Изменения в отрасли образования» МО Кавказский район, направленные на повышение эффективности деятельности отрасли» (постановление АМО Кавказский район от 28.06.2013 г. №787)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1 раз в квартал, до 15 числа месяца следующего за отчетным периодом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образовательных учреждений, в которых проведен капитальный и текущий ремонт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Отчет «Доступная среда»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Еженедельно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создание и содержание сайта образовательных учреждений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Мониторинг управления образования предоставляется в МОН Краснодарского края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1 раз в квартал, до 15 числа месяца следующего за отчетным периодом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увеличение   пропускной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способности  и оплата Интернет – трафика  до 10 М/б;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Статистическая отчетность ФСН (формы ОШ-1, Д-4)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раз в год, до 20 февраля года, следующего за отчетным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удельный вес численности педагогических кадров, прошедших обучение  по программам переподготовки и повышения квалификации педагогических работников;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- «План мероприятий («дорожная карта») «Изменения в отрасли образования» МО Кавказский район, направленные на повышение эффективности деятельности отрасли» (постановление АМО Кавказский район от 28.06.2013 г. №787)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Статистическая форма ННШ-М раздел «повышение квалификации и проф. подготовка»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раз в год, до 20 февраля года, следующего за отчетным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отношение среднемесячной заработной платы педагогических работников образовательных учреждений  общего образования к среднемесячной заработной плате в экономике Краснодарского края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«План мероприятий («дорожная карта») «Изменения в отрасли образования» МО Кавказский район, направленные на повышение эффективности деятельности отрасли» (постановление АМО Кавказский район от 28.06.2013 г. №787)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Ежемесячно, до 8 числа месяца, следующего за отчетным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доля учащихся, принимавших участие во Всероссийских олимпиадах и иных интеллектуальных и творческих конкурсах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Статистическая форма ННШ-М раздел база «Одаренные дети» (отчет электронный, МОН)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1 раз в год, до 20 февраля года, следующего за отчетным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 xml:space="preserve">удельный вес численности учащихся, обучающихся по новым федеральным государственным образовательным стандартам 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Оперативная информация МКУ ЦБО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раз в квартал, до 20 числа месяца следующего за отчетным периодом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доля выпускников общеобразовательных организаций, не сдавших единый государственный экзамен, в общей численности выпускников общеобразовательных организаций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Статистическая отчетность ФСН (формы ОШ-1, ОШ-5, 76-РИК, ОВ-1)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раз в год, до 20 февраля года, следующего за отчетным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введение ставок педагогов дополнительного образования для работы с детьми в спортивных клубах общеобразовательных учреждений;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Мониторинг предоставляется в МОН Краснодарского края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1 раз в квартал, до 15 числа месяца следующего за отчетным периодом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введение ставок педагогов дополнительного образования для работы с детьми в вечернее и каникулярное время в спортивных залах общеобразовательных учреждений и учреждений доп. образования детей физкультурно-спортивной направленности системы образования;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Мониторинг предоставляется в МОН Краснодарского края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1 раз в квартал, до 15 числа месяца следующего за отчетным периодом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открытие спортивных кружков и секций для работы с детьми в спортивных клубах общеобразовательных учреждений;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Мониторинг предоставляется в МОН Краснодарского края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1 раз в квартал, до 15 числа месяца следующего за отчетным периодом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открытие спортивных кружков и секций для работы с детьми в вечернее и каникулярное время в спортивных залах общеобразовательных учреждений.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Мониторинг предоставляется в МОН Краснодарского края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1 раз в квартал, до 15 числа месяца следующего за отчетным периодом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 xml:space="preserve">привлечение учащихся к регулярному занятию в секциях спортивных клубов общеобразовательных учреждений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Мониторинг предоставляется в МОН Краснодарского края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1 раз в квартал, до 15 числа месяца следующего за отчетным периодом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 xml:space="preserve">привлечение учащихся к регулярному занятию спортом в секциях, в вечернее и каникулярное время, в спортивных залах общеобразовательных учреждений.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Мониторинг предоставляется в МОН Краснодарского края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1 раз в квартал, до 15 числа месяца следующего за отчетным периодом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количество  спортивных залов, в которых проведен капитальный ремонт.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Отчет предоставляется в МОН Краснодарского края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Ежемесячно, до 5 числа месяца следующего за отчетным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 xml:space="preserve">количество учащихся, охваченных горячим питанием 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Отчет предоставляется в МОН Краснодарского края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Ежемесячно, до 5 числа месяца следующего за отчетным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sz w:val="24"/>
                <w:szCs w:val="24"/>
              </w:rPr>
              <w:t>количество педагогических работников, охваченных горячим питанием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Отчет предоставляется в МОН Краснодарского края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Ежемесячно, до 5 числа месяца следующего за отчетным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количество учащихся из многодетных семей, получающих льготное питание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Отчет предоставляется в МОН Краснодарского края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Ежемесячно, до 5 числа месяца следующего за отчетным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количество учащихся, получающих молоко и молочную продукцию 2 раза в неделю</w:t>
            </w:r>
            <w:r>
              <w:rPr>
                <w:rFonts w:eastAsia="Arial Unicode MS" w:cs="Times New Roman" w:ascii="Times New Roman" w:hAnsi="Times New Roman"/>
                <w:i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Отчет предоставляется в МОН Краснодарского края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Ежемесячно, до 5 числа месяца следующего за отчетным</w:t>
            </w:r>
          </w:p>
        </w:tc>
      </w:tr>
      <w:tr>
        <w:trPr>
          <w:trHeight w:val="386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количество детей  в возрасте от 5 до 18 лет,  занимающихся в организациях дополнительного образования.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«План мероприятий («дорожная карта») «Изменения в отрасли образования» МО Кавказский район, направленные на повышение эффективности деятельности отрасли» (постановление АМО Кавказский район от 28.06.2013 г. №787)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1 раз в квартал, до 15 числа месяца следующего за отчетным периодом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 xml:space="preserve">доля  оснащенных организаций, в соответствии с требованиями  СанПин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«План мероприятий («дорожная карта») «Изменения в отрасли образования» МО Кавказский район, направленные на повышение эффективности деятельности отрасли» (постановление АМО Кавказский район от 28.06.2013 г. №787)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1 раз в квартал, до 15 числа месяца следующего за отчетным периодом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доля  педагогов  в планах  прохождения курсовой подготовки,  от численности  нуждающихся в  повышении квалификации.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«План мероприятий («дорожная карта») «Изменения в отрасли образования» МО Кавказский район, направленные на повышение эффективности деятельности отрасли» (постановление АМО Кавказский район от 28.06.2013 г. №787)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1 раз в квартал, до 15 числа месяца следующего за отчетным периодом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отношение средней заработной платы педагогических работников  учреждений  дополнительного образования детей  к средней заработной плате в экономике Краснодарского края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«План мероприятий («дорожная карта») «Изменения в отрасли образования» МО Кавказский район, направленные на повышение эффективности деятельности отрасли» (постановление АМО Кавказский район от 28.06.2013 г. №787)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1 раз в квартал, до 15 числа месяца следующего за отчетным периодом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 xml:space="preserve">количество учреждений, подведомственных управлению образования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 xml:space="preserve">Информация МОН Краснодарского края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«Перечень ОУ, расположенных на территории МО Кавказский район»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1 раз в год, на 10 сентября 2014 года</w:t>
            </w:r>
          </w:p>
        </w:tc>
      </w:tr>
      <w:tr>
        <w:trPr>
          <w:trHeight w:val="3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 xml:space="preserve">количество обслуживаемых учреждений, подведомственных управлению образования и управление образования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>Отчет об исполнении бюджета муниципальных(автономных) учреждений МО Кавказский район , ф. 0503161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</w:rPr>
              <w:t xml:space="preserve">Ежеквартально, до 10 числа следующего за отчетным </w:t>
            </w:r>
          </w:p>
        </w:tc>
      </w:tr>
    </w:tbl>
    <w:p>
      <w:pPr>
        <w:pStyle w:val="Normal"/>
        <w:tabs>
          <w:tab w:val="clear" w:pos="408"/>
          <w:tab w:val="right" w:pos="9213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Заместитель главы муниципального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образования </w:t>
      </w:r>
      <w:r>
        <w:rPr>
          <w:rFonts w:eastAsia="Arial Unicode MS" w:cs="Times New Roman"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С.В.Филатова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  <w:t>Приложение № 4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  <w:t>муниципального образования Кавказский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ПРОГНОЗ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сводных показателей муниципальных заданий на оказание муниципальных услуг муниципальными учреждениями на очередной финансовый год (плановый период) в сфере реализации муниципальной программы «Развитие образования»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Таблица № 1</w:t>
      </w:r>
    </w:p>
    <w:tbl>
      <w:tblPr>
        <w:tblW w:w="15263" w:type="dxa"/>
        <w:jc w:val="left"/>
        <w:tblInd w:w="-14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4"/>
        <w:gridCol w:w="1369"/>
        <w:gridCol w:w="41"/>
        <w:gridCol w:w="43"/>
        <w:gridCol w:w="1621"/>
        <w:gridCol w:w="2446"/>
        <w:gridCol w:w="2"/>
        <w:gridCol w:w="62"/>
        <w:gridCol w:w="4304"/>
      </w:tblGrid>
      <w:tr>
        <w:trPr>
          <w:trHeight w:val="386" w:hRule="atLeast"/>
        </w:trPr>
        <w:tc>
          <w:tcPr>
            <w:tcW w:w="5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(работы),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показателя объема (качества) услуги (работы), 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подпрограммы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основного мероприятия)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                       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ведомственной целевой программы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показателя объема (качества) услуги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(работы)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Расходы местного бюджета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оказание муниципальной услуги (работы), на 2015,                     тыс. Рублей</w:t>
            </w:r>
          </w:p>
        </w:tc>
      </w:tr>
      <w:tr>
        <w:trPr>
          <w:trHeight w:val="386" w:hRule="atLeast"/>
        </w:trPr>
        <w:tc>
          <w:tcPr>
            <w:tcW w:w="5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43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1.   Основное мероприятие</w:t>
            </w:r>
          </w:p>
        </w:tc>
        <w:tc>
          <w:tcPr>
            <w:tcW w:w="9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системы общего образования в муниципальном образовании Кавказский район</w:t>
            </w:r>
          </w:p>
        </w:tc>
      </w:tr>
      <w:tr>
        <w:trPr>
          <w:trHeight w:val="297" w:hRule="atLeast"/>
        </w:trPr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1.1.Мероприятие</w:t>
            </w:r>
          </w:p>
        </w:tc>
        <w:tc>
          <w:tcPr>
            <w:tcW w:w="9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деятельности муниципальных бюджетных и автономных учреждений на реализацию программ общего образования</w:t>
            </w:r>
          </w:p>
        </w:tc>
      </w:tr>
      <w:tr>
        <w:trPr>
          <w:trHeight w:val="297" w:hRule="atLeast"/>
        </w:trPr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общеобразовательных программ начального общего, основного общего и среднего (полного) общего образования (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средства субсидии муниципального бюджета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</w:tr>
      <w:tr>
        <w:trPr>
          <w:trHeight w:val="323" w:hRule="atLeast"/>
        </w:trPr>
        <w:tc>
          <w:tcPr>
            <w:tcW w:w="5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11835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49333,2</w:t>
            </w:r>
          </w:p>
        </w:tc>
      </w:tr>
      <w:tr>
        <w:trPr>
          <w:trHeight w:val="323" w:hRule="atLeast"/>
        </w:trPr>
        <w:tc>
          <w:tcPr>
            <w:tcW w:w="5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88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общеобразовательных программ начального общего, основного общего и среднего (полного) общего образования (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средства субсидии краевого бюджета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</w:tr>
      <w:tr>
        <w:trPr>
          <w:trHeight w:val="323" w:hRule="atLeast"/>
        </w:trPr>
        <w:tc>
          <w:tcPr>
            <w:tcW w:w="5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11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11835</w:t>
            </w:r>
          </w:p>
        </w:tc>
        <w:tc>
          <w:tcPr>
            <w:tcW w:w="43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0709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,4</w:t>
            </w:r>
          </w:p>
        </w:tc>
      </w:tr>
      <w:tr>
        <w:trPr>
          <w:trHeight w:val="297" w:hRule="atLeast"/>
        </w:trPr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1.2.Мероприятие</w:t>
            </w:r>
          </w:p>
        </w:tc>
        <w:tc>
          <w:tcPr>
            <w:tcW w:w="9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Финансовое обеспечение деятельности МБОУ ШИООО № 3 на реализацию программ основного образования </w:t>
            </w:r>
          </w:p>
        </w:tc>
      </w:tr>
      <w:tr>
        <w:trPr>
          <w:trHeight w:val="297" w:hRule="atLeast"/>
        </w:trPr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общеобразовательных программ начального общего, основного общего образования (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средства субсидии муниципального бюджета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</w:tr>
      <w:tr>
        <w:trPr>
          <w:trHeight w:val="323" w:hRule="atLeast"/>
        </w:trPr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9401,2</w:t>
            </w:r>
          </w:p>
        </w:tc>
      </w:tr>
      <w:tr>
        <w:trPr>
          <w:trHeight w:val="297" w:hRule="atLeast"/>
        </w:trPr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Услуги по содержанию и воспитанию в образовательных учреждениях</w:t>
            </w:r>
          </w:p>
        </w:tc>
      </w:tr>
      <w:tr>
        <w:trPr>
          <w:trHeight w:val="323" w:hRule="atLeast"/>
        </w:trPr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8133,8</w:t>
            </w:r>
          </w:p>
        </w:tc>
      </w:tr>
      <w:tr>
        <w:trPr>
          <w:trHeight w:val="323" w:hRule="atLeast"/>
        </w:trPr>
        <w:tc>
          <w:tcPr>
            <w:tcW w:w="53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8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общеобразовательных программ начального общего, основного общего образования (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средства субсидии краевого бюджета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</w:tr>
      <w:tr>
        <w:trPr>
          <w:trHeight w:val="323" w:hRule="atLeast"/>
        </w:trPr>
        <w:tc>
          <w:tcPr>
            <w:tcW w:w="53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11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5617,0</w:t>
            </w:r>
          </w:p>
        </w:tc>
      </w:tr>
      <w:tr>
        <w:trPr>
          <w:trHeight w:val="281" w:hRule="atLeast"/>
        </w:trPr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2.Основное мероприятие</w:t>
            </w:r>
          </w:p>
        </w:tc>
        <w:tc>
          <w:tcPr>
            <w:tcW w:w="9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Развитие системы дошкольного образования в муниципальном образовании Кавказский район</w:t>
            </w:r>
          </w:p>
        </w:tc>
      </w:tr>
      <w:tr>
        <w:trPr>
          <w:trHeight w:val="281" w:hRule="atLeast"/>
        </w:trPr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 Мероприятие</w:t>
            </w:r>
          </w:p>
        </w:tc>
        <w:tc>
          <w:tcPr>
            <w:tcW w:w="9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деятельности муниципальных бюджетных и автономных учреждений на  реализацию программ дошкольного образования</w:t>
            </w:r>
          </w:p>
        </w:tc>
      </w:tr>
      <w:tr>
        <w:trPr>
          <w:trHeight w:val="281" w:hRule="atLeast"/>
        </w:trPr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Реализация  программ дошкольного образования (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u w:val="single"/>
              </w:rPr>
              <w:t>средства субсидии муниципального бюджета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)</w:t>
            </w:r>
          </w:p>
        </w:tc>
      </w:tr>
      <w:tr>
        <w:trPr>
          <w:trHeight w:val="323" w:hRule="atLeast"/>
        </w:trPr>
        <w:tc>
          <w:tcPr>
            <w:tcW w:w="5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5045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ind w:left="0" w:right="-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79932,9</w:t>
            </w:r>
          </w:p>
        </w:tc>
      </w:tr>
      <w:tr>
        <w:trPr>
          <w:trHeight w:val="323" w:hRule="atLeast"/>
        </w:trPr>
        <w:tc>
          <w:tcPr>
            <w:tcW w:w="5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88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 программ дошкольного образования (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средства субсидии краевого  бюджета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</w:tr>
      <w:tr>
        <w:trPr>
          <w:trHeight w:val="323" w:hRule="atLeast"/>
        </w:trPr>
        <w:tc>
          <w:tcPr>
            <w:tcW w:w="53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21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5045</w:t>
            </w:r>
          </w:p>
        </w:tc>
        <w:tc>
          <w:tcPr>
            <w:tcW w:w="4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270787,1</w:t>
            </w:r>
          </w:p>
        </w:tc>
      </w:tr>
      <w:tr>
        <w:trPr>
          <w:trHeight w:val="375" w:hRule="atLeast"/>
        </w:trPr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3.Основное мероприятие</w:t>
            </w:r>
          </w:p>
        </w:tc>
        <w:tc>
          <w:tcPr>
            <w:tcW w:w="9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системы дополнительного образования в муниципальном образовании Кавказский район</w:t>
            </w:r>
          </w:p>
        </w:tc>
      </w:tr>
      <w:tr>
        <w:trPr>
          <w:trHeight w:val="375" w:hRule="atLeast"/>
        </w:trPr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3.1 Мероприятие</w:t>
            </w:r>
          </w:p>
        </w:tc>
        <w:tc>
          <w:tcPr>
            <w:tcW w:w="9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деятельности учреждений дополнительного образования</w:t>
            </w:r>
          </w:p>
        </w:tc>
      </w:tr>
      <w:tr>
        <w:trPr>
          <w:trHeight w:val="281" w:hRule="atLeast"/>
        </w:trPr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 программ дополнительного образования</w:t>
            </w:r>
          </w:p>
        </w:tc>
      </w:tr>
      <w:tr>
        <w:trPr>
          <w:trHeight w:val="281" w:hRule="atLeast"/>
        </w:trPr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3180</w:t>
            </w:r>
          </w:p>
        </w:tc>
        <w:tc>
          <w:tcPr>
            <w:tcW w:w="4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34431,5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35" w:hRule="atLeast"/>
        </w:trPr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4.Основное мероприятие</w:t>
            </w:r>
          </w:p>
        </w:tc>
        <w:tc>
          <w:tcPr>
            <w:tcW w:w="9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Финансовое обеспечение деятельности муниципального бюджетного учреждения детского лагеря «Кубаночка» </w:t>
            </w:r>
          </w:p>
        </w:tc>
      </w:tr>
      <w:tr>
        <w:trPr>
          <w:trHeight w:val="735" w:hRule="atLeast"/>
        </w:trPr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4.1 Мероприятие</w:t>
            </w:r>
          </w:p>
        </w:tc>
        <w:tc>
          <w:tcPr>
            <w:tcW w:w="9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Финансовое обеспечение деятельности муниципального бюджетного учреждения детского лагеря «Кубаночка»</w:t>
            </w:r>
          </w:p>
        </w:tc>
      </w:tr>
      <w:tr>
        <w:trPr>
          <w:trHeight w:val="281" w:hRule="atLeast"/>
        </w:trPr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Организация отдыха, оздоровления и занятости детей</w:t>
            </w:r>
          </w:p>
        </w:tc>
      </w:tr>
      <w:tr>
        <w:trPr>
          <w:trHeight w:val="281" w:hRule="atLeast"/>
        </w:trPr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Количество детей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1364,0</w:t>
            </w:r>
          </w:p>
        </w:tc>
      </w:tr>
      <w:tr>
        <w:trPr>
          <w:trHeight w:val="281" w:hRule="atLeast"/>
        </w:trPr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5.Основное мероприятие</w:t>
            </w:r>
          </w:p>
        </w:tc>
        <w:tc>
          <w:tcPr>
            <w:tcW w:w="9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Прочие мероприятия в области образования</w:t>
            </w:r>
          </w:p>
        </w:tc>
      </w:tr>
      <w:tr>
        <w:trPr>
          <w:trHeight w:val="281" w:hRule="atLeast"/>
        </w:trPr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5.1 Мероприятие</w:t>
            </w:r>
          </w:p>
        </w:tc>
        <w:tc>
          <w:tcPr>
            <w:tcW w:w="9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Прочие мероприятия в области образования</w:t>
            </w:r>
          </w:p>
        </w:tc>
      </w:tr>
      <w:tr>
        <w:trPr>
          <w:trHeight w:val="281" w:hRule="atLeast"/>
        </w:trPr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информационное и методическое сопровождение деятельности учреждений отрасли образования;</w:t>
            </w:r>
          </w:p>
        </w:tc>
      </w:tr>
      <w:tr>
        <w:trPr>
          <w:trHeight w:val="281" w:hRule="atLeast"/>
        </w:trPr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Количество учреждений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64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3048,5</w:t>
            </w:r>
          </w:p>
        </w:tc>
      </w:tr>
      <w:tr>
        <w:trPr>
          <w:trHeight w:val="281" w:hRule="atLeast"/>
        </w:trPr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поддержка педагогических работников образовательных учреждений, выявление детей с ограниченными возможностями здоровья и отклонениями в поведении, проведение их комплексного обследования и подготовка рекомендаций по оказанию детям психолого – медико – педагогической помощи.</w:t>
            </w:r>
          </w:p>
        </w:tc>
      </w:tr>
      <w:tr>
        <w:trPr>
          <w:trHeight w:val="281" w:hRule="atLeast"/>
        </w:trPr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560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2291,5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№ 2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W w:w="15102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1"/>
        <w:gridCol w:w="2809"/>
        <w:gridCol w:w="2240"/>
        <w:gridCol w:w="1"/>
        <w:gridCol w:w="4760"/>
      </w:tblGrid>
      <w:tr>
        <w:trPr>
          <w:trHeight w:val="704" w:hRule="atLeast"/>
          <w:cantSplit w:val="true"/>
        </w:trPr>
        <w:tc>
          <w:tcPr>
            <w:tcW w:w="5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показателя объема (качества) услуги (работы),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основного мероприятия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                        </w:t>
            </w:r>
          </w:p>
        </w:tc>
        <w:tc>
          <w:tcPr>
            <w:tcW w:w="5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показателя объема (качества) услуги( работы)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 местного бюджета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оказание муниципальной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услуги (работы)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2016 год,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тыс. Рублей</w:t>
            </w:r>
          </w:p>
        </w:tc>
      </w:tr>
      <w:tr>
        <w:trPr>
          <w:cantSplit w:val="true"/>
        </w:trPr>
        <w:tc>
          <w:tcPr>
            <w:tcW w:w="52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един.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Измер.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4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Основное мероприятие № 1</w:t>
            </w:r>
          </w:p>
        </w:tc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Развитие системы дошкольного образования в муниципальном образовании Кавказский район</w:t>
            </w:r>
          </w:p>
        </w:tc>
      </w:tr>
      <w:tr>
        <w:trPr>
          <w:trHeight w:val="270" w:hRule="atLeast"/>
        </w:trPr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деятельности муниципальных бюджетных и автономных учреждений на  реализацию программ дошкольного образования</w:t>
            </w:r>
          </w:p>
        </w:tc>
      </w:tr>
      <w:tr>
        <w:trPr>
          <w:trHeight w:val="270" w:hRule="atLeast"/>
        </w:trPr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 общеобразовательных программ дошкольного образования (от 1 года до 3 лет)</w:t>
            </w:r>
          </w:p>
        </w:tc>
      </w:tr>
      <w:tr>
        <w:trPr>
          <w:trHeight w:val="270" w:hRule="atLeast"/>
          <w:cantSplit w:val="true"/>
        </w:trPr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(качества) услуги (работы) –  число обучающихся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755, 0</w:t>
            </w:r>
          </w:p>
        </w:tc>
        <w:tc>
          <w:tcPr>
            <w:tcW w:w="47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61601,4</w:t>
            </w:r>
          </w:p>
        </w:tc>
      </w:tr>
      <w:tr>
        <w:trPr>
          <w:trHeight w:val="270" w:hRule="atLeast"/>
          <w:cantSplit w:val="true"/>
        </w:trPr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(качества) услуги (работы) –  число человеко-дней обучения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чел./дни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147225</w:t>
            </w:r>
          </w:p>
        </w:tc>
        <w:tc>
          <w:tcPr>
            <w:tcW w:w="47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 общеобразовательных программ дошкольного образования (от 3 года до 8 лет)</w:t>
            </w:r>
          </w:p>
        </w:tc>
      </w:tr>
      <w:tr>
        <w:trPr>
          <w:trHeight w:val="270" w:hRule="atLeast"/>
          <w:cantSplit w:val="true"/>
        </w:trPr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(качества) услуги (работы) –  число обучающихся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3933</w:t>
            </w:r>
          </w:p>
        </w:tc>
        <w:tc>
          <w:tcPr>
            <w:tcW w:w="47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320897,8</w:t>
            </w:r>
          </w:p>
        </w:tc>
      </w:tr>
      <w:tr>
        <w:trPr>
          <w:trHeight w:val="270" w:hRule="atLeast"/>
          <w:cantSplit w:val="true"/>
        </w:trPr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(качества) услуги (работы) –  число человеко-дней обучения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чел./дни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991575</w:t>
            </w:r>
          </w:p>
        </w:tc>
        <w:tc>
          <w:tcPr>
            <w:tcW w:w="47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Основное мероприятие № 2</w:t>
            </w:r>
          </w:p>
        </w:tc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системы общего образования в муниципальном образовании Кавказский район</w:t>
            </w:r>
          </w:p>
        </w:tc>
      </w:tr>
      <w:tr>
        <w:trPr>
          <w:trHeight w:val="270" w:hRule="atLeast"/>
        </w:trPr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деятельности муниципальных бюджетных и автономных учреждений на реализацию программ общего образования</w:t>
            </w:r>
          </w:p>
        </w:tc>
      </w:tr>
      <w:tr>
        <w:trPr>
          <w:trHeight w:val="270" w:hRule="atLeast"/>
        </w:trPr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 общеобразовательных программ  начального общего образования</w:t>
            </w:r>
          </w:p>
        </w:tc>
      </w:tr>
      <w:tr>
        <w:trPr>
          <w:trHeight w:val="270" w:hRule="atLeast"/>
          <w:cantSplit w:val="true"/>
        </w:trPr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услуги (работы) –  число обучающихся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5155</w:t>
            </w:r>
          </w:p>
        </w:tc>
        <w:tc>
          <w:tcPr>
            <w:tcW w:w="47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204507,1</w:t>
            </w:r>
          </w:p>
        </w:tc>
      </w:tr>
      <w:tr>
        <w:trPr>
          <w:trHeight w:val="270" w:hRule="atLeast"/>
          <w:cantSplit w:val="true"/>
        </w:trPr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качества услуги (работы) –  количество учащихся, освоивших образовательные программы  начального общего образования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5155</w:t>
            </w:r>
          </w:p>
        </w:tc>
        <w:tc>
          <w:tcPr>
            <w:tcW w:w="47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  <w:cantSplit w:val="true"/>
        </w:trPr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качества услуги (работы) –   общая численность детей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5155</w:t>
            </w:r>
          </w:p>
        </w:tc>
        <w:tc>
          <w:tcPr>
            <w:tcW w:w="47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 общего образования</w:t>
            </w:r>
          </w:p>
        </w:tc>
      </w:tr>
      <w:tr>
        <w:trPr>
          <w:trHeight w:val="270" w:hRule="atLeast"/>
        </w:trPr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услуги (работы) –  число обучающихся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5762</w:t>
            </w:r>
          </w:p>
        </w:tc>
        <w:tc>
          <w:tcPr>
            <w:tcW w:w="4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228267,6</w:t>
            </w:r>
          </w:p>
        </w:tc>
      </w:tr>
      <w:tr>
        <w:trPr>
          <w:trHeight w:val="270" w:hRule="atLeast"/>
        </w:trPr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  общего образования</w:t>
            </w:r>
          </w:p>
        </w:tc>
      </w:tr>
      <w:tr>
        <w:trPr>
          <w:trHeight w:val="628" w:hRule="atLeast"/>
        </w:trPr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услуги (работы) –  число обучающихся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1232</w:t>
            </w:r>
          </w:p>
        </w:tc>
        <w:tc>
          <w:tcPr>
            <w:tcW w:w="4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48499,2</w:t>
            </w:r>
          </w:p>
        </w:tc>
      </w:tr>
      <w:tr>
        <w:trPr>
          <w:trHeight w:val="640" w:hRule="atLeast"/>
        </w:trPr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Наименование услуги (работы) и ее содержание </w:t>
            </w:r>
          </w:p>
        </w:tc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детей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40" w:hRule="atLeast"/>
        </w:trPr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(качества) услуги (работы) –  число обучающихся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8691,8</w:t>
            </w:r>
          </w:p>
        </w:tc>
      </w:tr>
      <w:tr>
        <w:trPr>
          <w:trHeight w:val="270" w:hRule="atLeast"/>
        </w:trPr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Основное мероприятие № 3</w:t>
            </w:r>
          </w:p>
        </w:tc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системы дополнительного образования в муниципальном образовании Кавказский район</w:t>
            </w:r>
          </w:p>
        </w:tc>
      </w:tr>
      <w:tr>
        <w:trPr>
          <w:trHeight w:val="270" w:hRule="atLeast"/>
        </w:trPr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деятельности учреждений дополнительного образования</w:t>
            </w:r>
          </w:p>
        </w:tc>
      </w:tr>
      <w:tr>
        <w:trPr>
          <w:trHeight w:val="270" w:hRule="atLeast"/>
        </w:trPr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</w:tr>
      <w:tr>
        <w:trPr>
          <w:trHeight w:val="270" w:hRule="atLeast"/>
        </w:trPr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услуги (работы)- число человеко-часов пребывания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чел./час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1018828</w:t>
            </w:r>
          </w:p>
        </w:tc>
        <w:tc>
          <w:tcPr>
            <w:tcW w:w="4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39552,7</w:t>
            </w:r>
          </w:p>
        </w:tc>
      </w:tr>
      <w:tr>
        <w:trPr>
          <w:trHeight w:val="747" w:hRule="atLeast"/>
        </w:trPr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Основное мероприятие № 6</w:t>
            </w:r>
          </w:p>
        </w:tc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Финансовое обеспечение деятельности муниципального бюджетного учреждения детского лагеря «Кубаночка» </w:t>
            </w:r>
          </w:p>
        </w:tc>
      </w:tr>
      <w:tr>
        <w:trPr>
          <w:trHeight w:val="463" w:hRule="atLeast"/>
        </w:trPr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Финансовое обеспечение деятельности муниципального бюджетного учреждения детского лагеря «Кубаночка»</w:t>
            </w:r>
          </w:p>
        </w:tc>
      </w:tr>
      <w:tr>
        <w:trPr>
          <w:trHeight w:val="463" w:hRule="atLeast"/>
        </w:trPr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(эксплуатация) имущества, находящегося в муниципальной собственности</w:t>
            </w:r>
          </w:p>
        </w:tc>
      </w:tr>
      <w:tr>
        <w:trPr>
          <w:trHeight w:val="270" w:hRule="atLeast"/>
        </w:trPr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услуги (работы) -эксплуатируемая площадь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м.кв.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3029,1</w:t>
            </w:r>
          </w:p>
        </w:tc>
        <w:tc>
          <w:tcPr>
            <w:tcW w:w="4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1601,5</w:t>
            </w:r>
          </w:p>
        </w:tc>
      </w:tr>
      <w:tr>
        <w:trPr>
          <w:trHeight w:val="270" w:hRule="atLeast"/>
        </w:trPr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Основное мероприятие № 6</w:t>
            </w:r>
          </w:p>
        </w:tc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Прочие мероприятия в области образования</w:t>
            </w:r>
          </w:p>
        </w:tc>
      </w:tr>
      <w:tr>
        <w:trPr>
          <w:trHeight w:val="270" w:hRule="atLeast"/>
        </w:trPr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Прочие мероприятия в области образования</w:t>
            </w:r>
          </w:p>
        </w:tc>
      </w:tr>
      <w:tr>
        <w:trPr>
          <w:trHeight w:val="270" w:hRule="atLeast"/>
        </w:trPr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Психолого- педагогическое консультирование обучающихся, их родителей (законных представителей) и педагогических работников</w:t>
            </w:r>
          </w:p>
        </w:tc>
      </w:tr>
      <w:tr>
        <w:trPr>
          <w:trHeight w:val="270" w:hRule="atLeast"/>
        </w:trPr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услуги (работы) –  число обучающихся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4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2368,3</w:t>
            </w:r>
          </w:p>
        </w:tc>
      </w:tr>
      <w:tr>
        <w:trPr>
          <w:trHeight w:val="270" w:hRule="atLeast"/>
        </w:trPr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консультационных  и методических услуг</w:t>
            </w:r>
          </w:p>
        </w:tc>
      </w:tr>
      <w:tr>
        <w:trPr>
          <w:trHeight w:val="270" w:hRule="atLeast"/>
          <w:cantSplit w:val="true"/>
        </w:trPr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объема услуги (работы) - количество отчетов, составленных по результатам работы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7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              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3131,7</w:t>
            </w:r>
          </w:p>
        </w:tc>
      </w:tr>
      <w:tr>
        <w:trPr>
          <w:trHeight w:val="270" w:hRule="atLeast"/>
          <w:cantSplit w:val="true"/>
        </w:trPr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услуги (работы) – количество разработанных  документов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47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  <w:cantSplit w:val="true"/>
        </w:trPr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Показатель объема услуги (работы) – количество проведенных консультаций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47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  <w:cantSplit w:val="true"/>
        </w:trPr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качества услуги (работы) –  количество мероприятий по поддержке одаренных детей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7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  <w:cantSplit w:val="true"/>
        </w:trPr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 качества услуги (работы) –   количество мероприятий по методической поддержке педагогических работников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7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8472" w:right="0" w:hanging="0"/>
        <w:rPr>
          <w:rFonts w:ascii="Times New Roman" w:hAnsi="Times New Roman" w:eastAsia="Arial Unicode MS" w:cs="Times New Roman"/>
          <w:color w:val="000000"/>
          <w:lang w:val="en-US"/>
        </w:rPr>
      </w:pPr>
      <w:r>
        <w:rPr>
          <w:rFonts w:eastAsia="Arial Unicode MS" w:cs="Times New Roman" w:ascii="Times New Roman" w:hAnsi="Times New Roman"/>
          <w:color w:val="000000"/>
          <w:lang w:val="en-US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Заместитель главы муниципального 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образования </w:t>
      </w:r>
      <w:r>
        <w:rPr>
          <w:rFonts w:eastAsia="Arial Unicode MS" w:cs="Times New Roman"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С.В.Филатова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  <w:sz w:val="28"/>
          <w:szCs w:val="28"/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  <w:sz w:val="28"/>
          <w:szCs w:val="28"/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Приложение № 5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муниципального образования Кавказский район</w:t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</w:rPr>
      </w:pPr>
      <w:r>
        <w:rPr>
          <w:rFonts w:eastAsia="Arial Unicode MS"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План реализации муниципальной программы  муниципального образования  Кавказский район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«Развитие образования»</w:t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</w:rPr>
      </w:pPr>
      <w:r>
        <w:rPr>
          <w:rFonts w:eastAsia="Arial Unicode MS" w:cs="Times New Roman" w:ascii="Times New Roman" w:hAnsi="Times New Roman"/>
          <w:color w:val="000000"/>
        </w:rPr>
      </w:r>
    </w:p>
    <w:tbl>
      <w:tblPr>
        <w:tblW w:w="151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833"/>
        <w:gridCol w:w="851"/>
        <w:gridCol w:w="2230"/>
        <w:gridCol w:w="1556"/>
        <w:gridCol w:w="1837"/>
        <w:gridCol w:w="39"/>
        <w:gridCol w:w="1520"/>
        <w:gridCol w:w="39"/>
        <w:gridCol w:w="1231"/>
        <w:gridCol w:w="34"/>
        <w:gridCol w:w="1092"/>
        <w:gridCol w:w="38"/>
        <w:gridCol w:w="1181"/>
      </w:tblGrid>
      <w:tr>
        <w:trPr/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/>
            </w:pPr>
            <w:r>
              <w:rPr>
                <w:rFonts w:cs="Times New Roman" w:ascii="Times New Roman" w:hAnsi="Times New Roman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lang w:eastAsia="en-US"/>
              </w:rPr>
              <w:t>п/п</w:t>
            </w:r>
            <w:r>
              <w:rPr>
                <w:rFonts w:cs="Times New Roman" w:ascii="Times New Roman" w:hAnsi="Times New Roman"/>
                <w:b/>
                <w:vertAlign w:val="superscript"/>
                <w:lang w:eastAsia="en-US"/>
              </w:rPr>
              <w:t>1)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 xml:space="preserve">Статус </w:t>
            </w:r>
            <w:r>
              <w:rPr>
                <w:rStyle w:val="Style10"/>
                <w:rFonts w:cs="Times New Roman" w:ascii="Times New Roman" w:hAnsi="Times New Roman"/>
                <w:vertAlign w:val="superscript"/>
                <w:lang w:eastAsia="en-US"/>
              </w:rPr>
              <w:t>2</w:t>
            </w:r>
            <w:r>
              <w:rPr>
                <w:rFonts w:cs="Times New Roman" w:ascii="Times New Roman" w:hAnsi="Times New Roman"/>
                <w:b/>
                <w:vertAlign w:val="superscript"/>
                <w:lang w:eastAsia="en-US"/>
              </w:rPr>
              <w:t>)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 xml:space="preserve">Ответственный за реализацию мероприятия,выполнение контрольное событие </w:t>
            </w:r>
            <w:r>
              <w:rPr>
                <w:rFonts w:cs="Times New Roman" w:ascii="Times New Roman" w:hAnsi="Times New Roman"/>
                <w:b/>
                <w:vertAlign w:val="superscript"/>
                <w:lang w:eastAsia="en-US"/>
              </w:rPr>
              <w:t>3)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Срок реализации мероприятия, дата контрольного события</w:t>
            </w:r>
            <w:r>
              <w:rPr>
                <w:rFonts w:cs="Times New Roman" w:ascii="Times New Roman" w:hAnsi="Times New Roman"/>
                <w:b/>
                <w:vertAlign w:val="superscript"/>
                <w:lang w:eastAsia="en-US"/>
              </w:rPr>
              <w:t>4)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Код классификации расходов бюджета</w:t>
            </w:r>
          </w:p>
        </w:tc>
        <w:tc>
          <w:tcPr>
            <w:tcW w:w="5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 xml:space="preserve">Поквартальное распределение прогноза кассовых выплат, тыс.рублей </w:t>
            </w:r>
            <w:r>
              <w:rPr>
                <w:rFonts w:cs="Times New Roman" w:ascii="Times New Roman" w:hAnsi="Times New Roman"/>
                <w:b/>
                <w:vertAlign w:val="superscript"/>
                <w:lang w:eastAsia="en-US"/>
              </w:rPr>
              <w:t>5)</w:t>
            </w:r>
          </w:p>
        </w:tc>
      </w:tr>
      <w:tr>
        <w:trPr/>
        <w:tc>
          <w:tcPr>
            <w:tcW w:w="6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I кв.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II кв.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III кв.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IV кв.</w:t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7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8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9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10</w:t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1.1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1.2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....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…</w:t>
            </w:r>
            <w:r>
              <w:rPr>
                <w:rFonts w:cs="Times New Roman" w:ascii="Times New Roman" w:hAnsi="Times New Roman"/>
                <w:lang w:eastAsia="en-US"/>
              </w:rPr>
              <w:t>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Подпрограмма №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2.1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Мероприятие №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Контрольное событие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2.2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Мероприятие №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Контрольное событие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…</w:t>
            </w:r>
            <w:r>
              <w:rPr>
                <w:rFonts w:cs="Times New Roman" w:ascii="Times New Roman" w:hAnsi="Times New Roman"/>
                <w:lang w:eastAsia="en-US"/>
              </w:rPr>
              <w:t>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…</w:t>
            </w:r>
            <w:r>
              <w:rPr>
                <w:rFonts w:cs="Times New Roman" w:ascii="Times New Roman" w:hAnsi="Times New Roman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/>
        <w:tc>
          <w:tcPr>
            <w:tcW w:w="10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Итого по муниципальной программе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Заместитель главы муниципального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образования </w:t>
      </w:r>
      <w:r>
        <w:rPr>
          <w:rFonts w:eastAsia="Arial Unicode MS" w:cs="Times New Roman"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С.В.Филатова</w:t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Приложение № 6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  <w:t>муниципального образования Кавказский район</w:t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408"/>
          <w:tab w:val="left" w:pos="3600" w:leader="none"/>
          <w:tab w:val="left" w:pos="11460" w:leader="none"/>
        </w:tabs>
        <w:spacing w:lineRule="auto" w:line="240" w:before="0" w:after="0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</w:r>
    </w:p>
    <w:tbl>
      <w:tblPr>
        <w:tblW w:w="1407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965"/>
        <w:gridCol w:w="1506"/>
        <w:gridCol w:w="4165"/>
        <w:gridCol w:w="2811"/>
        <w:gridCol w:w="1775"/>
      </w:tblGrid>
      <w:tr>
        <w:trPr/>
        <w:tc>
          <w:tcPr>
            <w:tcW w:w="14078" w:type="dxa"/>
            <w:gridSpan w:val="6"/>
            <w:tcBorders/>
            <w:shd w:fill="auto" w:val="clear"/>
          </w:tcPr>
          <w:p>
            <w:pPr>
              <w:pStyle w:val="1"/>
              <w:widowControl w:val="false"/>
              <w:spacing w:lineRule="auto" w:line="240" w:before="108" w:after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Отчет</w:t>
              <w:br/>
              <w:t xml:space="preserve">об исполнении целевых показателей муниципальной программы, сводных показателей муниципальных заданий на оказание муниципальных услуг (выполнение работ) муниципальными образовательными учреждениями </w:t>
            </w:r>
          </w:p>
        </w:tc>
      </w:tr>
      <w:tr>
        <w:trPr/>
        <w:tc>
          <w:tcPr>
            <w:tcW w:w="14078" w:type="dxa"/>
            <w:gridSpan w:val="6"/>
            <w:tcBorders/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078" w:type="dxa"/>
            <w:gridSpan w:val="6"/>
            <w:tcBorders/>
            <w:shd w:fill="auto" w:val="clear"/>
          </w:tcPr>
          <w:p>
            <w:pPr>
              <w:pStyle w:val="Style3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муниципальной программы: "Развитие образования"</w:t>
            </w:r>
          </w:p>
        </w:tc>
      </w:tr>
      <w:tr>
        <w:trPr/>
        <w:tc>
          <w:tcPr>
            <w:tcW w:w="14078" w:type="dxa"/>
            <w:gridSpan w:val="6"/>
            <w:tcBorders>
              <w:bottom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показателя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Единица измерения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Фактическое значение показателя на отчетную дату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Примечание</w:t>
            </w:r>
          </w:p>
        </w:tc>
      </w:tr>
      <w:tr>
        <w:trPr/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29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Заместитель главы муниципального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образования </w:t>
      </w:r>
      <w:r>
        <w:rPr>
          <w:rFonts w:eastAsia="Arial Unicode MS" w:cs="Times New Roman"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С.В.Филатова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kern w:val="2"/>
        </w:rPr>
      </w:pPr>
      <w:r>
        <w:rPr>
          <w:rFonts w:eastAsia="Arial Unicode MS" w:cs="Times New Roman" w:ascii="Times New Roman" w:hAnsi="Times New Roman"/>
          <w:color w:val="000000"/>
          <w:kern w:val="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  <w:t>Приложение № 7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  <w:t>к муниципальной программе муниципального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  <w:t>образования Кавказский район « Развитие образования»,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  <w:t>утвержденной постановлением администрации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  <w:t>муниципального образования Кавказский район</w:t>
      </w:r>
    </w:p>
    <w:p>
      <w:pPr>
        <w:pStyle w:val="Normal"/>
        <w:spacing w:lineRule="auto" w:line="240" w:before="0" w:after="0"/>
        <w:ind w:left="8472" w:right="0" w:hanging="0"/>
        <w:jc w:val="center"/>
        <w:rPr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sz w:val="24"/>
          <w:szCs w:val="24"/>
        </w:rPr>
        <w:t>от 31 октября 2014 года № 1733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494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4437"/>
        <w:gridCol w:w="1311"/>
        <w:gridCol w:w="740"/>
        <w:gridCol w:w="1122"/>
        <w:gridCol w:w="1121"/>
        <w:gridCol w:w="1132"/>
        <w:gridCol w:w="987"/>
        <w:gridCol w:w="849"/>
        <w:gridCol w:w="36"/>
        <w:gridCol w:w="944"/>
        <w:gridCol w:w="44"/>
        <w:gridCol w:w="798"/>
        <w:gridCol w:w="39"/>
        <w:gridCol w:w="867"/>
      </w:tblGrid>
      <w:tr>
        <w:trPr/>
        <w:tc>
          <w:tcPr>
            <w:tcW w:w="14947" w:type="dxa"/>
            <w:gridSpan w:val="15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108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26282F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8"/>
                <w:szCs w:val="28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108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26282F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8"/>
                <w:szCs w:val="28"/>
              </w:rPr>
              <w:t>Информация</w:t>
              <w:br/>
              <w:t>об объекте капитального строительства</w:t>
            </w:r>
          </w:p>
        </w:tc>
      </w:tr>
      <w:tr>
        <w:trPr>
          <w:trHeight w:val="738" w:hRule="atLeast"/>
        </w:trPr>
        <w:tc>
          <w:tcPr>
            <w:tcW w:w="14947" w:type="dxa"/>
            <w:gridSpan w:val="15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"Строительство пристройки к существующему муниципальному дошкольному учреждению МБДОУ д\с № 26 ст.Казанская на 40 мест"</w:t>
            </w:r>
          </w:p>
        </w:tc>
      </w:tr>
      <w:tr>
        <w:trPr/>
        <w:tc>
          <w:tcPr>
            <w:tcW w:w="14947" w:type="dxa"/>
            <w:gridSpan w:val="15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>
        <w:trPr/>
        <w:tc>
          <w:tcPr>
            <w:tcW w:w="12255" w:type="dxa"/>
            <w:gridSpan w:val="10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88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37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49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108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26282F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8"/>
                <w:szCs w:val="28"/>
              </w:rPr>
              <w:t>Основные технико-экономические показатели по объекту</w:t>
            </w:r>
          </w:p>
        </w:tc>
      </w:tr>
      <w:tr>
        <w:trPr/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86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Строительство пристройки к существующему ДОУ</w:t>
            </w:r>
          </w:p>
        </w:tc>
      </w:tr>
      <w:tr>
        <w:trPr/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государственного заказчика</w:t>
            </w:r>
          </w:p>
        </w:tc>
        <w:tc>
          <w:tcPr>
            <w:tcW w:w="86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>
        <w:trPr/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86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МБДОУ д\с № 26 ст. Казанская муниципального образования Кавказский район</w:t>
            </w:r>
          </w:p>
        </w:tc>
      </w:tr>
      <w:tr>
        <w:trPr/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86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 мест</w:t>
            </w:r>
          </w:p>
        </w:tc>
      </w:tr>
      <w:tr>
        <w:trPr/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86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Ноябрь 2016 года</w:t>
            </w:r>
          </w:p>
        </w:tc>
      </w:tr>
      <w:tr>
        <w:trPr/>
        <w:tc>
          <w:tcPr>
            <w:tcW w:w="122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108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26282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4"/>
                <w:szCs w:val="24"/>
              </w:rPr>
              <w:t>Объем финансового обеспечения, тыс. руб.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108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26282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4"/>
                <w:szCs w:val="24"/>
              </w:rPr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108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26282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4"/>
                <w:szCs w:val="24"/>
              </w:rPr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108" w:after="0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color w:val="26282F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26282F"/>
                <w:sz w:val="24"/>
                <w:szCs w:val="24"/>
              </w:rPr>
            </w:r>
          </w:p>
        </w:tc>
      </w:tr>
      <w:tr>
        <w:trPr/>
        <w:tc>
          <w:tcPr>
            <w:tcW w:w="4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Источник финансирования в рублях</w:t>
            </w:r>
          </w:p>
        </w:tc>
        <w:tc>
          <w:tcPr>
            <w:tcW w:w="79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Период реализации</w:t>
            </w:r>
          </w:p>
        </w:tc>
      </w:tr>
      <w:tr>
        <w:trPr/>
        <w:tc>
          <w:tcPr>
            <w:tcW w:w="495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2015 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2016 год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2017 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2018 год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 год</w:t>
            </w:r>
          </w:p>
        </w:tc>
      </w:tr>
      <w:tr>
        <w:trPr/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4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10713,7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10693,7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9617,5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9617,5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1096,2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1076,2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10713,7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10693,7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9617,5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9617,5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1096,2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1076,2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495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overflowPunct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 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 израсходованных  в 2014 году – 267.4 тысячи  рублей.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Заместитель главы муниципального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образования </w:t>
      </w:r>
      <w:r>
        <w:rPr>
          <w:rFonts w:eastAsia="Arial Unicode MS" w:cs="Times New Roman"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С.В.Филатова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orient="landscape" w:w="16838" w:h="11906"/>
      <w:pgMar w:left="1134" w:right="1134" w:header="0" w:top="993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 Unicode MS">
    <w:charset w:val="cc"/>
    <w:family w:val="roman"/>
    <w:pitch w:val="variable"/>
  </w:font>
  <w:font w:name="Andale Sans UI">
    <w:altName w:val="Arial Unicode MS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1495" w:hanging="360"/>
      </w:pPr>
      <w:rPr>
        <w:sz w:val="28"/>
        <w:b/>
        <w:szCs w:val="28"/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5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 w:val="20"/>
        <w:szCs w:val="22"/>
        <w:lang w:val="ru-RU" w:eastAsia="ru-RU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widowControl w:val="false"/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Normal"/>
    <w:next w:val="Style30"/>
    <w:qFormat/>
    <w:pPr>
      <w:tabs>
        <w:tab w:val="clear" w:pos="408"/>
        <w:tab w:val="left" w:pos="0" w:leader="none"/>
      </w:tabs>
      <w:suppressAutoHyphens w:val="true"/>
      <w:spacing w:lineRule="auto" w:line="240" w:before="280" w:after="280"/>
      <w:ind w:left="576" w:right="0" w:hanging="576"/>
      <w:outlineLvl w:val="1"/>
    </w:pPr>
    <w:rPr>
      <w:rFonts w:ascii="Times New Roman" w:hAnsi="Times New Roman" w:eastAsia="Times New Roman" w:cs="Times New Roman"/>
      <w:b/>
      <w:bCs/>
      <w:kern w:val="2"/>
      <w:sz w:val="36"/>
      <w:szCs w:val="36"/>
      <w:lang w:eastAsia="zh-CN"/>
    </w:rPr>
  </w:style>
  <w:style w:type="paragraph" w:styleId="3">
    <w:name w:val="Heading 3"/>
    <w:basedOn w:val="Normal"/>
    <w:next w:val="Style30"/>
    <w:qFormat/>
    <w:pPr>
      <w:tabs>
        <w:tab w:val="clear" w:pos="408"/>
        <w:tab w:val="left" w:pos="0" w:leader="none"/>
      </w:tabs>
      <w:suppressAutoHyphens w:val="true"/>
      <w:spacing w:lineRule="auto" w:line="240" w:before="280" w:after="280"/>
      <w:ind w:left="720" w:right="0" w:hanging="720"/>
      <w:outlineLvl w:val="2"/>
    </w:pPr>
    <w:rPr>
      <w:rFonts w:ascii="Times New Roman" w:hAnsi="Times New Roman" w:eastAsia="Times New Roman" w:cs="Times New Roman"/>
      <w:b/>
      <w:bCs/>
      <w:kern w:val="2"/>
      <w:sz w:val="27"/>
      <w:szCs w:val="27"/>
      <w:lang w:eastAsia="zh-CN"/>
    </w:rPr>
  </w:style>
  <w:style w:type="paragraph" w:styleId="4">
    <w:name w:val="Heading 4"/>
    <w:basedOn w:val="Normal"/>
    <w:next w:val="Style30"/>
    <w:qFormat/>
    <w:pPr>
      <w:tabs>
        <w:tab w:val="clear" w:pos="408"/>
        <w:tab w:val="left" w:pos="0" w:leader="none"/>
      </w:tabs>
      <w:suppressAutoHyphens w:val="true"/>
      <w:spacing w:lineRule="auto" w:line="240" w:before="280" w:after="280"/>
      <w:ind w:left="864" w:right="0" w:hanging="864"/>
      <w:outlineLvl w:val="3"/>
    </w:pPr>
    <w:rPr>
      <w:rFonts w:ascii="Times New Roman" w:hAnsi="Times New Roman" w:eastAsia="Times New Roman" w:cs="Times New Roman"/>
      <w:b/>
      <w:bCs/>
      <w:kern w:val="2"/>
      <w:sz w:val="24"/>
      <w:szCs w:val="24"/>
      <w:lang w:eastAsia="zh-CN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Arial" w:hAnsi="Arial" w:cs="Arial"/>
      <w:b/>
      <w:bCs/>
      <w:color w:val="26282F"/>
      <w:sz w:val="24"/>
      <w:szCs w:val="24"/>
    </w:rPr>
  </w:style>
  <w:style w:type="character" w:styleId="Style10">
    <w:name w:val="Гипертекстовая ссылка"/>
    <w:basedOn w:val="DefaultParagraphFont"/>
    <w:qFormat/>
    <w:rPr>
      <w:color w:val="106BBE"/>
    </w:rPr>
  </w:style>
  <w:style w:type="character" w:styleId="Style11">
    <w:name w:val="Цветовое выделение"/>
    <w:qFormat/>
    <w:rPr>
      <w:b/>
      <w:bCs/>
      <w:color w:val="26282F"/>
    </w:rPr>
  </w:style>
  <w:style w:type="character" w:styleId="WW8Num1z1">
    <w:name w:val="WW8Num1z1"/>
    <w:qFormat/>
    <w:rPr/>
  </w:style>
  <w:style w:type="character" w:styleId="Style12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21">
    <w:name w:val="Заголовок 2 Знак"/>
    <w:basedOn w:val="DefaultParagraphFont"/>
    <w:qFormat/>
    <w:rPr>
      <w:rFonts w:ascii="Times New Roman" w:hAnsi="Times New Roman" w:eastAsia="Times New Roman" w:cs="Times New Roman"/>
      <w:b/>
      <w:bCs/>
      <w:kern w:val="2"/>
      <w:sz w:val="36"/>
      <w:szCs w:val="36"/>
      <w:lang w:eastAsia="zh-CN"/>
    </w:rPr>
  </w:style>
  <w:style w:type="character" w:styleId="31">
    <w:name w:val="Заголовок 3 Знак"/>
    <w:basedOn w:val="DefaultParagraphFont"/>
    <w:qFormat/>
    <w:rPr>
      <w:rFonts w:ascii="Times New Roman" w:hAnsi="Times New Roman" w:eastAsia="Times New Roman" w:cs="Times New Roman"/>
      <w:b/>
      <w:bCs/>
      <w:kern w:val="2"/>
      <w:sz w:val="27"/>
      <w:szCs w:val="27"/>
      <w:lang w:eastAsia="zh-CN"/>
    </w:rPr>
  </w:style>
  <w:style w:type="character" w:styleId="41">
    <w:name w:val="Заголовок 4 Знак"/>
    <w:basedOn w:val="DefaultParagraphFont"/>
    <w:qFormat/>
    <w:rPr>
      <w:rFonts w:ascii="Times New Roman" w:hAnsi="Times New Roman" w:eastAsia="Times New Roman" w:cs="Times New Roman"/>
      <w:b/>
      <w:bCs/>
      <w:kern w:val="2"/>
      <w:sz w:val="24"/>
      <w:szCs w:val="24"/>
      <w:lang w:eastAsia="zh-CN"/>
    </w:rPr>
  </w:style>
  <w:style w:type="character" w:styleId="WW8Num1z0">
    <w:name w:val="WW8Num1z0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  <w:b/>
      <w:sz w:val="28"/>
      <w:szCs w:val="28"/>
    </w:rPr>
  </w:style>
  <w:style w:type="character" w:styleId="13">
    <w:name w:val="Основной шрифт абзаца13"/>
    <w:qFormat/>
    <w:rPr/>
  </w:style>
  <w:style w:type="character" w:styleId="WW8Num4z0">
    <w:name w:val="WW8Num4z0"/>
    <w:qFormat/>
    <w:rPr>
      <w:rFonts w:ascii="Symbol" w:hAnsi="Symbol" w:cs="Symbol"/>
      <w:sz w:val="28"/>
      <w:szCs w:val="28"/>
    </w:rPr>
  </w:style>
  <w:style w:type="character" w:styleId="WW8Num5z0">
    <w:name w:val="WW8Num5z0"/>
    <w:qFormat/>
    <w:rPr>
      <w:b/>
      <w:sz w:val="28"/>
      <w:szCs w:val="28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cs="Symbol"/>
      <w:sz w:val="28"/>
      <w:szCs w:val="28"/>
    </w:rPr>
  </w:style>
  <w:style w:type="character" w:styleId="12">
    <w:name w:val="Основной шрифт абзаца12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7z0">
    <w:name w:val="WW8Num7z0"/>
    <w:qFormat/>
    <w:rPr>
      <w:rFonts w:ascii="Symbol" w:hAnsi="Symbol" w:cs="Symbol"/>
      <w:sz w:val="28"/>
      <w:szCs w:val="28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8">
    <w:name w:val="Основной шрифт абзаца8"/>
    <w:qFormat/>
    <w:rPr/>
  </w:style>
  <w:style w:type="character" w:styleId="Style13">
    <w:name w:val="Символ нумерации"/>
    <w:qFormat/>
    <w:rPr/>
  </w:style>
  <w:style w:type="character" w:styleId="Style14">
    <w:name w:val="Интернет-ссылка"/>
    <w:rPr>
      <w:color w:val="000080"/>
      <w:u w:val="single"/>
    </w:rPr>
  </w:style>
  <w:style w:type="character" w:styleId="Style15">
    <w:name w:val="Знак"/>
    <w:qFormat/>
    <w:rPr>
      <w:rFonts w:eastAsia="Andale Sans UI"/>
      <w:kern w:val="2"/>
      <w:sz w:val="24"/>
      <w:szCs w:val="24"/>
    </w:rPr>
  </w:style>
  <w:style w:type="character" w:styleId="WW">
    <w:name w:val="WW- Знак"/>
    <w:qFormat/>
    <w:rPr>
      <w:rFonts w:eastAsia="Andale Sans UI"/>
      <w:kern w:val="2"/>
      <w:sz w:val="24"/>
      <w:szCs w:val="24"/>
    </w:rPr>
  </w:style>
  <w:style w:type="character" w:styleId="WW1">
    <w:name w:val="WW- Знак1"/>
    <w:qFormat/>
    <w:rPr>
      <w:b/>
      <w:bCs/>
      <w:sz w:val="36"/>
      <w:szCs w:val="36"/>
    </w:rPr>
  </w:style>
  <w:style w:type="character" w:styleId="WW12">
    <w:name w:val="WW- Знак12"/>
    <w:qFormat/>
    <w:rPr>
      <w:b/>
      <w:bCs/>
      <w:sz w:val="27"/>
      <w:szCs w:val="27"/>
    </w:rPr>
  </w:style>
  <w:style w:type="character" w:styleId="WW123">
    <w:name w:val="WW- Знак123"/>
    <w:qFormat/>
    <w:rPr>
      <w:b/>
      <w:bCs/>
      <w:sz w:val="24"/>
      <w:szCs w:val="24"/>
    </w:rPr>
  </w:style>
  <w:style w:type="character" w:styleId="7">
    <w:name w:val="Основной шрифт абзаца7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6">
    <w:name w:val="Основной шрифт абзаца6"/>
    <w:qFormat/>
    <w:rPr/>
  </w:style>
  <w:style w:type="character" w:styleId="5">
    <w:name w:val="Основной шрифт абзаца5"/>
    <w:qFormat/>
    <w:rPr/>
  </w:style>
  <w:style w:type="character" w:styleId="42">
    <w:name w:val="Основной шрифт абзаца4"/>
    <w:qFormat/>
    <w:rPr/>
  </w:style>
  <w:style w:type="character" w:styleId="32">
    <w:name w:val="Основной шрифт абзаца3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22">
    <w:name w:val="Основной шрифт абзаца2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cs="Times New Roman"/>
    </w:rPr>
  </w:style>
  <w:style w:type="character" w:styleId="WW8Num13z0">
    <w:name w:val="WW8Num13z0"/>
    <w:qFormat/>
    <w:rPr/>
  </w:style>
  <w:style w:type="character" w:styleId="14">
    <w:name w:val="Основной шрифт абзаца1"/>
    <w:qFormat/>
    <w:rPr/>
  </w:style>
  <w:style w:type="character" w:styleId="Appleconvertedspace">
    <w:name w:val="apple-converted-space"/>
    <w:qFormat/>
    <w:rPr/>
  </w:style>
  <w:style w:type="character" w:styleId="15">
    <w:name w:val="Знак примечания1"/>
    <w:qFormat/>
    <w:rPr>
      <w:sz w:val="16"/>
      <w:szCs w:val="16"/>
    </w:rPr>
  </w:style>
  <w:style w:type="character" w:styleId="Style16">
    <w:name w:val="Текст примечания Знак"/>
    <w:qFormat/>
    <w:rPr/>
  </w:style>
  <w:style w:type="character" w:styleId="Style17">
    <w:name w:val="Тема примечания Знак"/>
    <w:qFormat/>
    <w:rPr>
      <w:b/>
      <w:bCs/>
    </w:rPr>
  </w:style>
  <w:style w:type="character" w:styleId="33">
    <w:name w:val="Основной текст с отступом 3 Знак"/>
    <w:qFormat/>
    <w:rPr>
      <w:rFonts w:ascii="Times New Roman" w:hAnsi="Times New Roman" w:eastAsia="Times New Roman" w:cs="Times New Roman"/>
      <w:sz w:val="16"/>
      <w:szCs w:val="16"/>
      <w:lang w:val="en-US"/>
    </w:rPr>
  </w:style>
  <w:style w:type="character" w:styleId="HTML">
    <w:name w:val="Стандартный HTML Знак"/>
    <w:qFormat/>
    <w:rPr>
      <w:rFonts w:ascii="Courier New" w:hAnsi="Courier New" w:eastAsia="Times New Roman" w:cs="Courier New"/>
    </w:rPr>
  </w:style>
  <w:style w:type="character" w:styleId="Style18">
    <w:name w:val="Маркеры списка"/>
    <w:qFormat/>
    <w:rPr>
      <w:rFonts w:ascii="OpenSymbol" w:hAnsi="OpenSymbol" w:eastAsia="OpenSymbol" w:cs="OpenSymbol"/>
    </w:rPr>
  </w:style>
  <w:style w:type="character" w:styleId="WW1234">
    <w:name w:val="WW- Знак1234"/>
    <w:qFormat/>
    <w:rPr>
      <w:rFonts w:ascii="Tahoma" w:hAnsi="Tahoma" w:eastAsia="Calibri" w:cs="Tahoma"/>
      <w:sz w:val="16"/>
      <w:szCs w:val="16"/>
    </w:rPr>
  </w:style>
  <w:style w:type="character" w:styleId="WW12345">
    <w:name w:val="WW- Знак12345"/>
    <w:qFormat/>
    <w:rPr>
      <w:rFonts w:eastAsia="Andale Sans UI"/>
      <w:kern w:val="2"/>
    </w:rPr>
  </w:style>
  <w:style w:type="character" w:styleId="WW123456">
    <w:name w:val="WW- Знак123456"/>
    <w:qFormat/>
    <w:rPr>
      <w:rFonts w:ascii="Calibri" w:hAnsi="Calibri" w:eastAsia="Calibri" w:cs="Calibri"/>
      <w:b/>
      <w:bCs/>
      <w:kern w:val="2"/>
    </w:rPr>
  </w:style>
  <w:style w:type="character" w:styleId="WW1234567">
    <w:name w:val="WW- Знак1234567"/>
    <w:qFormat/>
    <w:rPr>
      <w:rFonts w:ascii="Courier New" w:hAnsi="Courier New" w:cs="Courier New"/>
    </w:rPr>
  </w:style>
  <w:style w:type="character" w:styleId="51">
    <w:name w:val="Знак Знак5"/>
    <w:qFormat/>
    <w:rPr>
      <w:rFonts w:eastAsia="Andale Sans UI"/>
      <w:kern w:val="2"/>
      <w:sz w:val="24"/>
      <w:szCs w:val="24"/>
    </w:rPr>
  </w:style>
  <w:style w:type="character" w:styleId="16">
    <w:name w:val="Заголовок №1_ Знак"/>
    <w:qFormat/>
    <w:rPr>
      <w:sz w:val="22"/>
      <w:szCs w:val="22"/>
      <w:highlight w:val="white"/>
    </w:rPr>
  </w:style>
  <w:style w:type="character" w:styleId="Style19">
    <w:name w:val="Колонтитул_ Знак"/>
    <w:qFormat/>
    <w:rPr>
      <w:highlight w:val="white"/>
      <w:lang w:val="ru-RU" w:eastAsia="ru-RU"/>
    </w:rPr>
  </w:style>
  <w:style w:type="character" w:styleId="Style20">
    <w:name w:val="Колонтитул"/>
    <w:qFormat/>
    <w:rPr/>
  </w:style>
  <w:style w:type="character" w:styleId="61">
    <w:name w:val="Знак Знак6"/>
    <w:qFormat/>
    <w:rPr>
      <w:rFonts w:eastAsia="Andale Sans UI"/>
      <w:kern w:val="2"/>
      <w:sz w:val="24"/>
      <w:szCs w:val="24"/>
    </w:rPr>
  </w:style>
  <w:style w:type="character" w:styleId="Style21">
    <w:name w:val="Основной текст + Полужирный"/>
    <w:qFormat/>
    <w:rPr>
      <w:rFonts w:eastAsia="Andale Sans UI"/>
      <w:b/>
      <w:bCs/>
      <w:kern w:val="2"/>
      <w:sz w:val="24"/>
      <w:szCs w:val="24"/>
    </w:rPr>
  </w:style>
  <w:style w:type="character" w:styleId="Style22">
    <w:name w:val="Знак Знак"/>
    <w:qFormat/>
    <w:rPr>
      <w:rFonts w:ascii="Arial Unicode MS" w:hAnsi="Arial Unicode MS" w:eastAsia="Arial Unicode MS" w:cs="Arial Unicode MS"/>
      <w:color w:val="000000"/>
    </w:rPr>
  </w:style>
  <w:style w:type="character" w:styleId="9">
    <w:name w:val="Знак Знак9"/>
    <w:qFormat/>
    <w:rPr>
      <w:b/>
      <w:bCs/>
      <w:kern w:val="2"/>
      <w:sz w:val="36"/>
      <w:szCs w:val="36"/>
    </w:rPr>
  </w:style>
  <w:style w:type="character" w:styleId="81">
    <w:name w:val="Знак Знак8"/>
    <w:qFormat/>
    <w:rPr>
      <w:b/>
      <w:bCs/>
      <w:kern w:val="2"/>
      <w:sz w:val="27"/>
      <w:szCs w:val="27"/>
    </w:rPr>
  </w:style>
  <w:style w:type="character" w:styleId="71">
    <w:name w:val="Знак Знак7"/>
    <w:qFormat/>
    <w:rPr>
      <w:b/>
      <w:bCs/>
      <w:kern w:val="2"/>
      <w:sz w:val="24"/>
      <w:szCs w:val="24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Style23">
    <w:name w:val="Нижний колонтитул Знак"/>
    <w:qFormat/>
    <w:rPr>
      <w:rFonts w:eastAsia="Andale Sans UI"/>
      <w:kern w:val="2"/>
      <w:sz w:val="24"/>
      <w:szCs w:val="24"/>
      <w:lang w:eastAsia="zh-CN"/>
    </w:rPr>
  </w:style>
  <w:style w:type="character" w:styleId="111">
    <w:name w:val="Основной шрифт абзаца11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10">
    <w:name w:val="Основной шрифт абзаца10"/>
    <w:qFormat/>
    <w:rPr/>
  </w:style>
  <w:style w:type="character" w:styleId="17">
    <w:name w:val="Верхний колонтитул Знак1"/>
    <w:qFormat/>
    <w:rPr>
      <w:rFonts w:ascii="Andale Sans UI" w:hAnsi="Andale Sans UI" w:eastAsia="Andale Sans UI" w:cs="Andale Sans UI"/>
      <w:kern w:val="2"/>
      <w:sz w:val="24"/>
      <w:szCs w:val="24"/>
    </w:rPr>
  </w:style>
  <w:style w:type="character" w:styleId="91">
    <w:name w:val="Основной шрифт абзаца9"/>
    <w:qFormat/>
    <w:rPr/>
  </w:style>
  <w:style w:type="character" w:styleId="18">
    <w:name w:val="Основной текст Знак1"/>
    <w:qFormat/>
    <w:rPr>
      <w:rFonts w:eastAsia="Andale Sans UI"/>
      <w:kern w:val="2"/>
      <w:sz w:val="24"/>
      <w:szCs w:val="24"/>
      <w:lang w:eastAsia="zh-CN"/>
    </w:rPr>
  </w:style>
  <w:style w:type="character" w:styleId="23">
    <w:name w:val="Верхний колонтитул Знак2"/>
    <w:qFormat/>
    <w:rPr>
      <w:rFonts w:eastAsia="Andale Sans UI"/>
      <w:kern w:val="2"/>
      <w:sz w:val="24"/>
      <w:szCs w:val="24"/>
      <w:lang w:eastAsia="zh-CN"/>
    </w:rPr>
  </w:style>
  <w:style w:type="character" w:styleId="43">
    <w:name w:val="Знак Знак4"/>
    <w:qFormat/>
    <w:rPr>
      <w:rFonts w:eastAsia="Andale Sans UI"/>
      <w:kern w:val="2"/>
      <w:sz w:val="24"/>
      <w:szCs w:val="24"/>
    </w:rPr>
  </w:style>
  <w:style w:type="character" w:styleId="34">
    <w:name w:val="Знак Знак3"/>
    <w:qFormat/>
    <w:rPr>
      <w:rFonts w:ascii="Tahoma" w:hAnsi="Tahoma" w:eastAsia="Calibri" w:cs="Tahoma"/>
      <w:kern w:val="2"/>
      <w:sz w:val="16"/>
      <w:szCs w:val="16"/>
    </w:rPr>
  </w:style>
  <w:style w:type="character" w:styleId="24">
    <w:name w:val="Текст примечания Знак2"/>
    <w:qFormat/>
    <w:rPr>
      <w:rFonts w:eastAsia="Andale Sans UI"/>
      <w:kern w:val="2"/>
      <w:lang w:eastAsia="zh-CN"/>
    </w:rPr>
  </w:style>
  <w:style w:type="character" w:styleId="25">
    <w:name w:val="Знак Знак2"/>
    <w:qFormat/>
    <w:rPr>
      <w:rFonts w:ascii="Calibri" w:hAnsi="Calibri" w:eastAsia="Calibri" w:cs="Calibri"/>
      <w:b/>
      <w:bCs/>
      <w:kern w:val="2"/>
    </w:rPr>
  </w:style>
  <w:style w:type="character" w:styleId="19">
    <w:name w:val="Знак Знак1"/>
    <w:qFormat/>
    <w:rPr>
      <w:rFonts w:ascii="Courier New" w:hAnsi="Courier New" w:cs="Courier New"/>
      <w:kern w:val="2"/>
    </w:rPr>
  </w:style>
  <w:style w:type="character" w:styleId="Style24">
    <w:name w:val="Основной текст Знак"/>
    <w:basedOn w:val="DefaultParagraphFont"/>
    <w:qFormat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Style25">
    <w:name w:val="Верхний колонтитул Знак"/>
    <w:basedOn w:val="DefaultParagraphFont"/>
    <w:qFormat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110">
    <w:name w:val="Нижний колонтитул Знак1"/>
    <w:basedOn w:val="DefaultParagraphFont"/>
    <w:qFormat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112">
    <w:name w:val="Текст выноски Знак1"/>
    <w:basedOn w:val="DefaultParagraphFont"/>
    <w:qFormat/>
    <w:rPr>
      <w:rFonts w:ascii="Tahoma" w:hAnsi="Tahoma" w:eastAsia="Calibri" w:cs="Tahoma"/>
      <w:kern w:val="2"/>
      <w:sz w:val="16"/>
      <w:szCs w:val="16"/>
      <w:lang w:eastAsia="zh-CN"/>
    </w:rPr>
  </w:style>
  <w:style w:type="character" w:styleId="113">
    <w:name w:val="Текст примечания Знак1"/>
    <w:basedOn w:val="DefaultParagraphFont"/>
    <w:qFormat/>
    <w:rPr>
      <w:sz w:val="20"/>
      <w:szCs w:val="20"/>
    </w:rPr>
  </w:style>
  <w:style w:type="character" w:styleId="114">
    <w:name w:val="Тема примечания Знак1"/>
    <w:basedOn w:val="113"/>
    <w:qFormat/>
    <w:rPr>
      <w:rFonts w:ascii="Calibri" w:hAnsi="Calibri" w:eastAsia="Calibri" w:cs="Times New Roman"/>
      <w:b/>
      <w:bCs/>
      <w:kern w:val="2"/>
      <w:sz w:val="20"/>
      <w:szCs w:val="20"/>
      <w:lang w:eastAsia="zh-CN"/>
    </w:rPr>
  </w:style>
  <w:style w:type="character" w:styleId="HTML1">
    <w:name w:val="Стандартный HTML Знак1"/>
    <w:basedOn w:val="DefaultParagraphFont"/>
    <w:qFormat/>
    <w:rPr>
      <w:rFonts w:ascii="Courier New" w:hAnsi="Courier New" w:eastAsia="Times New Roman" w:cs="Courier New"/>
      <w:kern w:val="2"/>
      <w:sz w:val="20"/>
      <w:szCs w:val="20"/>
      <w:lang w:eastAsia="zh-CN"/>
    </w:rPr>
  </w:style>
  <w:style w:type="character" w:styleId="141">
    <w:name w:val="Основной шрифт абзаца14"/>
    <w:qFormat/>
    <w:rPr/>
  </w:style>
  <w:style w:type="character" w:styleId="35">
    <w:name w:val="Верхний колонтитул Знак3"/>
    <w:basedOn w:val="DefaultParagraphFont"/>
    <w:qFormat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151">
    <w:name w:val="Основной шрифт абзаца15"/>
    <w:qFormat/>
    <w:rPr/>
  </w:style>
  <w:style w:type="character" w:styleId="26">
    <w:name w:val="Основной текст Знак2"/>
    <w:basedOn w:val="DefaultParagraphFont"/>
    <w:qFormat/>
    <w:rPr>
      <w:rFonts w:eastAsia="Andale Sans UI"/>
      <w:kern w:val="2"/>
      <w:sz w:val="24"/>
      <w:szCs w:val="24"/>
      <w:lang w:eastAsia="zh-CN"/>
    </w:rPr>
  </w:style>
  <w:style w:type="character" w:styleId="44">
    <w:name w:val="Верхний колонтитул Знак4"/>
    <w:basedOn w:val="DefaultParagraphFont"/>
    <w:qFormat/>
    <w:rPr>
      <w:rFonts w:eastAsia="Andale Sans UI"/>
      <w:kern w:val="2"/>
      <w:sz w:val="24"/>
      <w:szCs w:val="24"/>
      <w:lang w:eastAsia="zh-CN"/>
    </w:rPr>
  </w:style>
  <w:style w:type="character" w:styleId="27">
    <w:name w:val="Нижний колонтитул Знак2"/>
    <w:basedOn w:val="DefaultParagraphFont"/>
    <w:qFormat/>
    <w:rPr>
      <w:rFonts w:eastAsia="Andale Sans UI"/>
      <w:kern w:val="2"/>
      <w:sz w:val="24"/>
      <w:szCs w:val="24"/>
      <w:lang w:eastAsia="zh-CN"/>
    </w:rPr>
  </w:style>
  <w:style w:type="character" w:styleId="28">
    <w:name w:val="Текст выноски Знак2"/>
    <w:basedOn w:val="DefaultParagraphFont"/>
    <w:qFormat/>
    <w:rPr>
      <w:rFonts w:ascii="Tahoma" w:hAnsi="Tahoma" w:eastAsia="Calibri" w:cs="Tahoma"/>
      <w:kern w:val="2"/>
      <w:sz w:val="16"/>
      <w:szCs w:val="16"/>
      <w:lang w:eastAsia="zh-CN"/>
    </w:rPr>
  </w:style>
  <w:style w:type="character" w:styleId="36">
    <w:name w:val="Текст примечания Знак3"/>
    <w:basedOn w:val="DefaultParagraphFont"/>
    <w:qFormat/>
    <w:rPr>
      <w:rFonts w:eastAsia="Andale Sans UI"/>
      <w:kern w:val="2"/>
      <w:lang w:eastAsia="zh-CN"/>
    </w:rPr>
  </w:style>
  <w:style w:type="character" w:styleId="29">
    <w:name w:val="Тема примечания Знак2"/>
    <w:basedOn w:val="36"/>
    <w:qFormat/>
    <w:rPr>
      <w:rFonts w:ascii="Calibri" w:hAnsi="Calibri" w:eastAsia="Calibri"/>
      <w:b/>
      <w:bCs/>
      <w:kern w:val="2"/>
      <w:lang w:eastAsia="zh-CN"/>
    </w:rPr>
  </w:style>
  <w:style w:type="character" w:styleId="HTML2">
    <w:name w:val="Стандартный HTML Знак2"/>
    <w:basedOn w:val="DefaultParagraphFont"/>
    <w:qFormat/>
    <w:rPr>
      <w:rFonts w:ascii="Courier New" w:hAnsi="Courier New" w:cs="Courier New"/>
      <w:kern w:val="2"/>
      <w:lang w:eastAsia="zh-CN"/>
    </w:rPr>
  </w:style>
  <w:style w:type="character" w:styleId="161">
    <w:name w:val="Основной шрифт абзаца16"/>
    <w:qFormat/>
    <w:rPr/>
  </w:style>
  <w:style w:type="character" w:styleId="171">
    <w:name w:val="Основной шрифт абзаца17"/>
    <w:qFormat/>
    <w:rPr/>
  </w:style>
  <w:style w:type="character" w:styleId="181">
    <w:name w:val="Основной шрифт абзаца18"/>
    <w:qFormat/>
    <w:rPr/>
  </w:style>
  <w:style w:type="character" w:styleId="20">
    <w:name w:val="Основной шрифт абзаца20"/>
    <w:qFormat/>
    <w:rPr/>
  </w:style>
  <w:style w:type="character" w:styleId="191">
    <w:name w:val="Основной шрифт абзаца19"/>
    <w:qFormat/>
    <w:rPr/>
  </w:style>
  <w:style w:type="character" w:styleId="211">
    <w:name w:val="Основной шрифт абзаца21"/>
    <w:qFormat/>
    <w:rPr/>
  </w:style>
  <w:style w:type="character" w:styleId="221">
    <w:name w:val="Основной шрифт абзаца22"/>
    <w:qFormat/>
    <w:rPr/>
  </w:style>
  <w:style w:type="character" w:styleId="Style26">
    <w:name w:val="Название Знак"/>
    <w:basedOn w:val="DefaultParagraphFont"/>
    <w:qFormat/>
    <w:rPr>
      <w:rFonts w:ascii="Arial" w:hAnsi="Arial" w:eastAsia="Andale Sans UI" w:cs="Tahoma"/>
      <w:b/>
      <w:bCs/>
      <w:kern w:val="2"/>
      <w:sz w:val="56"/>
      <w:szCs w:val="56"/>
      <w:lang w:eastAsia="zh-CN"/>
    </w:rPr>
  </w:style>
  <w:style w:type="character" w:styleId="Style27">
    <w:name w:val="Подзаголовок Знак"/>
    <w:basedOn w:val="DefaultParagraphFont"/>
    <w:qFormat/>
    <w:rPr>
      <w:rFonts w:ascii="Arial" w:hAnsi="Arial" w:eastAsia="Andale Sans UI" w:cs="Tahoma"/>
      <w:kern w:val="2"/>
      <w:sz w:val="36"/>
      <w:szCs w:val="36"/>
      <w:lang w:eastAsia="zh-CN"/>
    </w:rPr>
  </w:style>
  <w:style w:type="character" w:styleId="Style28">
    <w:name w:val="Посещённая гиперссылка"/>
    <w:rPr>
      <w:color w:val="800080"/>
      <w:u w:val="single"/>
    </w:rPr>
  </w:style>
  <w:style w:type="paragraph" w:styleId="Style29">
    <w:name w:val="Заголовок"/>
    <w:basedOn w:val="Normal"/>
    <w:next w:val="Style30"/>
    <w:qFormat/>
    <w:pPr>
      <w:keepNext w:val="true"/>
      <w:widowControl w:val="false"/>
      <w:suppressAutoHyphens w:val="true"/>
      <w:spacing w:lineRule="auto" w:line="240" w:before="240" w:after="120"/>
    </w:pPr>
    <w:rPr>
      <w:rFonts w:ascii="Arial" w:hAnsi="Arial" w:eastAsia="Andale Sans UI" w:cs="Tahoma"/>
      <w:kern w:val="2"/>
      <w:sz w:val="28"/>
      <w:szCs w:val="28"/>
      <w:lang w:eastAsia="zh-CN"/>
    </w:rPr>
  </w:style>
  <w:style w:type="paragraph" w:styleId="Style30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31">
    <w:name w:val="List"/>
    <w:basedOn w:val="Style30"/>
    <w:pPr/>
    <w:rPr>
      <w:rFonts w:cs="Tahoma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Arial"/>
    </w:rPr>
  </w:style>
  <w:style w:type="paragraph" w:styleId="Style34">
    <w:name w:val="Информация об изменениях"/>
    <w:basedOn w:val="Normal"/>
    <w:next w:val="Normal"/>
    <w:qFormat/>
    <w:pPr>
      <w:widowControl w:val="false"/>
      <w:spacing w:lineRule="auto" w:line="240" w:before="180" w:after="0"/>
      <w:ind w:left="360" w:right="360" w:hanging="0"/>
      <w:jc w:val="both"/>
    </w:pPr>
    <w:rPr>
      <w:rFonts w:ascii="Arial" w:hAnsi="Arial" w:cs="Arial"/>
      <w:color w:val="353842"/>
      <w:sz w:val="18"/>
      <w:szCs w:val="18"/>
      <w:highlight w:val="cyan"/>
    </w:rPr>
  </w:style>
  <w:style w:type="paragraph" w:styleId="Style35">
    <w:name w:val="Нормальный (таблица)"/>
    <w:basedOn w:val="Normal"/>
    <w:next w:val="Normal"/>
    <w:qFormat/>
    <w:pPr>
      <w:widowControl w:val="false"/>
      <w:spacing w:lineRule="auto" w:line="240" w:before="0" w:after="0"/>
      <w:jc w:val="both"/>
    </w:pPr>
    <w:rPr>
      <w:rFonts w:ascii="Arial" w:hAnsi="Arial" w:cs="Arial"/>
      <w:sz w:val="24"/>
      <w:szCs w:val="24"/>
    </w:rPr>
  </w:style>
  <w:style w:type="paragraph" w:styleId="Style36">
    <w:name w:val="Подзаголовок для информации об изменениях"/>
    <w:basedOn w:val="Normal"/>
    <w:next w:val="Normal"/>
    <w:qFormat/>
    <w:pPr>
      <w:widowControl w:val="false"/>
      <w:spacing w:lineRule="auto" w:line="240" w:before="0" w:after="0"/>
      <w:ind w:left="0" w:right="0"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Style37">
    <w:name w:val="Прижатый влево"/>
    <w:basedOn w:val="Normal"/>
    <w:next w:val="Normal"/>
    <w:qFormat/>
    <w:pPr>
      <w:widowControl w:val="false"/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Style38">
    <w:name w:val="Комментарий"/>
    <w:basedOn w:val="Normal"/>
    <w:next w:val="Normal"/>
    <w:qFormat/>
    <w:pPr>
      <w:widowControl w:val="false"/>
      <w:spacing w:lineRule="auto" w:line="240" w:before="75" w:after="0"/>
      <w:ind w:left="170" w:right="0" w:hanging="0"/>
      <w:jc w:val="both"/>
    </w:pPr>
    <w:rPr>
      <w:rFonts w:ascii="Arial" w:hAnsi="Arial" w:cs="Arial"/>
      <w:color w:val="353842"/>
      <w:sz w:val="24"/>
      <w:szCs w:val="24"/>
      <w:highlight w:val="white"/>
    </w:rPr>
  </w:style>
  <w:style w:type="paragraph" w:styleId="Style39">
    <w:name w:val="Информация об изменениях документа"/>
    <w:basedOn w:val="Style38"/>
    <w:next w:val="Normal"/>
    <w:qFormat/>
    <w:pPr/>
    <w:rPr>
      <w:i/>
      <w:iCs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31">
    <w:name w:val="Указатель13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52">
    <w:name w:val="Название объекта5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21">
    <w:name w:val="Указатель12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82">
    <w:name w:val="Название8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83">
    <w:name w:val="Указатель8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115">
    <w:name w:val="Название1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Tahoma"/>
      <w:i/>
      <w:iCs/>
      <w:kern w:val="2"/>
      <w:sz w:val="24"/>
      <w:szCs w:val="24"/>
      <w:lang w:eastAsia="zh-CN"/>
    </w:rPr>
  </w:style>
  <w:style w:type="paragraph" w:styleId="116">
    <w:name w:val="Указатель1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Tahoma"/>
      <w:kern w:val="2"/>
      <w:sz w:val="24"/>
      <w:szCs w:val="24"/>
      <w:lang w:eastAsia="zh-CN"/>
    </w:rPr>
  </w:style>
  <w:style w:type="paragraph" w:styleId="Style40">
    <w:name w:val="Содержимое таблицы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41">
    <w:name w:val="Заголовок таблицы"/>
    <w:basedOn w:val="Style40"/>
    <w:qFormat/>
    <w:pPr>
      <w:jc w:val="center"/>
    </w:pPr>
    <w:rPr>
      <w:b/>
      <w:bCs/>
    </w:rPr>
  </w:style>
  <w:style w:type="paragraph" w:styleId="Style42">
    <w:name w:val="Верхний и нижний колонтитулы"/>
    <w:basedOn w:val="Normal"/>
    <w:qFormat/>
    <w:pPr/>
    <w:rPr/>
  </w:style>
  <w:style w:type="paragraph" w:styleId="Style43">
    <w:name w:val="Header"/>
    <w:basedOn w:val="Normal"/>
    <w:pPr>
      <w:widowControl w:val="false"/>
      <w:tabs>
        <w:tab w:val="clear" w:pos="408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44">
    <w:name w:val="Footer"/>
    <w:basedOn w:val="Normal"/>
    <w:pPr>
      <w:widowControl w:val="false"/>
      <w:tabs>
        <w:tab w:val="clear" w:pos="408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72">
    <w:name w:val="Название7"/>
    <w:basedOn w:val="Normal"/>
    <w:qFormat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73">
    <w:name w:val="Указатель7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kern w:val="2"/>
      <w:sz w:val="24"/>
      <w:szCs w:val="24"/>
      <w:lang w:eastAsia="zh-CN"/>
    </w:rPr>
  </w:style>
  <w:style w:type="paragraph" w:styleId="62">
    <w:name w:val="Название6"/>
    <w:basedOn w:val="Normal"/>
    <w:qFormat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63">
    <w:name w:val="Указатель6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kern w:val="2"/>
      <w:sz w:val="24"/>
      <w:szCs w:val="24"/>
      <w:lang w:eastAsia="zh-CN"/>
    </w:rPr>
  </w:style>
  <w:style w:type="paragraph" w:styleId="53">
    <w:name w:val="Название5"/>
    <w:basedOn w:val="Normal"/>
    <w:qFormat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54">
    <w:name w:val="Указатель5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kern w:val="2"/>
      <w:sz w:val="24"/>
      <w:szCs w:val="24"/>
      <w:lang w:eastAsia="zh-CN"/>
    </w:rPr>
  </w:style>
  <w:style w:type="paragraph" w:styleId="45">
    <w:name w:val="Название4"/>
    <w:basedOn w:val="Normal"/>
    <w:qFormat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46">
    <w:name w:val="Указатель4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kern w:val="2"/>
      <w:sz w:val="24"/>
      <w:szCs w:val="24"/>
      <w:lang w:eastAsia="zh-CN"/>
    </w:rPr>
  </w:style>
  <w:style w:type="paragraph" w:styleId="37">
    <w:name w:val="Название3"/>
    <w:basedOn w:val="Normal"/>
    <w:qFormat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38">
    <w:name w:val="Указатель3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kern w:val="2"/>
      <w:sz w:val="24"/>
      <w:szCs w:val="24"/>
      <w:lang w:eastAsia="zh-CN"/>
    </w:rPr>
  </w:style>
  <w:style w:type="paragraph" w:styleId="210">
    <w:name w:val="Название2"/>
    <w:basedOn w:val="Normal"/>
    <w:qFormat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212">
    <w:name w:val="Указатель2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kern w:val="2"/>
      <w:sz w:val="24"/>
      <w:szCs w:val="24"/>
      <w:lang w:eastAsia="zh-CN"/>
    </w:rPr>
  </w:style>
  <w:style w:type="paragraph" w:styleId="ListParagraph">
    <w:name w:val="List Paragraph"/>
    <w:basedOn w:val="Normal"/>
    <w:qFormat/>
    <w:pPr>
      <w:suppressAutoHyphens w:val="true"/>
      <w:ind w:left="720" w:right="0" w:hanging="0"/>
    </w:pPr>
    <w:rPr>
      <w:rFonts w:ascii="Calibri" w:hAnsi="Calibri" w:eastAsia="Calibri" w:cs="Calibri"/>
      <w:kern w:val="2"/>
      <w:lang w:eastAsia="zh-CN"/>
    </w:rPr>
  </w:style>
  <w:style w:type="paragraph" w:styleId="ConsPlusCell">
    <w:name w:val="ConsPlusCell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117">
    <w:name w:val="Текст примечания1"/>
    <w:basedOn w:val="Normal"/>
    <w:qFormat/>
    <w:pPr>
      <w:suppressAutoHyphens w:val="true"/>
    </w:pPr>
    <w:rPr>
      <w:rFonts w:ascii="Calibri" w:hAnsi="Calibri" w:eastAsia="Calibri" w:cs="Calibri"/>
      <w:kern w:val="2"/>
      <w:sz w:val="20"/>
      <w:szCs w:val="20"/>
      <w:lang w:eastAsia="zh-CN"/>
    </w:rPr>
  </w:style>
  <w:style w:type="paragraph" w:styleId="213">
    <w:name w:val="Текст примечания2"/>
    <w:basedOn w:val="Normal"/>
    <w:qFormat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kern w:val="2"/>
      <w:sz w:val="20"/>
      <w:szCs w:val="20"/>
      <w:lang w:eastAsia="zh-CN"/>
    </w:rPr>
  </w:style>
  <w:style w:type="paragraph" w:styleId="39">
    <w:name w:val="Текст примечания3"/>
    <w:basedOn w:val="Normal"/>
    <w:qFormat/>
    <w:pPr>
      <w:widowControl w:val="false"/>
      <w:suppressAutoHyphens w:val="true"/>
      <w:spacing w:lineRule="auto" w:line="240" w:before="0" w:after="0"/>
    </w:pPr>
    <w:rPr>
      <w:rFonts w:ascii="Times New Roman" w:hAnsi="Times New Roman" w:eastAsia="Andale Sans UI" w:cs="Times New Roman"/>
      <w:kern w:val="2"/>
      <w:sz w:val="20"/>
      <w:szCs w:val="20"/>
      <w:lang w:eastAsia="zh-CN"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117"/>
    <w:next w:val="117"/>
    <w:qFormat/>
    <w:pPr/>
    <w:rPr>
      <w:rFonts w:cs="Times New Roman"/>
      <w:b/>
      <w:bCs/>
    </w:rPr>
  </w:style>
  <w:style w:type="paragraph" w:styleId="ConsTitle">
    <w:name w:val="ConsTitle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zh-CN" w:bidi="ar-SA"/>
    </w:rPr>
  </w:style>
  <w:style w:type="paragraph" w:styleId="CharCharCarCarCharCharCarCarCharCharCarCarCharChar">
    <w:name w:val="Char Char Car Car Char Char Car Car Char Char Car Car Char Char"/>
    <w:basedOn w:val="Normal"/>
    <w:qFormat/>
    <w:pPr>
      <w:suppressAutoHyphens w:val="true"/>
      <w:spacing w:lineRule="exact" w:line="240" w:before="0" w:after="160"/>
    </w:pPr>
    <w:rPr>
      <w:rFonts w:ascii="Times New Roman" w:hAnsi="Times New Roman" w:eastAsia="Times New Roman" w:cs="Times New Roman"/>
      <w:kern w:val="2"/>
      <w:sz w:val="20"/>
      <w:szCs w:val="20"/>
      <w:lang w:eastAsia="zh-CN"/>
    </w:rPr>
  </w:style>
  <w:style w:type="paragraph" w:styleId="311">
    <w:name w:val="Основной текст с отступом 31"/>
    <w:basedOn w:val="Normal"/>
    <w:qFormat/>
    <w:pPr>
      <w:suppressAutoHyphens w:val="true"/>
      <w:spacing w:lineRule="auto" w:line="240" w:before="0" w:after="120"/>
      <w:ind w:left="283" w:right="0" w:hanging="0"/>
    </w:pPr>
    <w:rPr>
      <w:rFonts w:ascii="Times New Roman" w:hAnsi="Times New Roman" w:eastAsia="Times New Roman" w:cs="Times New Roman"/>
      <w:kern w:val="2"/>
      <w:sz w:val="16"/>
      <w:szCs w:val="16"/>
      <w:lang w:val="en-US" w:eastAsia="zh-CN"/>
    </w:rPr>
  </w:style>
  <w:style w:type="paragraph" w:styleId="ConsPlusNonformat">
    <w:name w:val="ConsPlusNonformat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HTMLPreformatted">
    <w:name w:val="HTML Preformatted"/>
    <w:basedOn w:val="Normal"/>
    <w:qFormat/>
    <w:pPr>
      <w:tabs>
        <w:tab w:val="clear" w:pos="4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spacing w:lineRule="auto" w:line="240" w:before="0" w:after="0"/>
    </w:pPr>
    <w:rPr>
      <w:rFonts w:ascii="Courier New" w:hAnsi="Courier New" w:eastAsia="Times New Roman" w:cs="Courier New"/>
      <w:kern w:val="2"/>
      <w:sz w:val="20"/>
      <w:szCs w:val="20"/>
      <w:lang w:eastAsia="zh-CN"/>
    </w:rPr>
  </w:style>
  <w:style w:type="paragraph" w:styleId="NormalWeb">
    <w:name w:val="Normal (Web)"/>
    <w:basedOn w:val="Normal"/>
    <w:qFormat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kern w:val="2"/>
      <w:sz w:val="24"/>
      <w:szCs w:val="24"/>
      <w:lang w:eastAsia="zh-CN"/>
    </w:rPr>
  </w:style>
  <w:style w:type="paragraph" w:styleId="S1">
    <w:name w:val="s_1"/>
    <w:basedOn w:val="Normal"/>
    <w:qFormat/>
    <w:pPr>
      <w:spacing w:lineRule="auto" w:line="240" w:before="0" w:after="0"/>
      <w:ind w:left="0" w:right="0" w:firstLine="720"/>
      <w:jc w:val="both"/>
    </w:pPr>
    <w:rPr>
      <w:rFonts w:ascii="Arial" w:hAnsi="Arial" w:eastAsia="Times New Roman" w:cs="Arial"/>
      <w:kern w:val="2"/>
      <w:sz w:val="26"/>
      <w:szCs w:val="26"/>
      <w:lang w:eastAsia="zh-CN"/>
    </w:rPr>
  </w:style>
  <w:style w:type="paragraph" w:styleId="118">
    <w:name w:val="Название объекта1"/>
    <w:basedOn w:val="Normal"/>
    <w:next w:val="Normal"/>
    <w:qFormat/>
    <w:pPr>
      <w:spacing w:lineRule="auto" w:line="240" w:before="0" w:after="0"/>
      <w:jc w:val="right"/>
    </w:pPr>
    <w:rPr>
      <w:rFonts w:ascii="Times New Roman" w:hAnsi="Times New Roman" w:eastAsia="Calibri" w:cs="Times New Roman"/>
      <w:kern w:val="2"/>
      <w:sz w:val="28"/>
      <w:szCs w:val="20"/>
      <w:lang w:eastAsia="zh-CN"/>
    </w:rPr>
  </w:style>
  <w:style w:type="paragraph" w:styleId="Style45">
    <w:name w:val="Содержимое врезки"/>
    <w:basedOn w:val="Style30"/>
    <w:qFormat/>
    <w:pPr/>
    <w:rPr/>
  </w:style>
  <w:style w:type="paragraph" w:styleId="119">
    <w:name w:val="Заголовок №1_"/>
    <w:basedOn w:val="Normal"/>
    <w:qFormat/>
    <w:pPr>
      <w:shd w:val="clear" w:fill="FFFFFF"/>
      <w:spacing w:lineRule="exact" w:line="257" w:before="0" w:after="0"/>
      <w:jc w:val="center"/>
    </w:pPr>
    <w:rPr>
      <w:rFonts w:ascii="Times New Roman" w:hAnsi="Times New Roman" w:eastAsia="Times New Roman" w:cs="Times New Roman"/>
      <w:b/>
      <w:bCs/>
      <w:kern w:val="2"/>
      <w:lang w:eastAsia="zh-CN"/>
    </w:rPr>
  </w:style>
  <w:style w:type="paragraph" w:styleId="Style46">
    <w:name w:val="Колонтитул_"/>
    <w:basedOn w:val="Normal"/>
    <w:qFormat/>
    <w:pPr>
      <w:shd w:val="clear" w:fill="FFFFFF"/>
      <w:spacing w:lineRule="auto" w:line="240" w:before="0" w:after="0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55">
    <w:name w:val="Текст примечания5"/>
    <w:basedOn w:val="Normal"/>
    <w:qFormat/>
    <w:pPr>
      <w:spacing w:lineRule="auto" w:line="240" w:before="0" w:after="0"/>
    </w:pPr>
    <w:rPr>
      <w:rFonts w:ascii="Arial Unicode MS" w:hAnsi="Arial Unicode MS" w:eastAsia="Arial Unicode MS" w:cs="Arial Unicode MS"/>
      <w:color w:val="000000"/>
      <w:kern w:val="2"/>
      <w:sz w:val="20"/>
      <w:szCs w:val="20"/>
      <w:lang w:eastAsia="zh-CN"/>
    </w:rPr>
  </w:style>
  <w:style w:type="paragraph" w:styleId="47">
    <w:name w:val="Название объекта4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110">
    <w:name w:val="Указатель11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310">
    <w:name w:val="Название объекта3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01">
    <w:name w:val="Указатель10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48">
    <w:name w:val="Текст примечания4"/>
    <w:basedOn w:val="Normal"/>
    <w:qFormat/>
    <w:pPr>
      <w:spacing w:lineRule="auto" w:line="240" w:before="0" w:after="0"/>
    </w:pPr>
    <w:rPr>
      <w:rFonts w:ascii="Arial Unicode MS" w:hAnsi="Arial Unicode MS" w:eastAsia="Arial Unicode MS" w:cs="Arial Unicode MS"/>
      <w:color w:val="000000"/>
      <w:kern w:val="2"/>
      <w:sz w:val="20"/>
      <w:szCs w:val="20"/>
      <w:lang w:eastAsia="zh-CN"/>
    </w:rPr>
  </w:style>
  <w:style w:type="paragraph" w:styleId="214">
    <w:name w:val="Название объекта2"/>
    <w:basedOn w:val="Normal"/>
    <w:qFormat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92">
    <w:name w:val="Указатель9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kern w:val="2"/>
      <w:sz w:val="24"/>
      <w:szCs w:val="24"/>
      <w:lang w:eastAsia="zh-CN"/>
    </w:rPr>
  </w:style>
  <w:style w:type="paragraph" w:styleId="Formattexttopleveltext">
    <w:name w:val="formattext topleveltext"/>
    <w:basedOn w:val="Normal"/>
    <w:qFormat/>
    <w:pPr>
      <w:suppressAutoHyphens w:val="true"/>
      <w:spacing w:lineRule="auto" w:line="240" w:before="100" w:after="100"/>
    </w:pPr>
    <w:rPr>
      <w:rFonts w:ascii="Times New Roman" w:hAnsi="Times New Roman" w:eastAsia="Times New Roman" w:cs="Times New Roman"/>
      <w:kern w:val="2"/>
      <w:sz w:val="24"/>
      <w:szCs w:val="24"/>
      <w:lang w:eastAsia="zh-CN"/>
    </w:rPr>
  </w:style>
  <w:style w:type="paragraph" w:styleId="120">
    <w:name w:val="Заголовок №1"/>
    <w:basedOn w:val="Normal"/>
    <w:qFormat/>
    <w:pPr>
      <w:shd w:val="clear" w:fill="FFFFFF"/>
      <w:spacing w:lineRule="exact" w:line="257" w:before="0" w:after="0"/>
      <w:jc w:val="center"/>
    </w:pPr>
    <w:rPr>
      <w:rFonts w:ascii="Times New Roman" w:hAnsi="Times New Roman" w:eastAsia="Andale Sans UI" w:cs="Times New Roman"/>
      <w:b/>
      <w:bCs/>
      <w:kern w:val="2"/>
      <w:lang w:eastAsia="zh-CN"/>
    </w:rPr>
  </w:style>
  <w:style w:type="paragraph" w:styleId="122">
    <w:name w:val="Колонтитул1"/>
    <w:basedOn w:val="Normal"/>
    <w:qFormat/>
    <w:pPr>
      <w:shd w:val="clear" w:fill="FFFFFF"/>
      <w:spacing w:lineRule="auto" w:line="240" w:before="0" w:after="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142">
    <w:name w:val="Указатель14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64">
    <w:name w:val="Название объекта6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52">
    <w:name w:val="Указатель15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74">
    <w:name w:val="Название объекта7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65">
    <w:name w:val="Текст примечания6"/>
    <w:basedOn w:val="Normal"/>
    <w:qFormat/>
    <w:pPr>
      <w:spacing w:lineRule="auto" w:line="240"/>
    </w:pPr>
    <w:rPr>
      <w:rFonts w:ascii="Calibri" w:hAnsi="Calibri" w:eastAsia="Times New Roman" w:cs="Times New Roman"/>
      <w:kern w:val="2"/>
      <w:sz w:val="20"/>
      <w:szCs w:val="20"/>
      <w:lang w:eastAsia="zh-CN"/>
    </w:rPr>
  </w:style>
  <w:style w:type="paragraph" w:styleId="Style47">
    <w:name w:val="Блочная цитата"/>
    <w:basedOn w:val="Normal"/>
    <w:qFormat/>
    <w:pPr>
      <w:widowControl w:val="false"/>
      <w:suppressAutoHyphens w:val="true"/>
      <w:spacing w:lineRule="auto" w:line="240" w:before="0" w:after="283"/>
      <w:ind w:left="567" w:right="567" w:hanging="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162">
    <w:name w:val="Указатель16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84">
    <w:name w:val="Название объекта8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72">
    <w:name w:val="Указатель17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93">
    <w:name w:val="Название объекта9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82">
    <w:name w:val="Указатель18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102">
    <w:name w:val="Название объекта10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201">
    <w:name w:val="Указатель20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123">
    <w:name w:val="Название объекта12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192">
    <w:name w:val="Указатель19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1111">
    <w:name w:val="Название объекта11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215">
    <w:name w:val="Указатель21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132">
    <w:name w:val="Название объекта13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222">
    <w:name w:val="Указатель22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Mangal"/>
      <w:kern w:val="2"/>
      <w:sz w:val="24"/>
      <w:szCs w:val="24"/>
      <w:lang w:eastAsia="zh-CN"/>
    </w:rPr>
  </w:style>
  <w:style w:type="paragraph" w:styleId="143">
    <w:name w:val="Название объекта14"/>
    <w:basedOn w:val="Normal"/>
    <w:qFormat/>
    <w:pPr>
      <w:widowControl w:val="false"/>
      <w:suppressLineNumbers/>
      <w:suppressAutoHyphens w:val="true"/>
      <w:spacing w:lineRule="auto" w:line="240" w:before="120" w:after="120"/>
    </w:pPr>
    <w:rPr>
      <w:rFonts w:ascii="Times New Roman" w:hAnsi="Times New Roman" w:eastAsia="Andale Sans UI" w:cs="Mangal"/>
      <w:i/>
      <w:iCs/>
      <w:kern w:val="2"/>
      <w:sz w:val="24"/>
      <w:szCs w:val="24"/>
      <w:lang w:eastAsia="zh-CN"/>
    </w:rPr>
  </w:style>
  <w:style w:type="paragraph" w:styleId="Style48">
    <w:name w:val="Title"/>
    <w:basedOn w:val="Style29"/>
    <w:next w:val="Style30"/>
    <w:qFormat/>
    <w:pPr>
      <w:jc w:val="center"/>
    </w:pPr>
    <w:rPr>
      <w:b/>
      <w:bCs/>
      <w:sz w:val="56"/>
      <w:szCs w:val="56"/>
    </w:rPr>
  </w:style>
  <w:style w:type="paragraph" w:styleId="Style49">
    <w:name w:val="Subtitle"/>
    <w:basedOn w:val="Style29"/>
    <w:next w:val="Style30"/>
    <w:qFormat/>
    <w:pPr>
      <w:spacing w:before="60" w:after="120"/>
      <w:jc w:val="center"/>
    </w:pPr>
    <w:rPr>
      <w:sz w:val="36"/>
      <w:szCs w:val="36"/>
    </w:rPr>
  </w:style>
  <w:style w:type="paragraph" w:styleId="Style50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>
    <w:name w:val="No List"/>
    <w:qFormat/>
  </w:style>
  <w:style w:type="numbering" w:styleId="124">
    <w:name w:val="Нет списка1"/>
    <w:qFormat/>
  </w:style>
  <w:style w:type="numbering" w:styleId="216">
    <w:name w:val="Нет списка2"/>
    <w:qFormat/>
  </w:style>
  <w:style w:type="numbering" w:styleId="312">
    <w:name w:val="Нет списка3"/>
    <w:qFormat/>
  </w:style>
  <w:style w:type="numbering" w:styleId="49">
    <w:name w:val="Нет списка4"/>
    <w:qFormat/>
  </w:style>
  <w:style w:type="numbering" w:styleId="WW8Num6">
    <w:name w:val="WW8Num6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70070946.0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Application>LibreOffice/6.3.2.2$Windows_x86 LibreOffice_project/98b30e735bda24bc04ab42594c85f7fd8be07b9c</Application>
  <Pages>76</Pages>
  <Words>15592</Words>
  <Characters>101657</Characters>
  <CharactersWithSpaces>113175</CharactersWithSpaces>
  <Paragraphs>5927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2018-12-10T11:05:00Z</dcterms:created>
  <dc:creator>skrebchova</dc:creator>
  <dc:description/>
  <dc:language>ru-RU</dc:language>
  <cp:lastModifiedBy/>
  <cp:lastPrinted>2017-06-13T06:45:00Z</cp:lastPrinted>
  <dcterms:modified xsi:type="dcterms:W3CDTF">2020-03-26T10:24:46Z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