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муниципального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0101A1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c>
          <w:tcPr>
            <w:tcW w:w="3463" w:type="dxa"/>
            <w:gridSpan w:val="3"/>
          </w:tcPr>
          <w:p w:rsidR="00095E21" w:rsidRPr="005E20FC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5E20FC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E20FC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5E20FC">
              <w:rPr>
                <w:sz w:val="28"/>
                <w:szCs w:val="28"/>
              </w:rPr>
              <w:t>муниципальной</w:t>
            </w:r>
            <w:proofErr w:type="gramEnd"/>
            <w:r w:rsidRPr="005E20FC">
              <w:rPr>
                <w:sz w:val="28"/>
                <w:szCs w:val="28"/>
              </w:rPr>
              <w:t xml:space="preserve">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E20FC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5E20FC">
              <w:rPr>
                <w:sz w:val="28"/>
                <w:szCs w:val="28"/>
              </w:rPr>
              <w:t>числе</w:t>
            </w:r>
            <w:proofErr w:type="gramEnd"/>
            <w:r w:rsidRPr="005E20FC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CE1AF2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095E21" w:rsidRPr="005E20FC" w:rsidRDefault="00095E21" w:rsidP="00095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</w:t>
            </w:r>
            <w:r w:rsidR="00C12F3F">
              <w:rPr>
                <w:rFonts w:ascii="Times New Roman" w:hAnsi="Times New Roman"/>
                <w:sz w:val="28"/>
                <w:szCs w:val="28"/>
              </w:rPr>
              <w:t>891 </w:t>
            </w:r>
            <w:r w:rsidR="001054DD">
              <w:rPr>
                <w:rFonts w:ascii="Times New Roman" w:hAnsi="Times New Roman"/>
                <w:sz w:val="28"/>
                <w:szCs w:val="28"/>
              </w:rPr>
              <w:t>7</w:t>
            </w:r>
            <w:r w:rsidR="00C12F3F">
              <w:rPr>
                <w:rFonts w:ascii="Times New Roman" w:hAnsi="Times New Roman"/>
                <w:sz w:val="28"/>
                <w:szCs w:val="28"/>
              </w:rPr>
              <w:t>35,3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12F3F" w:rsidRPr="005E20FC" w:rsidRDefault="00C12F3F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средств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едерального бюджета </w:t>
            </w:r>
            <w:r w:rsidR="001054D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4DD">
              <w:rPr>
                <w:rFonts w:ascii="Times New Roman" w:hAnsi="Times New Roman"/>
                <w:sz w:val="28"/>
                <w:szCs w:val="28"/>
              </w:rPr>
              <w:t>7091,4</w:t>
            </w:r>
            <w:r>
              <w:rPr>
                <w:rFonts w:ascii="Times New Roman" w:hAnsi="Times New Roman"/>
                <w:sz w:val="28"/>
                <w:szCs w:val="28"/>
              </w:rPr>
              <w:t> 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E20FC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12F3F" w:rsidRDefault="00C12F3F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5E20F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5E20FC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1054DD">
              <w:rPr>
                <w:rFonts w:ascii="Times New Roman" w:hAnsi="Times New Roman"/>
                <w:sz w:val="28"/>
                <w:szCs w:val="28"/>
              </w:rPr>
              <w:t>34711,5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 руб.;</w:t>
            </w:r>
          </w:p>
          <w:p w:rsidR="00095E21" w:rsidRPr="005E20FC" w:rsidRDefault="00095E21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средств местного бюджета – 820</w:t>
            </w:r>
            <w:r w:rsidR="001054DD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C12F3F">
              <w:rPr>
                <w:rFonts w:ascii="Times New Roman" w:hAnsi="Times New Roman"/>
                <w:sz w:val="28"/>
                <w:szCs w:val="28"/>
              </w:rPr>
              <w:t>10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>,</w:t>
            </w:r>
            <w:r w:rsidR="00C12F3F">
              <w:rPr>
                <w:rFonts w:ascii="Times New Roman" w:hAnsi="Times New Roman"/>
                <w:sz w:val="28"/>
                <w:szCs w:val="28"/>
              </w:rPr>
              <w:t>1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 тыс.  руб.; </w:t>
            </w:r>
          </w:p>
          <w:p w:rsidR="000E403E" w:rsidRPr="003479E0" w:rsidRDefault="00095E21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 – </w:t>
            </w:r>
            <w:r w:rsidR="00C12F3F">
              <w:rPr>
                <w:rFonts w:ascii="Times New Roman" w:hAnsi="Times New Roman"/>
                <w:sz w:val="28"/>
                <w:szCs w:val="28"/>
              </w:rPr>
              <w:t>29 222,3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Pr="00666D07" w:rsidRDefault="00200880" w:rsidP="0020088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451" w:type="dxa"/>
        <w:tblInd w:w="108" w:type="dxa"/>
        <w:tblLayout w:type="fixed"/>
        <w:tblLook w:val="00A0"/>
      </w:tblPr>
      <w:tblGrid>
        <w:gridCol w:w="697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200880" w:rsidTr="00E007F5">
        <w:trPr>
          <w:trHeight w:val="15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00880" w:rsidTr="00E007F5">
        <w:trPr>
          <w:trHeight w:val="623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80" w:rsidRDefault="00200880" w:rsidP="00E007F5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9B729D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200880" w:rsidTr="00E007F5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200880" w:rsidTr="00E007F5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200880" w:rsidTr="00E007F5">
        <w:trPr>
          <w:trHeight w:val="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200880" w:rsidTr="00E007F5">
        <w:trPr>
          <w:trHeight w:val="20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D704C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D704C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147994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147994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147994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147994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95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00880" w:rsidTr="00E007F5">
        <w:trPr>
          <w:trHeight w:val="3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получателей услуг (пользователей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357C6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7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100E8C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200880" w:rsidTr="00E007F5">
        <w:trPr>
          <w:trHeight w:val="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0880" w:rsidTr="00E007F5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200880" w:rsidTr="00E007F5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200880" w:rsidTr="00E007F5">
        <w:trPr>
          <w:trHeight w:val="9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3E5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200880" w:rsidTr="00E007F5">
        <w:trPr>
          <w:trHeight w:val="5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1422FB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B9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CD71F7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0880" w:rsidRDefault="00200880" w:rsidP="00200880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101A3D">
        <w:rPr>
          <w:rFonts w:ascii="Times New Roman" w:hAnsi="Times New Roman" w:cs="Times New Roman"/>
          <w:sz w:val="24"/>
          <w:szCs w:val="24"/>
        </w:rPr>
        <w:t xml:space="preserve">                   С.В. Филатова</w:t>
      </w:r>
    </w:p>
    <w:p w:rsidR="00200880" w:rsidRPr="00BA4B7B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B07A70" w:rsidRPr="007D1F61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8" w:type="dxa"/>
        <w:tblInd w:w="88" w:type="dxa"/>
        <w:tblLayout w:type="fixed"/>
        <w:tblLook w:val="04A0"/>
      </w:tblPr>
      <w:tblGrid>
        <w:gridCol w:w="15188"/>
      </w:tblGrid>
      <w:tr w:rsidR="007D1F61" w:rsidRPr="007D1F61" w:rsidTr="007D1F61">
        <w:trPr>
          <w:trHeight w:val="171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103" w:type="dxa"/>
              <w:tblInd w:w="93" w:type="dxa"/>
              <w:tblLayout w:type="fixed"/>
              <w:tblLook w:val="04A0"/>
            </w:tblPr>
            <w:tblGrid>
              <w:gridCol w:w="15103"/>
            </w:tblGrid>
            <w:tr w:rsidR="00B07A70" w:rsidRPr="00C34798" w:rsidTr="004874EC">
              <w:trPr>
                <w:trHeight w:val="100"/>
              </w:trPr>
              <w:tc>
                <w:tcPr>
                  <w:tcW w:w="1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7A70" w:rsidRDefault="00B07A70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ПЕРЕЧЕНЬ ОСНОВНЫХ МЕРОПРИЯТИЙ МУНИЦИПАЛЬНОЙ ПРОГРАММЫ</w:t>
                  </w: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«РАЗВИТИЕ КУЛЬТУРЫ» </w:t>
                  </w:r>
                </w:p>
                <w:tbl>
                  <w:tblPr>
                    <w:tblW w:w="15466" w:type="dxa"/>
                    <w:tblInd w:w="93" w:type="dxa"/>
                    <w:tblLayout w:type="fixed"/>
                    <w:tblLook w:val="04A0"/>
                  </w:tblPr>
                  <w:tblGrid>
                    <w:gridCol w:w="696"/>
                    <w:gridCol w:w="3028"/>
                    <w:gridCol w:w="1276"/>
                    <w:gridCol w:w="992"/>
                    <w:gridCol w:w="1134"/>
                    <w:gridCol w:w="1134"/>
                    <w:gridCol w:w="1134"/>
                    <w:gridCol w:w="1276"/>
                    <w:gridCol w:w="992"/>
                    <w:gridCol w:w="992"/>
                    <w:gridCol w:w="2812"/>
                  </w:tblGrid>
                  <w:tr w:rsidR="00582253" w:rsidRPr="00B2604A" w:rsidTr="00582253">
                    <w:trPr>
                      <w:trHeight w:val="690"/>
                    </w:trPr>
                    <w:tc>
                      <w:tcPr>
                        <w:tcW w:w="6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 подпрограммы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Статус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прог-раммы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Объем финансирования,  тыс. рублей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Муниципальный 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заказчик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,г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лавный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распорядитель (распорядитель) бюджетных средств, исполнитель</w:t>
                        </w:r>
                      </w:p>
                    </w:tc>
                  </w:tr>
                  <w:tr w:rsidR="00582253" w:rsidRPr="00B2604A" w:rsidTr="00582253">
                    <w:trPr>
                      <w:trHeight w:val="49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том числе в разрезе источников финансирования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990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бюджет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82253" w:rsidRPr="00B2604A" w:rsidTr="00582253">
                    <w:trPr>
                      <w:trHeight w:val="36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 основных мероприятий  программы «Развитие культуры» всего в том числе: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886507,2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30932,0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819261,5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29222,3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 культуры 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министрации МО Кавказский район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74429,2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8624,4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59036,3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6713,5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71364,6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8441,0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61335,1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1532,5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83969,3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73579,4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4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86916,8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79377,1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92570,0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88998,2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40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103815,9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830,7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93800,6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93408,2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7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Основное мероприятие №1 «Руководство и управление в сфере культуры и искусства»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6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Мероприятие № 1.1 «Расходы на обеспечение функций органов местного самоуправления в сфере культуры и искусства»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9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Основное мероприятие № 2 «Реализация дополнительных 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предпрофессиональных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общеобразовательных программ в области искусств»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656187,9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22366,6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598562,4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-не менее 14 % детей в возрасте от 5 до 18 лет будут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получать услуги в детских школах искусств;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повышение качества и введение новых  муниципальных услуг в сфере культуры и искусства Кавказского района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-не менее 14 % детей в возрасте от 5 до 18 лет будут получать услуги в -не менее 14 % детей в возрасте от 5 до 18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лет будут получать услуги в детских школах искусств;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повышение качества и введение новых  муниципальных услуг в сфере культуры и искусства Кавказского района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582253" w:rsidRPr="00B2604A" w:rsidTr="00582253">
                    <w:trPr>
                      <w:trHeight w:val="55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54595,8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7185,1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41087,9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52064,8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7327,5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43585,5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62972,1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54843,3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63681,9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59845,9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67393,2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63894,8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78238,9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68297,0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69303,1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645717,6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595952,1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54512,3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51835,9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43572,5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69734,6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67358,0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18907,3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7485,9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374,3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4309,8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2.1.2 «Расходы на содержание муниципальных учреждений: МБУ ДО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ДШИ ст. 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Казанской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МБУ ДО ДШИ ст. Кавказской, МБУ ДО ДМШ 1 им. Г.В. Свиридова, МБУ ДО ДХШ, МБУ ДО ДМШ № 2»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619718,9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591268,0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47026,4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40703,6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39262,7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69734,6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67358,0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25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педагогическим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работ-никам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муниципальных учреждений, проживающим и работающим в сельских населенных пунктах на территории Краснодарского края»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Мероприятие № 2.3 «Компенсация расходов на оплату жилых помещений, отопления и освещения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педагогическим работникам государственных и муниципальных учреждений, проживающим и работающим в сельской местности»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3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7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2.4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2.5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Укрепление материально-технической базы, техническое оснащения муниципальных учреждений культуры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7043,5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5899,2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капитальный ремонт здания МБУ ДО ДШИ ст. Кавказской, укрепление материально-технич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еской базы МБУ ДО детская художественная школа г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ропоткин 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6044,3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899,2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2.6 Укрепление материально-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технической базы, технического оснащения муниципальных учреждений дополнительного образования детей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2.7 Наказы избирателей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Улучшение материально-технической базы Детской школы искусств  ст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азанской </w:t>
                        </w: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2.8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организаций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в сфере культуры музыкальными инструментами, оборудованием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и учебными материалами в рамках реализации регионального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>проекта "Культурная среда"</w:t>
                        </w:r>
                      </w:p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ретение музыкальных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инструментов,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оборудования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учебных материалов для МБУ ДО ДМШ № 1 им. Г.В. Свиридова г. Кропоткин и ДШИ ст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азанской МО Кавказский район</w:t>
                        </w: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3 «Организация библиотечного обслуживания населения муниципального образования Кавказский район»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40477,9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35828,5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мероприятий по привлечению читателей в библиотеки района;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- увеличение средней заработной платы работников культуры;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повышение качества предоставляемых  услуг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 проведение мероприятий по привлечение читателей в библиотеки района;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 увеличение средне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й заработной платы работников культуры;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повышение качества предоставляемых  услуг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3020,2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2324,3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2987,2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2407,1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1853,9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4541,7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4468,3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3.1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«Расходы на обеспечение деятельности (оказание услуг) муниципальных учреждений сферы культуры»,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34856,8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33662,8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2859,0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2218,1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2824,1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2271,0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1800,8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1127,4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574,3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3.1.2 «Расходы на содержание муниципальных учреждений: МКУК «ЦМБ»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2185,6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3.2 «Компенсация расходов на оплату жилых помещений, отопления и освещения </w:t>
                        </w:r>
                        <w:proofErr w:type="spell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работни-кам</w:t>
                        </w:r>
                        <w:proofErr w:type="spell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государственных и муниципальных учреждений, </w:t>
                        </w: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проживающим</w:t>
                        </w:r>
                        <w:proofErr w:type="gramEnd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работающим в сельской местности»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3.3 «Комплектование книжных фондов библиотек муниципального образования Кавказский район»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255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3.4. «Осуществление полномочий по комплектованию книжных фондов библиотек поселений, переданных из поселений муниципального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образования Кавказский район»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2951,1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1248,3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717,1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2367,5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531,2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3.6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#################################################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6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№4 «Методическое обслуживание учреждений культуры»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40495,3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4200,6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36273,7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3296,6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2261,0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36479,0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1963,1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841,7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3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4.1.2 «Расходы на содержание муниципальных учреждений: МКУК «ОМЦ»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34515,9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34494,9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1979,0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6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1175,7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1703,3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900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№5 «Обеспечение организации и осуществления бухгалтерского учета»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114949,7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114200,5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оказание услуг по бухгалтерскому и налоговому учету муниципальным учреждениям Кавказского района 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60"/>
                    </w:trPr>
                    <w:tc>
                      <w:tcPr>
                        <w:tcW w:w="69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5.1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114949,7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114200,5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98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6 «Создание условий для организации досуга и культуры»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культу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рно-массовых мероприятий;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обеспечение 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участия учреждений культуры и учащихся школ дополнительного образования  в краевых, всероссийских фестивалях и конкурсах.</w:t>
                        </w: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p w:rsidR="00582253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2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00"/>
                    </w:trPr>
                    <w:tc>
                      <w:tcPr>
                        <w:tcW w:w="6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6.1</w:t>
                        </w:r>
                      </w:p>
                    </w:tc>
                    <w:tc>
                      <w:tcPr>
                        <w:tcW w:w="302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6.1 «Расходы на организацию и проведение мероприятий в области культуры, популяризации здорового образа жизни»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2253" w:rsidRPr="00B2604A" w:rsidTr="00582253">
                    <w:trPr>
                      <w:trHeight w:val="315"/>
                    </w:trPr>
                    <w:tc>
                      <w:tcPr>
                        <w:tcW w:w="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28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2604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2253" w:rsidRPr="00B2604A" w:rsidRDefault="00582253" w:rsidP="000B2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2253" w:rsidRDefault="00582253" w:rsidP="00582253"/>
                <w:p w:rsidR="00582253" w:rsidRDefault="00582253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P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Заместитель главы  МО Кавказский район                                                                                                                       </w:t>
                  </w:r>
                  <w:r w:rsidR="007E03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С.В. Филатова</w:t>
                  </w: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Pr="00C34798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C30D2" w:rsidRPr="007D1F61" w:rsidRDefault="00DC30D2" w:rsidP="00E00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07F5" w:rsidRDefault="00E007F5" w:rsidP="00F2631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58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7E03A4" w:rsidRDefault="007E03A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7E03A4" w:rsidRDefault="007E03A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7E03A4" w:rsidRDefault="007E03A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Default="00F2631F" w:rsidP="00F2631F">
      <w:pPr>
        <w:suppressAutoHyphens/>
        <w:rPr>
          <w:rFonts w:ascii="Times New Roman" w:hAnsi="Times New Roman"/>
          <w:shd w:val="clear" w:color="auto" w:fill="FFFFFF"/>
        </w:rPr>
      </w:pP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>Объем финансовых ресурсов, предусмотренных</w:t>
      </w: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4797" w:type="dxa"/>
        <w:tblLayout w:type="fixed"/>
        <w:tblLook w:val="04A0"/>
      </w:tblPr>
      <w:tblGrid>
        <w:gridCol w:w="657"/>
        <w:gridCol w:w="3846"/>
        <w:gridCol w:w="1269"/>
        <w:gridCol w:w="1410"/>
        <w:gridCol w:w="1833"/>
        <w:gridCol w:w="1833"/>
        <w:gridCol w:w="1832"/>
        <w:gridCol w:w="2117"/>
      </w:tblGrid>
      <w:tr w:rsidR="0091030C" w:rsidRPr="00101A3D" w:rsidTr="00551B38">
        <w:trPr>
          <w:trHeight w:val="49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</w:t>
            </w: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90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91030C" w:rsidRPr="00101A3D" w:rsidTr="00551B38">
        <w:trPr>
          <w:trHeight w:val="49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91030C" w:rsidRPr="00101A3D" w:rsidTr="00551B38">
        <w:trPr>
          <w:trHeight w:val="9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30C" w:rsidRPr="00101A3D" w:rsidTr="00551B38">
        <w:trPr>
          <w:trHeight w:val="628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891735,3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34711,5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820710,1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91030C" w:rsidRPr="00101A3D" w:rsidTr="00551B38">
        <w:trPr>
          <w:trHeight w:val="34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91030C" w:rsidRPr="00101A3D" w:rsidTr="00551B38">
        <w:trPr>
          <w:trHeight w:val="329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91030C" w:rsidRPr="00101A3D" w:rsidTr="00551B38">
        <w:trPr>
          <w:trHeight w:val="403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106345,9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93927,1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299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886507,2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30932,0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819261,5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103815,9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93800,6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643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26818,9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26818,9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254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656187,9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22366,6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598562,4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78238,9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68297,0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69303,1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91030C" w:rsidRPr="00101A3D" w:rsidTr="00551B38">
        <w:trPr>
          <w:trHeight w:val="254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40477,9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4364,8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35828,5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4420,4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40495,3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36273,7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30C" w:rsidRPr="00101A3D" w:rsidTr="00551B38">
        <w:trPr>
          <w:trHeight w:val="269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114949,7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114200,5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13005,5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29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7577,5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7577,5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59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030C" w:rsidRPr="00101A3D" w:rsidTr="00551B38">
        <w:trPr>
          <w:trHeight w:val="31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30C" w:rsidRPr="00101A3D" w:rsidRDefault="0091030C" w:rsidP="0055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1030C" w:rsidRDefault="0091030C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P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С.В.Филатова</w:t>
      </w:r>
    </w:p>
    <w:p w:rsidR="00D36784" w:rsidRDefault="00D36784" w:rsidP="00E56859">
      <w:pPr>
        <w:spacing w:after="0" w:line="240" w:lineRule="auto"/>
        <w:rPr>
          <w:rFonts w:ascii="Times New Roman" w:hAnsi="Times New Roman"/>
        </w:rPr>
      </w:pPr>
    </w:p>
    <w:p w:rsidR="007E03A4" w:rsidRDefault="007E03A4" w:rsidP="00E56859">
      <w:pPr>
        <w:spacing w:after="0" w:line="240" w:lineRule="auto"/>
        <w:rPr>
          <w:rFonts w:ascii="Times New Roman" w:hAnsi="Times New Roman"/>
        </w:rPr>
      </w:pPr>
    </w:p>
    <w:p w:rsidR="007E03A4" w:rsidRDefault="007E03A4" w:rsidP="00E56859">
      <w:pPr>
        <w:spacing w:after="0" w:line="240" w:lineRule="auto"/>
        <w:rPr>
          <w:rFonts w:ascii="Times New Roman" w:hAnsi="Times New Roman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E6" w:rsidRDefault="001B55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осваивающих дополнительные образовательные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E7" w:rsidRDefault="007550E7" w:rsidP="003E0DCB">
      <w:pPr>
        <w:spacing w:after="0" w:line="240" w:lineRule="auto"/>
      </w:pPr>
      <w:r>
        <w:separator/>
      </w:r>
    </w:p>
  </w:endnote>
  <w:endnote w:type="continuationSeparator" w:id="0">
    <w:p w:rsidR="007550E7" w:rsidRDefault="007550E7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E7" w:rsidRDefault="007550E7" w:rsidP="003E0DCB">
      <w:pPr>
        <w:spacing w:after="0" w:line="240" w:lineRule="auto"/>
      </w:pPr>
      <w:r>
        <w:separator/>
      </w:r>
    </w:p>
  </w:footnote>
  <w:footnote w:type="continuationSeparator" w:id="0">
    <w:p w:rsidR="007550E7" w:rsidRDefault="007550E7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38" w:rsidRPr="005C5022" w:rsidRDefault="00551B38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9D3769">
      <w:rPr>
        <w:rFonts w:ascii="Times New Roman" w:hAnsi="Times New Roman"/>
        <w:noProof/>
      </w:rPr>
      <w:t>20</w:t>
    </w:r>
    <w:r w:rsidRPr="005C5022">
      <w:rPr>
        <w:rFonts w:ascii="Times New Roman" w:hAnsi="Times New Roman"/>
      </w:rPr>
      <w:fldChar w:fldCharType="end"/>
    </w:r>
  </w:p>
  <w:p w:rsidR="00551B38" w:rsidRPr="005C5022" w:rsidRDefault="00551B38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41F3A"/>
    <w:rsid w:val="000439AE"/>
    <w:rsid w:val="00044896"/>
    <w:rsid w:val="000876DD"/>
    <w:rsid w:val="00090E36"/>
    <w:rsid w:val="00095E21"/>
    <w:rsid w:val="000A246B"/>
    <w:rsid w:val="000B0203"/>
    <w:rsid w:val="000C09A0"/>
    <w:rsid w:val="000E0B28"/>
    <w:rsid w:val="000E0BF1"/>
    <w:rsid w:val="000E2FC9"/>
    <w:rsid w:val="000E403E"/>
    <w:rsid w:val="00101A3D"/>
    <w:rsid w:val="00102862"/>
    <w:rsid w:val="001044F2"/>
    <w:rsid w:val="001054DD"/>
    <w:rsid w:val="00107DC1"/>
    <w:rsid w:val="0012093E"/>
    <w:rsid w:val="00120C1F"/>
    <w:rsid w:val="00121063"/>
    <w:rsid w:val="001258CC"/>
    <w:rsid w:val="00126AEB"/>
    <w:rsid w:val="00136A3A"/>
    <w:rsid w:val="001422FB"/>
    <w:rsid w:val="00143002"/>
    <w:rsid w:val="00147994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1F47F7"/>
    <w:rsid w:val="00200880"/>
    <w:rsid w:val="00204C00"/>
    <w:rsid w:val="00214241"/>
    <w:rsid w:val="00227699"/>
    <w:rsid w:val="00227A82"/>
    <w:rsid w:val="00232E05"/>
    <w:rsid w:val="00233FEE"/>
    <w:rsid w:val="00254E74"/>
    <w:rsid w:val="00257E1B"/>
    <w:rsid w:val="00271EBE"/>
    <w:rsid w:val="00272323"/>
    <w:rsid w:val="0029321D"/>
    <w:rsid w:val="002A47DE"/>
    <w:rsid w:val="002B2A34"/>
    <w:rsid w:val="002B7972"/>
    <w:rsid w:val="002C5AC4"/>
    <w:rsid w:val="002C6753"/>
    <w:rsid w:val="002E4C9B"/>
    <w:rsid w:val="002E71E6"/>
    <w:rsid w:val="002F2C55"/>
    <w:rsid w:val="002F72D6"/>
    <w:rsid w:val="003071D5"/>
    <w:rsid w:val="003177C8"/>
    <w:rsid w:val="0032578D"/>
    <w:rsid w:val="003353AE"/>
    <w:rsid w:val="003479E0"/>
    <w:rsid w:val="0035042D"/>
    <w:rsid w:val="00363C32"/>
    <w:rsid w:val="00372864"/>
    <w:rsid w:val="003771D9"/>
    <w:rsid w:val="003803FB"/>
    <w:rsid w:val="00382085"/>
    <w:rsid w:val="00395229"/>
    <w:rsid w:val="00395C86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638CB"/>
    <w:rsid w:val="00465C03"/>
    <w:rsid w:val="004663CB"/>
    <w:rsid w:val="0047618F"/>
    <w:rsid w:val="004874EC"/>
    <w:rsid w:val="004A234E"/>
    <w:rsid w:val="004A5121"/>
    <w:rsid w:val="004B3ED1"/>
    <w:rsid w:val="004D0FED"/>
    <w:rsid w:val="004D2996"/>
    <w:rsid w:val="004D643D"/>
    <w:rsid w:val="004D7C0C"/>
    <w:rsid w:val="004E1686"/>
    <w:rsid w:val="004F4FB7"/>
    <w:rsid w:val="005024F2"/>
    <w:rsid w:val="005178CA"/>
    <w:rsid w:val="0052045C"/>
    <w:rsid w:val="0052226E"/>
    <w:rsid w:val="005324DF"/>
    <w:rsid w:val="005405E3"/>
    <w:rsid w:val="0054100F"/>
    <w:rsid w:val="00543B8B"/>
    <w:rsid w:val="00547FC4"/>
    <w:rsid w:val="00551B38"/>
    <w:rsid w:val="00577B64"/>
    <w:rsid w:val="00582253"/>
    <w:rsid w:val="005C2104"/>
    <w:rsid w:val="005C4D02"/>
    <w:rsid w:val="005C53D1"/>
    <w:rsid w:val="005C687D"/>
    <w:rsid w:val="005D4BCC"/>
    <w:rsid w:val="005E3264"/>
    <w:rsid w:val="0061402D"/>
    <w:rsid w:val="00622B98"/>
    <w:rsid w:val="006277BA"/>
    <w:rsid w:val="00641054"/>
    <w:rsid w:val="00651682"/>
    <w:rsid w:val="006533B9"/>
    <w:rsid w:val="00660413"/>
    <w:rsid w:val="00663A83"/>
    <w:rsid w:val="006659C8"/>
    <w:rsid w:val="0068735F"/>
    <w:rsid w:val="006876B1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F0F73"/>
    <w:rsid w:val="00712F99"/>
    <w:rsid w:val="007147CA"/>
    <w:rsid w:val="00716AC8"/>
    <w:rsid w:val="00720C2C"/>
    <w:rsid w:val="007343B4"/>
    <w:rsid w:val="007436C6"/>
    <w:rsid w:val="00752E62"/>
    <w:rsid w:val="007550E7"/>
    <w:rsid w:val="007619EF"/>
    <w:rsid w:val="00764D1C"/>
    <w:rsid w:val="0078631A"/>
    <w:rsid w:val="007B1ACF"/>
    <w:rsid w:val="007B72C2"/>
    <w:rsid w:val="007C1085"/>
    <w:rsid w:val="007C1600"/>
    <w:rsid w:val="007C7837"/>
    <w:rsid w:val="007D1F61"/>
    <w:rsid w:val="007E03A4"/>
    <w:rsid w:val="007E5DC5"/>
    <w:rsid w:val="00800BFE"/>
    <w:rsid w:val="00812E07"/>
    <w:rsid w:val="00815600"/>
    <w:rsid w:val="008316BC"/>
    <w:rsid w:val="00831AD6"/>
    <w:rsid w:val="00850C20"/>
    <w:rsid w:val="00876588"/>
    <w:rsid w:val="008945CD"/>
    <w:rsid w:val="008A617A"/>
    <w:rsid w:val="008C551D"/>
    <w:rsid w:val="008C5D01"/>
    <w:rsid w:val="008E0DCE"/>
    <w:rsid w:val="008F019E"/>
    <w:rsid w:val="008F40F3"/>
    <w:rsid w:val="0091030C"/>
    <w:rsid w:val="009120AF"/>
    <w:rsid w:val="0091224B"/>
    <w:rsid w:val="009260EF"/>
    <w:rsid w:val="0093153A"/>
    <w:rsid w:val="00936D8C"/>
    <w:rsid w:val="009442FD"/>
    <w:rsid w:val="00965092"/>
    <w:rsid w:val="009722C5"/>
    <w:rsid w:val="00986477"/>
    <w:rsid w:val="00995E4E"/>
    <w:rsid w:val="0099616E"/>
    <w:rsid w:val="009A7311"/>
    <w:rsid w:val="009B0F1B"/>
    <w:rsid w:val="009C4A62"/>
    <w:rsid w:val="009D3769"/>
    <w:rsid w:val="009E0E00"/>
    <w:rsid w:val="009E4949"/>
    <w:rsid w:val="00A0504F"/>
    <w:rsid w:val="00A07D5E"/>
    <w:rsid w:val="00A27899"/>
    <w:rsid w:val="00A36735"/>
    <w:rsid w:val="00A4331C"/>
    <w:rsid w:val="00A4346B"/>
    <w:rsid w:val="00A4520A"/>
    <w:rsid w:val="00A45E28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A70"/>
    <w:rsid w:val="00B07FA6"/>
    <w:rsid w:val="00B2491C"/>
    <w:rsid w:val="00B25088"/>
    <w:rsid w:val="00B30E63"/>
    <w:rsid w:val="00B40020"/>
    <w:rsid w:val="00B479AD"/>
    <w:rsid w:val="00B55D2B"/>
    <w:rsid w:val="00B72C70"/>
    <w:rsid w:val="00B80596"/>
    <w:rsid w:val="00B83A71"/>
    <w:rsid w:val="00B901F9"/>
    <w:rsid w:val="00B90ABA"/>
    <w:rsid w:val="00BA0A0A"/>
    <w:rsid w:val="00BB12E0"/>
    <w:rsid w:val="00BB16EB"/>
    <w:rsid w:val="00BB4962"/>
    <w:rsid w:val="00BC1324"/>
    <w:rsid w:val="00BD64E8"/>
    <w:rsid w:val="00BE43F0"/>
    <w:rsid w:val="00BF6217"/>
    <w:rsid w:val="00C12F3F"/>
    <w:rsid w:val="00C21C6C"/>
    <w:rsid w:val="00C23524"/>
    <w:rsid w:val="00C34798"/>
    <w:rsid w:val="00C35FD9"/>
    <w:rsid w:val="00C36E4B"/>
    <w:rsid w:val="00C43270"/>
    <w:rsid w:val="00C44223"/>
    <w:rsid w:val="00C44412"/>
    <w:rsid w:val="00C64548"/>
    <w:rsid w:val="00C66AA0"/>
    <w:rsid w:val="00C90083"/>
    <w:rsid w:val="00CA07AF"/>
    <w:rsid w:val="00CB54FB"/>
    <w:rsid w:val="00CB7DAE"/>
    <w:rsid w:val="00CD44A7"/>
    <w:rsid w:val="00CD48ED"/>
    <w:rsid w:val="00CD71F7"/>
    <w:rsid w:val="00CE14D2"/>
    <w:rsid w:val="00CF05F9"/>
    <w:rsid w:val="00D075A4"/>
    <w:rsid w:val="00D251F4"/>
    <w:rsid w:val="00D347AF"/>
    <w:rsid w:val="00D36784"/>
    <w:rsid w:val="00D42054"/>
    <w:rsid w:val="00D5080B"/>
    <w:rsid w:val="00D518D8"/>
    <w:rsid w:val="00D62F34"/>
    <w:rsid w:val="00D6741E"/>
    <w:rsid w:val="00D71FE0"/>
    <w:rsid w:val="00D7549D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5574"/>
    <w:rsid w:val="00E0656A"/>
    <w:rsid w:val="00E07E62"/>
    <w:rsid w:val="00E27CE7"/>
    <w:rsid w:val="00E43146"/>
    <w:rsid w:val="00E5215F"/>
    <w:rsid w:val="00E56859"/>
    <w:rsid w:val="00E6049D"/>
    <w:rsid w:val="00E60CB7"/>
    <w:rsid w:val="00E67DA9"/>
    <w:rsid w:val="00E82F43"/>
    <w:rsid w:val="00EB72E1"/>
    <w:rsid w:val="00EC746C"/>
    <w:rsid w:val="00ED5A33"/>
    <w:rsid w:val="00F00827"/>
    <w:rsid w:val="00F066CF"/>
    <w:rsid w:val="00F17DBE"/>
    <w:rsid w:val="00F22C3E"/>
    <w:rsid w:val="00F2631F"/>
    <w:rsid w:val="00F42CA3"/>
    <w:rsid w:val="00F475D7"/>
    <w:rsid w:val="00F56953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FE15-BA47-410C-80F3-C0ED44FF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60</Pages>
  <Words>13521</Words>
  <Characters>77070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231</cp:revision>
  <cp:lastPrinted>2017-02-01T13:49:00Z</cp:lastPrinted>
  <dcterms:created xsi:type="dcterms:W3CDTF">2016-01-29T11:05:00Z</dcterms:created>
  <dcterms:modified xsi:type="dcterms:W3CDTF">2020-04-14T09:36:00Z</dcterms:modified>
</cp:coreProperties>
</file>