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 г. N 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февраля 2020 года № 178, 20 апреля 2020 года № 451,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 июня 2020 г. № 647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информационное и методическое сопровождение деятельности учреждений отрасли образования». 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комплексов;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медицинских осмотров лиц, занимающихся физической культурой и спортом, по углубленной программе медицинского обследования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>
            <w:pPr>
              <w:pStyle w:val="Normal"/>
              <w:spacing w:lineRule="auto" w:line="240" w:before="0" w:after="86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финансирования муниципальной программы   составляет – 12 283 225,4 тыс. руб., в том числе: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средств краевого бюджета – 8 233 965,7 тыс.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средств краевого бюджета, источником финансового обеспечения которого являются средства федерального бюджета – 16 833,8 тыс.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средств местного бюджета – 3 316 736,9 тыс. руб.;   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76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из внебюджетных источников –  715 689,0 тыс. руб.,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5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11"/>
      <w:bookmarkStart w:id="8" w:name="sub_208"/>
      <w:bookmarkStart w:id="9" w:name="sub_20811"/>
      <w:bookmarkStart w:id="10" w:name="sub_208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5"/>
        <w:gridCol w:w="4138"/>
        <w:gridCol w:w="4"/>
        <w:gridCol w:w="933"/>
        <w:gridCol w:w="4"/>
        <w:gridCol w:w="823"/>
        <w:gridCol w:w="2"/>
        <w:gridCol w:w="778"/>
        <w:gridCol w:w="1"/>
        <w:gridCol w:w="781"/>
        <w:gridCol w:w="4"/>
        <w:gridCol w:w="780"/>
        <w:gridCol w:w="4"/>
        <w:gridCol w:w="780"/>
        <w:gridCol w:w="4"/>
        <w:gridCol w:w="780"/>
        <w:gridCol w:w="3"/>
        <w:gridCol w:w="780"/>
        <w:gridCol w:w="6"/>
        <w:gridCol w:w="780"/>
        <w:gridCol w:w="4"/>
        <w:gridCol w:w="781"/>
        <w:gridCol w:w="5"/>
        <w:gridCol w:w="779"/>
        <w:gridCol w:w="1"/>
        <w:gridCol w:w="8"/>
        <w:gridCol w:w="16"/>
        <w:gridCol w:w="805"/>
      </w:tblGrid>
      <w:tr>
        <w:trPr>
          <w:trHeight w:val="401" w:hRule="atLeast"/>
        </w:trPr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2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0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79" w:type="dxa"/>
            <w:gridSpan w:val="26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2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0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9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Статус*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67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tabs>
                <w:tab w:val="clear" w:pos="408"/>
                <w:tab w:val="left" w:pos="102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4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41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53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4448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4710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13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194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1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36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8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8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4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12021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12345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</w:tr>
      <w:tr>
        <w:trPr>
          <w:trHeight w:val="139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>
        <w:trPr>
          <w:trHeight w:val="310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26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42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3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8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13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8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93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3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203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202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42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62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1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11377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9603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4019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7110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</w:tr>
      <w:tr>
        <w:trPr>
          <w:trHeight w:val="188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оснащенных организаций, в соответствии с требованиями ФГОС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69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9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43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1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53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85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спортом;</w:t>
            </w:r>
          </w:p>
        </w:tc>
      </w:tr>
      <w:tr>
        <w:trPr>
          <w:trHeight w:val="200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229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22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6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7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23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2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3784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9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646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601" w:hRule="atLeast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</w:tr>
      <w:tr>
        <w:trPr>
          <w:trHeight w:val="356" w:hRule="atLeast"/>
        </w:trPr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Style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2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30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Style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8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2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30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927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7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4927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7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58" w:type="dxa"/>
            <w:gridSpan w:val="7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С.Г. Демченко</w:t>
            </w:r>
          </w:p>
        </w:tc>
        <w:tc>
          <w:tcPr>
            <w:tcW w:w="82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sz w:val="28"/>
          <w:szCs w:val="28"/>
        </w:rPr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ПЕРЕЧЕНЬ ОСНОВНЫХ МЕРОПРИЯТИЙ МУНИЦИПАЛЬНОЙ ПРОГРАММЫ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«Развитие образования»</w:t>
      </w:r>
    </w:p>
    <w:tbl>
      <w:tblPr>
        <w:tblW w:w="1538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6"/>
        <w:gridCol w:w="2620"/>
        <w:gridCol w:w="900"/>
        <w:gridCol w:w="1200"/>
        <w:gridCol w:w="1553"/>
        <w:gridCol w:w="1465"/>
        <w:gridCol w:w="1253"/>
        <w:gridCol w:w="1359"/>
        <w:gridCol w:w="1253"/>
        <w:gridCol w:w="1641"/>
        <w:gridCol w:w="1588"/>
      </w:tblGrid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 реализации 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финансирования, всего (тыс. руб.)</w:t>
            </w:r>
          </w:p>
        </w:tc>
        <w:tc>
          <w:tcPr>
            <w:tcW w:w="53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 финансирования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Непосредственный результат реализации мероприятия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tabs>
                <w:tab w:val="clear" w:pos="408"/>
                <w:tab w:val="left" w:pos="144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12299666,7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16833,8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8241421,8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3325722,1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1345649,4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878923,3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385653,7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1279120,5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846570,7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350386,0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1278334,6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846834,3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350419,7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1277149,6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846789,2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350360,4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1277149,6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846789,2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350360,4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5602731,7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3519881,5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1476244,2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 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349735,2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104530,1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334399,8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162684,5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370271,6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171568,0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610256,5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369042,4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173714,1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599289,4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366189,4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366264,3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366264,3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366264,3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15912,4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15912,4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1.1.1 Наказы избирателей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5257,0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5257,0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1.1.2 Осуществление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10655,4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10530,4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20239,7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1800,9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1872,9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5391398,0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3335162,8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1449629,2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395626,0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270787,1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79932,9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44906,0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462795,2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315223,2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101572,0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479475,0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327924,9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102550,1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529907,8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306518,3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161189,5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588550,9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352170,3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169380,6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592611,9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172604,1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585607,8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585607,8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585607,8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585607,8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109259,1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109259,1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компенсационных выплат родителям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9207,4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спортивного инвентаря (детских тренажеров)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9969,0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9969,0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капитального ремонта учреждений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6019,0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20276,7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20276,7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12149,2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11513,0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мебели для оснащения дополнительно вводимых мест в дошкольных образовательных организациях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10153,7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9617,5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22504,3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22504,3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Капитальный ремонт ограждения территории ДОУ№ 16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5770380,1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16833,8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4623467,7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1045795,6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школа – интернат,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635843,7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497222,3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127549,0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583688,3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467817,8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103706,7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582718,7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467990,8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103647,3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581533,7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467945,7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103588,0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581533,7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467945,7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103588,0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 Организация питания учащихся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137372,7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28141,7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109231,0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питания учащихся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17326,5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15552,9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12999,4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16221,5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16124,2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15377,5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2877,5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10852,6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2992,6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10972,7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10972,7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10972,7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31022,4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31022,4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946,1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2446,7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2446,7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13417,0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13417,0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2.3.1 Наказы избирателей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8448,0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8448,0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2.3.4 Осуществление текущего ремонта, благоустройства территорий и материально- 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4401,0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4401,0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5369952,1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4432501,3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853650,8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83800,0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471159,6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416326,4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49333,2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486982,7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428354,6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55428,1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501518,5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430714,7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64803,8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512657,2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413779,2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551989,6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441455,5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100534,1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587424,5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466250,9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111173,6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564555,0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564555,0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564555,0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458905,0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564555,0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458905,0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48167,8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47684,8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483,0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17535,0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19181,3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18848,3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11451,5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8475,1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8475,1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6261,4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6261,4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капитального ремонта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2055,4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24315,2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24315,2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2.9 Благоустройство территории учреждений образования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 по установке бордюрного камня и отвода ливневых вод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29702,6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29702,6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6364,6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6364,6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3383,3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16512,7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4559,1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5585,2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7859,7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2372,1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6353,4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2299,6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2.12 Реализация мероприятий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3806,2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3610,5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1739,3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2066,9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2.13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21929,9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19736,5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2193,4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ограждений территорий МБОУ СОШ № 12, № 21, замена оконных блоков МБОУ СОШ № 7, МБОУ </w:t>
              <w:br/>
              <w:t>ШООО № 3, МБОУ СОШ № 17 капитальный ремонт кровли МБОУ СОШ № 2, № 6, № 7, № 5, № 8, № 13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16760,7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15084,3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5169,2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4652,2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19399,8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18429,8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оборудованием МБОУ СОШ № 7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19399,8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18429,8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11475,5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10465,4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573,9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14, № 8, № 15, № 13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6741,9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1175,9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2372,7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2.16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6840,6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3488,7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3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6840,6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3351,9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20929,1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19882,6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5697,8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5412,9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15231,3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14469,7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499951,9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16021,1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459130,8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4780,2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48446,3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53999,2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51122,0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52692,3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3954,5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3954,5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486757,2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3210,7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458746,5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36931,5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34431,5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41952,7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3210,7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36342,0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46004,0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48507,0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50655,0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53507,0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4221,6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2053,0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материально-технической базы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1663,7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824,4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ДЮСШ «Совершенство»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824,4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текущего и капитального ремонта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68505,0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68505,0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300993,6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79193,8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221799,8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расходования средств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ЦБО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34309,8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12281,4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22028,4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32490,5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20319,3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12171,2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20412,4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отдыха детям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ЛТО Кубаночка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51045,8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2857,7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48188,1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образования, оказание психолого – медико педагогической помощи детям, нуждающимся в коррекции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«ОМЦ»</w:t>
              <w:br/>
              <w:t>МБУ ЦППМСП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44984,1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44984,1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3715,7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1791,7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1924,0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2205,6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861,0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523,7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25,1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1123,6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7.4 Реализация мероприятий в области образования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1162,4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65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41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88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15388" w:type="dxa"/>
            <w:gridSpan w:val="11"/>
            <w:tcBorders/>
            <w:shd w:fill="FFFFFF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65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41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88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276" w:type="dxa"/>
            <w:gridSpan w:val="4"/>
            <w:vMerge w:val="restart"/>
            <w:tcBorders/>
            <w:shd w:fill="FFFFFF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1553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465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59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41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88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76" w:hRule="atLeast"/>
        </w:trPr>
        <w:tc>
          <w:tcPr>
            <w:tcW w:w="5276" w:type="dxa"/>
            <w:gridSpan w:val="4"/>
            <w:vMerge w:val="continue"/>
            <w:tcBorders/>
            <w:shd w:fill="FFFFFF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553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465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2612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С.Г. Демченко</w:t>
            </w:r>
          </w:p>
        </w:tc>
        <w:tc>
          <w:tcPr>
            <w:tcW w:w="1641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88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62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65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41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88" w:type="dxa"/>
            <w:tcBorders/>
            <w:shd w:fill="FFFFFF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br w:type="column"/>
      </w: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4100"/>
        <w:gridCol w:w="1254"/>
        <w:gridCol w:w="1862"/>
        <w:gridCol w:w="1601"/>
        <w:gridCol w:w="1225"/>
        <w:gridCol w:w="1831"/>
        <w:gridCol w:w="1726"/>
      </w:tblGrid>
      <w:tr>
        <w:trPr>
          <w:trHeight w:val="911" w:hRule="atLeast"/>
        </w:trPr>
        <w:tc>
          <w:tcPr>
            <w:tcW w:w="14570" w:type="dxa"/>
            <w:gridSpan w:val="8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финанси-рования всего</w:t>
            </w:r>
          </w:p>
        </w:tc>
        <w:tc>
          <w:tcPr>
            <w:tcW w:w="6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руб.)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муници-пальный бюджет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01" w:hRule="atLeast"/>
        </w:trPr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12299666,7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16833,8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8241421,8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3325722,1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1345649,4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1072,4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878923,3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385653,7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1279120,5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2163,8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846570,7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350386,0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1278334,6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1080,6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846834,3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350419,7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1277149,6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846789,2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350360,4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1277149,6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846789,2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350360,4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1. 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5602731,7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3519881,5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1476244,2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349735,2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104530,1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334399,8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162684,5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370271,6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171568,0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610256,5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369042,4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173714,1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599289,4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366189,4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165600,0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366264,3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165600,0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366264,3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165600,0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599364,3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366264,3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165600,0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5770380,1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16833,8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4623467,7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1045795,6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635843,7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1072,4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497222,3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127549,0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583688,3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2163,8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467817,8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103706,7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582718,7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1080,6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467990,8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103647,3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581533,7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467945,7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103588,0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581533,7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467945,7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103588,0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499951,9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16021,1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459130,8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4780,2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36417,0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48446,3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53999,2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51122,0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52692,3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52708,0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49800,0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68505,0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68505,0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7270,1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300993,6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79193,8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221799,8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34309,8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12281,4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22028,4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32490,5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20319,3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32583,6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12171,2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20412,4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51045,8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2857,7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48188,1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3780,0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val="401" w:hRule="atLeast"/>
        </w:trPr>
        <w:tc>
          <w:tcPr>
            <w:tcW w:w="971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100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4" w:type="dxa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01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25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26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071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образования администрации муниципального образования Кавказский район</w:t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01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07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01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С.Г. Демченко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tbl>
      <w:tblPr>
        <w:tblW w:w="14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385"/>
        <w:gridCol w:w="5237"/>
        <w:gridCol w:w="3273"/>
      </w:tblGrid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статистической отчетности (иной отчетности)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Периодичность сдачи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«Сведения о параметрах реализации мероприятий по улучшению демографии»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 до 8числа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удельный вес дошкольных  образовательных учреждений, реализующих современные образовательные программы  и технологии 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3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прохождения курсовой подготовки педагогами ДОУ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ДОУ  к среднемесячной заработной плате педагогов учреждений  общего образования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Оперативная информация МКУ ЦБО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охват детей в возрасте от 6,6 до 18 лет общим образованием.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Статистическая отчетность ФСН (форма ОШ-1, ОШ-5, 76-РИК, СВ-1)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ОШ-2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образовательных учреждений, в которых проведен капитальный и текущий ремонт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Отчет «Доступная среда»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и содержание сайта образовательных учреждений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управления образования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увеличение   пропускной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способности  и оплата Интернет – трафика  до 10 М/б;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отчетность ФСН (формы ОШ-1, Д-4)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удельный вес численности педагогических кадров, прошедших обучение  по программам переподготовки и повышения квалификации педагогических работников;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Статистическая форма ННШ-М раздел «повышение квалификации и проф. подготовка»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учреждений  общего образования к среднемесячной заработной плате в экономике Краснодарского края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8 числа месяца,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доля учащихся, принимавших участие во Всероссийских олимпиадах и иных интеллектуальных и творческих конкурсах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форма ННШ-М раздел база «Одаренные дети» (отчет электронный, МОН)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Оперативная информация МКУ ЦБО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отчетность ФСН (формы ОШ-1, ОШ-5, 76-РИК, ОВ-1)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доп. образования детей физкультурно-спортивной направленности системы образования;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открытие спортивных кружков и секций для работы с детьми в спортивных клубах общеобразовательных учреждений;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привлечение учащихся к регулярному занятию в секциях спортивных клубов общеобразовательных учреждений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привлечение учащихся к регулярному занятию спортом в секциях, в вечернее и каникулярное время, в спортивных залах общеобразовательных учреждений.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 спортивных залов, в которых проведен капитальный ремонт.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учащихся, охваченных горячим питанием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количество педагогических работников, охваченных горячим питанием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учащихся, получающих молоко и молочную продукцию 2 раза в неделю</w:t>
            </w:r>
            <w:r>
              <w:rPr>
                <w:rFonts w:eastAsia="Arial Unicode MS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детей  в возрасте от 5 до 18 лет,  занимающихся в организациях дополнительного образования.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доля  оснащенных организаций, в соответствии с требованиями  СанПин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доля  педагогов  в планах  прохождения курсовой подготовки,  от численности  нуждающихся в  повышении квалификации.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 учреждений  дополнительного образования детей  к средней заработной плате в экономике Краснодарского края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учреждений, подведомственных управлению образования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Информация МОН Краснодарского края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«Перечень ОУ, расположенных на территории МО Кавказский район»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на 10 сентября 2014 года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обслуживаемых учреждений, подведомственных управлению образования и управление образования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об исполнении бюджета муниципальных(автономных) учреждений МО Кавказский район , ф. 0503161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Ежеквартально, до 10 числа следующего за отчетным </w:t>
            </w:r>
          </w:p>
        </w:tc>
      </w:tr>
    </w:tbl>
    <w:p>
      <w:pPr>
        <w:pStyle w:val="Normal"/>
        <w:tabs>
          <w:tab w:val="clear" w:pos="408"/>
          <w:tab w:val="right" w:pos="9213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1369"/>
        <w:gridCol w:w="38"/>
        <w:gridCol w:w="46"/>
        <w:gridCol w:w="1620"/>
        <w:gridCol w:w="2445"/>
        <w:gridCol w:w="1"/>
        <w:gridCol w:w="3"/>
        <w:gridCol w:w="61"/>
        <w:gridCol w:w="4307"/>
      </w:tblGrid>
      <w:tr>
        <w:trPr>
          <w:trHeight w:val="386" w:hRule="atLeast"/>
        </w:trPr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3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2809"/>
        <w:gridCol w:w="2238"/>
        <w:gridCol w:w="3"/>
        <w:gridCol w:w="4761"/>
      </w:tblGrid>
      <w:tr>
        <w:trPr>
          <w:trHeight w:val="704" w:hRule="atLeast"/>
          <w:cantSplit w:val="true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33"/>
        <w:gridCol w:w="850"/>
        <w:gridCol w:w="2230"/>
        <w:gridCol w:w="1556"/>
        <w:gridCol w:w="1836"/>
        <w:gridCol w:w="44"/>
        <w:gridCol w:w="1515"/>
        <w:gridCol w:w="44"/>
        <w:gridCol w:w="1224"/>
        <w:gridCol w:w="41"/>
        <w:gridCol w:w="1083"/>
        <w:gridCol w:w="47"/>
        <w:gridCol w:w="1181"/>
      </w:tblGrid>
      <w:tr>
        <w:trPr/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5"/>
        <w:gridCol w:w="4163"/>
        <w:gridCol w:w="2810"/>
        <w:gridCol w:w="1779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40"/>
        <w:gridCol w:w="1308"/>
        <w:gridCol w:w="740"/>
        <w:gridCol w:w="1119"/>
        <w:gridCol w:w="1120"/>
        <w:gridCol w:w="1132"/>
        <w:gridCol w:w="985"/>
        <w:gridCol w:w="849"/>
        <w:gridCol w:w="46"/>
        <w:gridCol w:w="933"/>
        <w:gridCol w:w="55"/>
        <w:gridCol w:w="787"/>
        <w:gridCol w:w="49"/>
        <w:gridCol w:w="867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56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6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paragraph" w:styleId="Style29">
    <w:name w:val="Заголовок"/>
    <w:basedOn w:val="Normal"/>
    <w:next w:val="Style30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1">
    <w:name w:val="List"/>
    <w:basedOn w:val="Style30"/>
    <w:pPr/>
    <w:rPr>
      <w:rFonts w:cs="Tahoma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Style34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5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6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7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38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39">
    <w:name w:val="Информация об изменениях документа"/>
    <w:basedOn w:val="Style38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0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1">
    <w:name w:val="Заголовок таблицы"/>
    <w:basedOn w:val="Style40"/>
    <w:qFormat/>
    <w:pPr>
      <w:jc w:val="center"/>
    </w:pPr>
    <w:rPr>
      <w:b/>
      <w:bCs/>
    </w:rPr>
  </w:style>
  <w:style w:type="paragraph" w:styleId="Style42">
    <w:name w:val="Верхний и нижний колонтитулы"/>
    <w:basedOn w:val="Normal"/>
    <w:qFormat/>
    <w:pPr/>
    <w:rPr/>
  </w:style>
  <w:style w:type="paragraph" w:styleId="Style43">
    <w:name w:val="Head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4">
    <w:name w:val="Foot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5">
    <w:name w:val="Содержимое врезки"/>
    <w:basedOn w:val="Style30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6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7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48">
    <w:name w:val="Title"/>
    <w:basedOn w:val="Style29"/>
    <w:next w:val="Style30"/>
    <w:qFormat/>
    <w:pPr>
      <w:jc w:val="center"/>
    </w:pPr>
    <w:rPr>
      <w:b/>
      <w:bCs/>
      <w:sz w:val="56"/>
      <w:szCs w:val="56"/>
    </w:rPr>
  </w:style>
  <w:style w:type="paragraph" w:styleId="Style49">
    <w:name w:val="Subtitle"/>
    <w:basedOn w:val="Style29"/>
    <w:next w:val="Style30"/>
    <w:qFormat/>
    <w:pPr>
      <w:spacing w:before="60" w:after="120"/>
      <w:jc w:val="center"/>
    </w:pPr>
    <w:rPr>
      <w:sz w:val="36"/>
      <w:szCs w:val="36"/>
    </w:rPr>
  </w:style>
  <w:style w:type="paragraph" w:styleId="Style5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LibreOffice/6.3.2.2$Windows_x86 LibreOffice_project/98b30e735bda24bc04ab42594c85f7fd8be07b9c</Application>
  <Pages>74</Pages>
  <Words>15605</Words>
  <Characters>101695</Characters>
  <CharactersWithSpaces>113210</CharactersWithSpaces>
  <Paragraphs>5926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2017-06-13T06:45:00Z</cp:lastPrinted>
  <dcterms:modified xsi:type="dcterms:W3CDTF">2020-06-23T11:26:04Z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