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</w:t>
      </w:r>
      <w:proofErr w:type="gramEnd"/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F4027">
        <w:rPr>
          <w:rFonts w:ascii="Times New Roman" w:hAnsi="Times New Roman"/>
          <w:bCs/>
          <w:sz w:val="28"/>
          <w:szCs w:val="28"/>
          <w:lang w:val="ru-RU"/>
        </w:rPr>
        <w:t>,                  16 октября 2018 г.</w:t>
      </w:r>
      <w:r w:rsidR="003C3B78">
        <w:rPr>
          <w:rFonts w:ascii="Times New Roman" w:hAnsi="Times New Roman"/>
          <w:bCs/>
          <w:sz w:val="28"/>
          <w:szCs w:val="28"/>
          <w:lang w:val="ru-RU"/>
        </w:rPr>
        <w:t>, 21 ноября 2018г.</w:t>
      </w:r>
      <w:r w:rsidR="00D035C3">
        <w:rPr>
          <w:rFonts w:ascii="Times New Roman" w:hAnsi="Times New Roman"/>
          <w:bCs/>
          <w:sz w:val="28"/>
          <w:szCs w:val="28"/>
          <w:lang w:val="ru-RU"/>
        </w:rPr>
        <w:t>, 19 апреля 2019г.</w:t>
      </w:r>
      <w:r w:rsidR="009E3D84">
        <w:rPr>
          <w:rFonts w:ascii="Times New Roman" w:hAnsi="Times New Roman"/>
          <w:bCs/>
          <w:sz w:val="28"/>
          <w:szCs w:val="28"/>
          <w:lang w:val="ru-RU"/>
        </w:rPr>
        <w:t>,21 июня 2019г.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545903" w:rsidRPr="009E3D8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9E3D8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9E3D8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E40C3D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78F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5903" w:rsidRPr="009E3D8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45903" w:rsidRPr="009E3D8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sub_7176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0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9E3D8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sub_7177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1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</w:p>
        </w:tc>
      </w:tr>
      <w:tr w:rsidR="00545903" w:rsidRPr="009E3D8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пакетов документов на получение субсидий;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бесплатных консультаций МБУ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расчетов по экологии;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545903" w:rsidRPr="009E3D8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41DA8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545903" w:rsidRPr="00B04E0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B04E02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Объёмы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bookmarkEnd w:id="2"/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545903" w:rsidRPr="00B04E0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9E6D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16951</w:t>
            </w:r>
            <w:r w:rsidR="003C3B7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 по годам реализации: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15806,3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2016 год – 20845,0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2017 </w:t>
            </w:r>
            <w:r w:rsidR="002105B8">
              <w:rPr>
                <w:rFonts w:ascii="Times New Roman" w:hAnsi="Times New Roman"/>
                <w:sz w:val="28"/>
                <w:szCs w:val="28"/>
                <w:lang w:val="ru-RU"/>
              </w:rPr>
              <w:t>год – 13966,5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2B7BC6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– 17342,7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9E6D2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– 16761,5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3C3B7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– 16114,5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E54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– 16114,5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 4065,0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рублей,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3658,3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 406,7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    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счет ср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Start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аевого бю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дже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та – </w:t>
            </w:r>
            <w:r w:rsidR="009E6D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78362,5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6105,7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15563,6 тыс. руб.;</w:t>
            </w:r>
            <w:r w:rsidR="005B16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</w:t>
            </w:r>
          </w:p>
          <w:p w:rsidR="00B04E02" w:rsidRPr="00B04E02" w:rsidRDefault="002105B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год –   8642,5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2B7BC6">
            <w:pPr>
              <w:widowControl w:val="0"/>
              <w:tabs>
                <w:tab w:val="left" w:pos="42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 год –   12857,2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руб.;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B04E02" w:rsidRPr="00B04E02" w:rsidRDefault="009E6D2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–   12104,5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–   11544,5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–   11544,5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="00A1326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A638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3323,5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5592,3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 4724,7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4724,0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-  4485,5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-  4657,0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-  4570,0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-  4570,0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>ет  внебюджетных источников – 12</w:t>
            </w:r>
            <w:r w:rsidR="000A207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рублей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450,0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150,0 тыс. руб.;</w:t>
            </w:r>
          </w:p>
          <w:p w:rsidR="00B04E02" w:rsidRPr="00B04E02" w:rsidRDefault="00F5163D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60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2019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 по подпрограмме «Стимулирование и повышение эффективности труда в сельскохозяйственном производстве» за счет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средств местного бюджета -1400,0 тыс. рублей, из 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  <w:r w:rsidRPr="00B04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 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200,0 тыс. р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71775" w:rsidRPr="00B04E02" w:rsidRDefault="00D71775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903" w:rsidRPr="00B04E02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"/>
      <w:bookmarkEnd w:id="4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5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6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8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272B25" w:rsidRPr="00A22C24" w:rsidRDefault="00272B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3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7B711A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4F4AE5" w:rsidRPr="00A22C24" w:rsidRDefault="004F4AE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Par218"/>
      <w:bookmarkStart w:id="11" w:name="Par276"/>
      <w:bookmarkEnd w:id="10"/>
      <w:bookmarkEnd w:id="11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9E3D84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6024D6" w:rsidP="00DD3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  <w:r w:rsidR="00CE504F">
              <w:rPr>
                <w:rFonts w:ascii="Times New Roman" w:hAnsi="Times New Roman"/>
                <w:b/>
                <w:bCs/>
                <w:kern w:val="32"/>
                <w:lang w:val="ru-RU"/>
              </w:rPr>
              <w:t>16951,0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065,0</w:t>
            </w:r>
          </w:p>
        </w:tc>
        <w:tc>
          <w:tcPr>
            <w:tcW w:w="1134" w:type="dxa"/>
          </w:tcPr>
          <w:p w:rsidR="00505F40" w:rsidRPr="00E867E0" w:rsidRDefault="00CE504F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78362,5</w:t>
            </w:r>
          </w:p>
        </w:tc>
        <w:tc>
          <w:tcPr>
            <w:tcW w:w="1134" w:type="dxa"/>
          </w:tcPr>
          <w:p w:rsidR="00505F40" w:rsidRPr="00E867E0" w:rsidRDefault="004F4B7D" w:rsidP="004F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290632">
              <w:rPr>
                <w:rFonts w:ascii="Times New Roman" w:hAnsi="Times New Roman"/>
                <w:b/>
                <w:bCs/>
                <w:kern w:val="32"/>
                <w:lang w:val="ru-RU"/>
              </w:rPr>
              <w:t>3323,5</w:t>
            </w:r>
          </w:p>
        </w:tc>
        <w:tc>
          <w:tcPr>
            <w:tcW w:w="992" w:type="dxa"/>
          </w:tcPr>
          <w:p w:rsidR="00505F40" w:rsidRPr="000C5CA8" w:rsidRDefault="004F4B7D" w:rsidP="004F4B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bCs/>
                <w:kern w:val="32"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50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</w:t>
            </w:r>
            <w:r w:rsidR="00F5163D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642,</w:t>
            </w:r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505F40" w:rsidRPr="000C5CA8" w:rsidRDefault="00F5163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6024D6">
              <w:rPr>
                <w:rFonts w:ascii="Times New Roman" w:hAnsi="Times New Roman"/>
                <w:lang w:val="ru-RU"/>
              </w:rPr>
              <w:t>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6024D6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12857,2</w:t>
            </w:r>
          </w:p>
        </w:tc>
        <w:tc>
          <w:tcPr>
            <w:tcW w:w="1134" w:type="dxa"/>
          </w:tcPr>
          <w:p w:rsidR="00505F40" w:rsidRPr="00E867E0" w:rsidRDefault="0089149F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505F40" w:rsidRDefault="00505F40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CE504F" w:rsidP="00CE14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16761,5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1E63BD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</w:t>
            </w:r>
            <w:r w:rsidR="00CE504F">
              <w:rPr>
                <w:rFonts w:ascii="Times New Roman" w:hAnsi="Times New Roman"/>
                <w:bCs/>
                <w:kern w:val="32"/>
                <w:lang w:val="ru-RU"/>
              </w:rPr>
              <w:t>2104,5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657,0</w:t>
            </w:r>
          </w:p>
        </w:tc>
        <w:tc>
          <w:tcPr>
            <w:tcW w:w="992" w:type="dxa"/>
          </w:tcPr>
          <w:p w:rsidR="00A22C24" w:rsidRDefault="00A22C24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1E63BD">
              <w:rPr>
                <w:rFonts w:ascii="Times New Roman" w:hAnsi="Times New Roman"/>
                <w:lang w:val="ru-RU"/>
              </w:rPr>
              <w:t>6114,5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1E63BD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11544,5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570,0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1E63BD">
              <w:rPr>
                <w:rFonts w:ascii="Times New Roman" w:hAnsi="Times New Roman"/>
                <w:lang w:val="ru-RU"/>
              </w:rPr>
              <w:t>6114,5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1E63BD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11544,5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570,0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0A2071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1E63BD">
              <w:rPr>
                <w:rFonts w:ascii="Times New Roman" w:hAnsi="Times New Roman"/>
                <w:b/>
                <w:bCs/>
                <w:kern w:val="32"/>
                <w:lang w:val="ru-RU"/>
              </w:rPr>
              <w:t>6986,7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1E63BD">
              <w:rPr>
                <w:rFonts w:ascii="Times New Roman" w:hAnsi="Times New Roman"/>
                <w:b/>
                <w:bCs/>
                <w:kern w:val="32"/>
                <w:lang w:val="ru-RU"/>
              </w:rPr>
              <w:t>956,5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31</w:t>
            </w:r>
            <w:r w:rsidR="001E63BD">
              <w:rPr>
                <w:rFonts w:ascii="Times New Roman" w:hAnsi="Times New Roman"/>
                <w:b/>
                <w:bCs/>
                <w:kern w:val="32"/>
                <w:lang w:val="ru-RU"/>
              </w:rPr>
              <w:t>830,2</w:t>
            </w:r>
          </w:p>
        </w:tc>
        <w:tc>
          <w:tcPr>
            <w:tcW w:w="992" w:type="dxa"/>
          </w:tcPr>
          <w:p w:rsidR="00505F40" w:rsidRPr="000C5CA8" w:rsidRDefault="003D08A3" w:rsidP="00CE14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lang w:val="ru-RU"/>
              </w:rPr>
              <w:t>0</w:t>
            </w:r>
            <w:r w:rsidR="00505F40" w:rsidRPr="000C5CA8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5622C2">
              <w:rPr>
                <w:rFonts w:ascii="Times New Roman" w:hAnsi="Times New Roman"/>
                <w:bCs/>
                <w:kern w:val="32"/>
                <w:lang w:val="ru-RU"/>
              </w:rPr>
              <w:t>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05F40" w:rsidRPr="000C5CA8" w:rsidRDefault="000A207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F13E5E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88,7</w:t>
            </w:r>
          </w:p>
        </w:tc>
        <w:tc>
          <w:tcPr>
            <w:tcW w:w="1134" w:type="dxa"/>
          </w:tcPr>
          <w:p w:rsidR="00505F40" w:rsidRPr="00E867E0" w:rsidRDefault="00505F40" w:rsidP="005C2519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5,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5622C2"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E89" w:rsidP="00562E89"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617,3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457,0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987,3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E89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05F40" w:rsidRPr="00E867E0" w:rsidRDefault="003D08A3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370,0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987,3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E89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370,0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62E89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7</w:t>
            </w:r>
            <w:r w:rsidR="00CE504F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5179,6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05F40" w:rsidRPr="009B251A" w:rsidRDefault="00562E89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7</w:t>
            </w:r>
            <w:r w:rsidR="00CE504F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1114,6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B553C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6024D6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Pr="009B251A" w:rsidRDefault="006024D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11743,7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</w:t>
            </w:r>
            <w:r w:rsidR="00CE504F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</w:t>
            </w:r>
            <w:r w:rsidR="00CE504F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1000,0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05F40" w:rsidRPr="00A22C24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4.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D035C3" w:rsidP="00D03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3291,4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3</w:t>
            </w:r>
            <w:r w:rsidR="00D035C3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291,4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DD319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DD319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</w:t>
            </w:r>
            <w:r w:rsidR="00DC487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D035C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487,2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D035C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487,2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B0F0E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0F0E" w:rsidRDefault="00AB0F0E" w:rsidP="00AB0F0E">
            <w:pPr>
              <w:jc w:val="center"/>
            </w:pPr>
            <w:r w:rsidRPr="009B2FE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B0F0E" w:rsidRDefault="00AB0F0E" w:rsidP="00AB0F0E">
            <w:pPr>
              <w:jc w:val="center"/>
            </w:pPr>
            <w:r w:rsidRPr="0023493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B0F0E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0F0E" w:rsidRDefault="00AB0F0E" w:rsidP="00AB0F0E">
            <w:pPr>
              <w:jc w:val="center"/>
            </w:pPr>
            <w:r w:rsidRPr="009B2FE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B0F0E" w:rsidRDefault="00AB0F0E" w:rsidP="00AB0F0E">
            <w:pPr>
              <w:jc w:val="center"/>
            </w:pPr>
            <w:r w:rsidRPr="0023493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92B69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0C5CA8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</w:t>
      </w:r>
      <w:r w:rsidRPr="00A22C24">
        <w:rPr>
          <w:rFonts w:ascii="Times New Roman" w:eastAsia="Calibri" w:hAnsi="Times New Roman"/>
          <w:sz w:val="28"/>
          <w:szCs w:val="28"/>
          <w:lang w:val="ru-RU"/>
        </w:rPr>
        <w:lastRenderedPageBreak/>
        <w:t>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9E3D84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9E3D84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lastRenderedPageBreak/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Управление 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образования Кавказский район</w:t>
            </w:r>
          </w:p>
        </w:tc>
      </w:tr>
      <w:tr w:rsidR="00140E13" w:rsidRPr="009E3D84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9E3D84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9E3D84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9E3D84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9E3D84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9E3D84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субсидий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3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3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4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5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04"/>
      <w:bookmarkEnd w:id="17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302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4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5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503"/>
      <w:bookmarkEnd w:id="26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2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703"/>
      <w:bookmarkEnd w:id="33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9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BF321F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43337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3D73" w:rsidRPr="00563D73" w:rsidTr="00BF321F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563D73" w:rsidRPr="00563D73" w:rsidTr="00BF321F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563D73" w:rsidRPr="009E3D84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9E3D84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9E3D84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9E3D84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376F87">
        <w:trPr>
          <w:trHeight w:val="445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91C1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E517A5" w:rsidRDefault="00047DD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345F71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="00563D73"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4E3B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9E3D84" w:rsidTr="00BF321F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9E3D84" w:rsidTr="00BF321F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3D73" w:rsidRPr="00563D73" w:rsidTr="00BF321F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3A5AC7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350</w:t>
            </w:r>
          </w:p>
        </w:tc>
      </w:tr>
      <w:tr w:rsidR="00563D73" w:rsidRPr="009E3D84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 w:rsidRPr="00563D73">
              <w:rPr>
                <w:rFonts w:ascii="Times New Roman" w:hAnsi="Times New Roman"/>
                <w:b/>
              </w:rPr>
              <w:t>N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9E3D84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9E3D84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9E3D84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профилактичес-ких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</w:tr>
      <w:tr w:rsidR="00563D73" w:rsidRPr="009E3D84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9E3D84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9E3D84" w:rsidTr="00BF321F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247,1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Pr="00A22C24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57849" w:rsidRPr="00340144" w:rsidRDefault="00557849" w:rsidP="0055784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34014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276"/>
        <w:gridCol w:w="1134"/>
        <w:gridCol w:w="1559"/>
        <w:gridCol w:w="1276"/>
        <w:gridCol w:w="1275"/>
        <w:gridCol w:w="1701"/>
        <w:gridCol w:w="1985"/>
        <w:gridCol w:w="1920"/>
      </w:tblGrid>
      <w:tr w:rsidR="00557849" w:rsidRPr="00557849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57849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134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811" w:type="dxa"/>
            <w:gridSpan w:val="4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Непосредствен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-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ный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920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57849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2" w:type="dxa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920" w:type="dxa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557849" w:rsidRPr="00557849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Поддержка </w:t>
            </w:r>
            <w:proofErr w:type="spellStart"/>
            <w:proofErr w:type="gram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proofErr w:type="gram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36986,7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3956,5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31830,2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</w:rPr>
            </w:pPr>
            <w:r w:rsidRPr="00557849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920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57849" w:rsidRPr="00557849" w:rsidTr="00557849">
        <w:trPr>
          <w:trHeight w:val="257"/>
        </w:trPr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4987,3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4370,0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57849" w:rsidRPr="00557849" w:rsidTr="00557849">
        <w:trPr>
          <w:trHeight w:val="265"/>
        </w:trPr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4987,3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4370,0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57849" w:rsidRPr="00557849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2699,0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увеличения производства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920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 xml:space="preserve">МБУ «ИКЦ МСП» </w:t>
            </w: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1029,0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610,0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1060,0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rPr>
          <w:trHeight w:val="372"/>
        </w:trPr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57849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 xml:space="preserve">Расходы на обеспечение </w:t>
            </w:r>
            <w:r w:rsidRPr="00557849">
              <w:rPr>
                <w:rFonts w:ascii="Times New Roman" w:hAnsi="Times New Roman"/>
                <w:lang w:val="ru-RU"/>
              </w:rPr>
              <w:lastRenderedPageBreak/>
              <w:t>деятельности в области сельского хозяйства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30331,2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30331,2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 xml:space="preserve">Увеличение производства, </w:t>
            </w:r>
            <w:r w:rsidRPr="00557849">
              <w:rPr>
                <w:rFonts w:ascii="Times New Roman" w:hAnsi="Times New Roman"/>
                <w:lang w:val="ru-RU"/>
              </w:rPr>
              <w:lastRenderedPageBreak/>
              <w:t>расширение рынков с/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557849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920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lastRenderedPageBreak/>
              <w:t xml:space="preserve">Управление сельского </w:t>
            </w:r>
            <w:r w:rsidRPr="00557849">
              <w:rPr>
                <w:rFonts w:ascii="Times New Roman" w:hAnsi="Times New Roman"/>
                <w:lang w:val="ru-RU"/>
              </w:rPr>
              <w:lastRenderedPageBreak/>
              <w:t>хозяйства</w:t>
            </w: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4370,0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4370,0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4370,0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4370,0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9E3D84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557849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557849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3956,5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3956,5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557849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557849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57849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75179,6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71114,6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557849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920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11000,0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11000,0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9E3D84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Увеличение производства, с/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хозяйствование</w:t>
            </w: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9E3D84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государ-</w:t>
            </w: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ственных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поддержке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сель-скохозяйственного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 в Краснодарском крае в частности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предостав-ление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субсидий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граж-данам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, ведущим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лич-ное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подсобное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хо-зяйство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, крестьянским фермерским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хозяйст-вам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, индивидуальным </w:t>
            </w:r>
            <w:proofErr w:type="gram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предпринимателям</w:t>
            </w:r>
            <w:proofErr w:type="gram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ведущим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деятель-ность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в области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70438,6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70438,6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57849">
              <w:rPr>
                <w:rFonts w:ascii="Times New Roman" w:hAnsi="Times New Roman"/>
                <w:lang w:val="ru-RU"/>
              </w:rPr>
              <w:lastRenderedPageBreak/>
              <w:t>водства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11000,0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11000,0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</w:t>
            </w:r>
            <w:proofErr w:type="spellStart"/>
            <w:proofErr w:type="gram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распро-странения</w:t>
            </w:r>
            <w:proofErr w:type="spellEnd"/>
            <w:proofErr w:type="gram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и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ликви-дации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очагов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территории  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образо-вания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557849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proofErr w:type="gramEnd"/>
            <w:r w:rsidRPr="0055784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920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9E3D84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557849">
              <w:rPr>
                <w:rFonts w:ascii="Times New Roman" w:hAnsi="Times New Roman"/>
                <w:lang w:val="ru-RU"/>
              </w:rPr>
              <w:t xml:space="preserve"> Обеспечение 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ветери-нарн</w:t>
            </w:r>
            <w:proofErr w:type="gramStart"/>
            <w:r w:rsidRPr="00557849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557849">
              <w:rPr>
                <w:rFonts w:ascii="Times New Roman" w:hAnsi="Times New Roman"/>
                <w:lang w:val="ru-RU"/>
              </w:rPr>
              <w:t xml:space="preserve"> санитарного </w:t>
            </w:r>
            <w:r w:rsidRPr="00557849">
              <w:rPr>
                <w:rFonts w:ascii="Times New Roman" w:hAnsi="Times New Roman"/>
                <w:lang w:val="ru-RU"/>
              </w:rPr>
              <w:lastRenderedPageBreak/>
              <w:t xml:space="preserve">благополучия в 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муни-ципальном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7849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557849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3291,4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3291,4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proofErr w:type="gram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proofErr w:type="gram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лече-нию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, защите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населе-ния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от болезней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об-щих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для человека и животных, в части регулирования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безнад-зорных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животных на территории </w:t>
            </w:r>
            <w:proofErr w:type="spellStart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муници-пальных</w:t>
            </w:r>
            <w:proofErr w:type="spellEnd"/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3291,4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3291,4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920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5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7849">
              <w:rPr>
                <w:rFonts w:ascii="Times New Roman" w:hAnsi="Times New Roman"/>
                <w:lang w:val="ru-RU"/>
              </w:rPr>
              <w:t>Итого по основным направлениям</w:t>
            </w: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115551,0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78362,5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31923,5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  <w:tc>
          <w:tcPr>
            <w:tcW w:w="1985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15606,3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6105,7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5392,3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450,0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20645,0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15563,6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4524,7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150,0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13766,5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8642,5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4524,0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600,0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17142,7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12857,2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4285,5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16561,5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12104,5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4457,0</w:t>
            </w:r>
          </w:p>
        </w:tc>
        <w:tc>
          <w:tcPr>
            <w:tcW w:w="1701" w:type="dxa"/>
          </w:tcPr>
          <w:p w:rsidR="00557849" w:rsidRPr="00557849" w:rsidRDefault="00557849" w:rsidP="005578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15914,5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11544,5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4370,0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57849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15914,5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11544,5</w:t>
            </w: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4370,0</w:t>
            </w: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7849">
              <w:rPr>
                <w:rFonts w:ascii="Times New Roman" w:hAnsi="Times New Roman"/>
                <w:b/>
                <w:lang w:val="ru-RU"/>
              </w:rPr>
              <w:t>0,0</w:t>
            </w: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57849" w:rsidRPr="00557849" w:rsidTr="00557849">
        <w:tc>
          <w:tcPr>
            <w:tcW w:w="67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57849" w:rsidRPr="00557849" w:rsidRDefault="00557849" w:rsidP="00557849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</w:tcPr>
          <w:p w:rsidR="00557849" w:rsidRPr="00557849" w:rsidRDefault="00557849" w:rsidP="0055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40" w:name="_GoBack"/>
      <w:bookmarkEnd w:id="40"/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9E3D84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9E3D84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9E3D84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9E3D84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9E3D84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9E3D84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9E3D84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1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2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9E3D8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9E3D8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9E3D8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9E3D8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0955CA" w:rsidRPr="009E3D8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175C0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9E3D8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1400,0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из средств местного бюджета, в том числе по годам: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2016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2017 год - 200 тысяч рублей</w:t>
            </w:r>
          </w:p>
          <w:p w:rsidR="00DC002E" w:rsidRPr="00A22C24" w:rsidRDefault="00DC002E" w:rsidP="00DC00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 год - 200 тысяч рублей</w:t>
            </w:r>
          </w:p>
        </w:tc>
      </w:tr>
    </w:tbl>
    <w:p w:rsidR="000955CA" w:rsidRPr="00A22C24" w:rsidRDefault="00DC002E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2019 год - 200 тысяч рублей</w:t>
      </w:r>
    </w:p>
    <w:p w:rsidR="00D30A7B" w:rsidRPr="00A22C24" w:rsidRDefault="00DC002E" w:rsidP="00D30A7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2020 год - 200 тысяч рублей</w:t>
      </w:r>
    </w:p>
    <w:p w:rsidR="00D30A7B" w:rsidRPr="00A22C24" w:rsidRDefault="008E4247" w:rsidP="009D40D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2021 год - 200 тысяч рублей</w:t>
      </w:r>
    </w:p>
    <w:p w:rsidR="005960C9" w:rsidRPr="00A22C24" w:rsidRDefault="005960C9" w:rsidP="009D40DB">
      <w:pPr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3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3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4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5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5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6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9E3D84" w:rsidTr="00BF321F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46"/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CC649D" w:rsidRPr="00766B49" w:rsidTr="00BF321F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BF321F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BF321F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7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8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0" w:name="sub_510"/>
      <w:bookmarkEnd w:id="49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5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1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" w:name="sub_512"/>
      <w:bookmarkEnd w:id="51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BF321F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показателя</w:t>
            </w:r>
            <w:proofErr w:type="spellEnd"/>
          </w:p>
        </w:tc>
      </w:tr>
      <w:tr w:rsidR="00ED73F8" w:rsidRPr="006F51C4" w:rsidTr="00BF321F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ED73F8" w:rsidRPr="006F51C4" w:rsidTr="00BF321F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ED73F8" w:rsidRPr="009E3D8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9E3D8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9E3D8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hAnsi="Times New Roman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Pr="00A22C24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bookmarkEnd w:id="52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22F" w:rsidRPr="00A22C24" w:rsidRDefault="00A6322F" w:rsidP="00A6322F">
      <w:pPr>
        <w:ind w:firstLine="851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ind w:firstLine="851"/>
        <w:jc w:val="center"/>
        <w:rPr>
          <w:rFonts w:ascii="Times New Roman" w:hAnsi="Times New Roman"/>
        </w:rPr>
      </w:pPr>
      <w:r w:rsidRPr="00A22C24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A6322F">
        <w:rPr>
          <w:rFonts w:ascii="Times New Roman" w:hAnsi="Times New Roman"/>
        </w:rPr>
        <w:t>труда</w:t>
      </w:r>
      <w:proofErr w:type="spellEnd"/>
      <w:proofErr w:type="gramEnd"/>
      <w:r w:rsidRPr="00A6322F">
        <w:rPr>
          <w:rFonts w:ascii="Times New Roman" w:hAnsi="Times New Roman"/>
        </w:rPr>
        <w:t xml:space="preserve"> в </w:t>
      </w:r>
      <w:proofErr w:type="spellStart"/>
      <w:r w:rsidRPr="00A6322F">
        <w:rPr>
          <w:rFonts w:ascii="Times New Roman" w:hAnsi="Times New Roman"/>
        </w:rPr>
        <w:t>сельскохозяйственном</w:t>
      </w:r>
      <w:proofErr w:type="spellEnd"/>
      <w:r w:rsidRPr="00A6322F">
        <w:rPr>
          <w:rFonts w:ascii="Times New Roman" w:hAnsi="Times New Roman"/>
        </w:rPr>
        <w:t xml:space="preserve"> </w:t>
      </w:r>
      <w:proofErr w:type="spellStart"/>
      <w:r w:rsidRPr="00A6322F">
        <w:rPr>
          <w:rFonts w:ascii="Times New Roman" w:hAnsi="Times New Roman"/>
        </w:rPr>
        <w:t>производстве</w:t>
      </w:r>
      <w:proofErr w:type="spellEnd"/>
      <w:r w:rsidRPr="00A6322F">
        <w:rPr>
          <w:rFonts w:ascii="Times New Roman" w:hAnsi="Times New Roman"/>
        </w:rPr>
        <w:t xml:space="preserve">» </w:t>
      </w:r>
    </w:p>
    <w:p w:rsidR="00A6322F" w:rsidRPr="00C46E93" w:rsidRDefault="00A6322F" w:rsidP="00A6322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9E3D84" w:rsidTr="00BF321F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Наименование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140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Источ-ник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финан-сиро-вания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в </w:t>
            </w:r>
            <w:proofErr w:type="spellStart"/>
            <w:r w:rsidRPr="00A6322F">
              <w:rPr>
                <w:rFonts w:ascii="Times New Roman" w:hAnsi="Times New Roman"/>
              </w:rPr>
              <w:t>том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985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Непосред-ственный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муници-пальной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прог-раммы</w:t>
            </w:r>
            <w:proofErr w:type="spellEnd"/>
          </w:p>
        </w:tc>
      </w:tr>
      <w:tr w:rsidR="00A6322F" w:rsidRPr="00A6322F" w:rsidTr="00BF321F">
        <w:trPr>
          <w:trHeight w:val="630"/>
        </w:trPr>
        <w:tc>
          <w:tcPr>
            <w:tcW w:w="675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0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2015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2016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2017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2018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2019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2020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2021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  <w:tr w:rsidR="00A6322F" w:rsidRPr="00A6322F" w:rsidTr="00BF321F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</w:t>
            </w:r>
          </w:p>
        </w:tc>
      </w:tr>
      <w:tr w:rsidR="00A6322F" w:rsidRPr="009E3D84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9E3D84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1.1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F529EB" w:rsidRDefault="00F529EB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Управ-ление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сельского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хозяйства</w:t>
            </w:r>
            <w:proofErr w:type="spellEnd"/>
          </w:p>
          <w:p w:rsidR="00A6322F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29EB" w:rsidRPr="00F529EB" w:rsidRDefault="00F529EB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9E3D84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1.2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9E3D84" w:rsidTr="00BF321F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A6322F" w:rsidRPr="00A6322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A6322F" w:rsidRPr="00A6322F">
              <w:rPr>
                <w:rFonts w:ascii="Times New Roman" w:hAnsi="Times New Roman"/>
              </w:rPr>
              <w:t>.5</w:t>
            </w:r>
          </w:p>
        </w:tc>
        <w:tc>
          <w:tcPr>
            <w:tcW w:w="850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.5</w:t>
            </w:r>
          </w:p>
        </w:tc>
        <w:tc>
          <w:tcPr>
            <w:tcW w:w="850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9E3D84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1.4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A6322F" w:rsidRPr="00A6322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9E3D84" w:rsidTr="00BF321F">
        <w:tc>
          <w:tcPr>
            <w:tcW w:w="675" w:type="dxa"/>
          </w:tcPr>
          <w:p w:rsidR="00A6322F" w:rsidRPr="00A22C24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3113" w:type="dxa"/>
          </w:tcPr>
          <w:p w:rsidR="00A6322F" w:rsidRPr="00F529EB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F529EB" w:rsidRDefault="00F529EB" w:rsidP="00F529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60.0</w:t>
            </w:r>
          </w:p>
        </w:tc>
        <w:tc>
          <w:tcPr>
            <w:tcW w:w="992" w:type="dxa"/>
            <w:gridSpan w:val="2"/>
          </w:tcPr>
          <w:p w:rsidR="00A6322F" w:rsidRPr="00A6322F" w:rsidRDefault="00F529EB" w:rsidP="00F529EB">
            <w:pPr>
              <w:tabs>
                <w:tab w:val="center" w:pos="3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6322F" w:rsidRPr="00A632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6322F" w:rsidRPr="00A6322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.0</w:t>
            </w:r>
          </w:p>
        </w:tc>
        <w:tc>
          <w:tcPr>
            <w:tcW w:w="850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.0</w:t>
            </w:r>
          </w:p>
        </w:tc>
        <w:tc>
          <w:tcPr>
            <w:tcW w:w="850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A6322F" w:rsidRPr="00E200C2" w:rsidRDefault="00E200C2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276" w:type="dxa"/>
          </w:tcPr>
          <w:p w:rsidR="00A6322F" w:rsidRPr="00A73B77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529EB" w:rsidRPr="00A6322F" w:rsidTr="00BF321F">
        <w:tc>
          <w:tcPr>
            <w:tcW w:w="675" w:type="dxa"/>
          </w:tcPr>
          <w:p w:rsidR="00F529EB" w:rsidRPr="00A22C24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</w:tcPr>
          <w:p w:rsidR="00F529EB" w:rsidRPr="00A6322F" w:rsidRDefault="00F529EB" w:rsidP="00F529E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Итого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подпрограмме</w:t>
            </w:r>
            <w:proofErr w:type="spellEnd"/>
          </w:p>
        </w:tc>
        <w:tc>
          <w:tcPr>
            <w:tcW w:w="1140" w:type="dxa"/>
          </w:tcPr>
          <w:p w:rsidR="00F529EB" w:rsidRPr="00A6322F" w:rsidRDefault="00F529EB" w:rsidP="00F529E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gridSpan w:val="2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1985" w:type="dxa"/>
          </w:tcPr>
          <w:p w:rsidR="00F529EB" w:rsidRPr="00A6322F" w:rsidRDefault="00F529EB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29EB" w:rsidRPr="00A6322F" w:rsidRDefault="00F529EB" w:rsidP="00A63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45903"/>
    <w:rsid w:val="00007326"/>
    <w:rsid w:val="00011CF9"/>
    <w:rsid w:val="0002215B"/>
    <w:rsid w:val="00027626"/>
    <w:rsid w:val="00027F10"/>
    <w:rsid w:val="000316DF"/>
    <w:rsid w:val="0004621C"/>
    <w:rsid w:val="00047DD0"/>
    <w:rsid w:val="00052245"/>
    <w:rsid w:val="000867A6"/>
    <w:rsid w:val="00092B69"/>
    <w:rsid w:val="000955CA"/>
    <w:rsid w:val="000970F5"/>
    <w:rsid w:val="000A19BC"/>
    <w:rsid w:val="000A2071"/>
    <w:rsid w:val="000B6AB2"/>
    <w:rsid w:val="000C0BB4"/>
    <w:rsid w:val="000C0FE2"/>
    <w:rsid w:val="000F3DC1"/>
    <w:rsid w:val="000F7B19"/>
    <w:rsid w:val="000F7FBD"/>
    <w:rsid w:val="0013419D"/>
    <w:rsid w:val="0013724E"/>
    <w:rsid w:val="00140E13"/>
    <w:rsid w:val="00150D25"/>
    <w:rsid w:val="00151D6C"/>
    <w:rsid w:val="001527A5"/>
    <w:rsid w:val="00152B20"/>
    <w:rsid w:val="001553CE"/>
    <w:rsid w:val="0016461C"/>
    <w:rsid w:val="0016761F"/>
    <w:rsid w:val="00170E40"/>
    <w:rsid w:val="00185BD5"/>
    <w:rsid w:val="00192B1E"/>
    <w:rsid w:val="001A6CE5"/>
    <w:rsid w:val="001C1FEF"/>
    <w:rsid w:val="001E63BD"/>
    <w:rsid w:val="00201F4C"/>
    <w:rsid w:val="00206C8A"/>
    <w:rsid w:val="002105B8"/>
    <w:rsid w:val="00213E03"/>
    <w:rsid w:val="00235624"/>
    <w:rsid w:val="00250B38"/>
    <w:rsid w:val="002648CF"/>
    <w:rsid w:val="00272B25"/>
    <w:rsid w:val="0028089F"/>
    <w:rsid w:val="00290632"/>
    <w:rsid w:val="00291006"/>
    <w:rsid w:val="002B7BC6"/>
    <w:rsid w:val="002C0EAA"/>
    <w:rsid w:val="002C2B6D"/>
    <w:rsid w:val="002D406E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A3396"/>
    <w:rsid w:val="003A5AC7"/>
    <w:rsid w:val="003B76A5"/>
    <w:rsid w:val="003B7BB9"/>
    <w:rsid w:val="003C3B78"/>
    <w:rsid w:val="003C5991"/>
    <w:rsid w:val="003D08A3"/>
    <w:rsid w:val="003D1661"/>
    <w:rsid w:val="003D287C"/>
    <w:rsid w:val="003E323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61FCE"/>
    <w:rsid w:val="004768F8"/>
    <w:rsid w:val="0049190A"/>
    <w:rsid w:val="004A39E6"/>
    <w:rsid w:val="004C25C8"/>
    <w:rsid w:val="004E3B75"/>
    <w:rsid w:val="004F24FF"/>
    <w:rsid w:val="004F4AE5"/>
    <w:rsid w:val="004F4B7D"/>
    <w:rsid w:val="004F503F"/>
    <w:rsid w:val="00505F40"/>
    <w:rsid w:val="005205D3"/>
    <w:rsid w:val="00525B98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56D"/>
    <w:rsid w:val="00581913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E09DD"/>
    <w:rsid w:val="005F0625"/>
    <w:rsid w:val="006024D6"/>
    <w:rsid w:val="00605633"/>
    <w:rsid w:val="00612D4F"/>
    <w:rsid w:val="00617EFE"/>
    <w:rsid w:val="00620448"/>
    <w:rsid w:val="00632153"/>
    <w:rsid w:val="006450F0"/>
    <w:rsid w:val="006455F5"/>
    <w:rsid w:val="0066207F"/>
    <w:rsid w:val="006828B5"/>
    <w:rsid w:val="00697FCA"/>
    <w:rsid w:val="006A12AF"/>
    <w:rsid w:val="006B1C38"/>
    <w:rsid w:val="006B6457"/>
    <w:rsid w:val="006B710A"/>
    <w:rsid w:val="006D0CA8"/>
    <w:rsid w:val="006E1A26"/>
    <w:rsid w:val="006F51C4"/>
    <w:rsid w:val="0071008E"/>
    <w:rsid w:val="0073769B"/>
    <w:rsid w:val="00747F6A"/>
    <w:rsid w:val="007620DC"/>
    <w:rsid w:val="00763FAB"/>
    <w:rsid w:val="0076571B"/>
    <w:rsid w:val="0077279F"/>
    <w:rsid w:val="007757AA"/>
    <w:rsid w:val="00797EA6"/>
    <w:rsid w:val="007B711A"/>
    <w:rsid w:val="007F4027"/>
    <w:rsid w:val="00817C8C"/>
    <w:rsid w:val="0084710A"/>
    <w:rsid w:val="008535F6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D09F1"/>
    <w:rsid w:val="008D1238"/>
    <w:rsid w:val="008E4247"/>
    <w:rsid w:val="008F44F6"/>
    <w:rsid w:val="00916840"/>
    <w:rsid w:val="0091739D"/>
    <w:rsid w:val="0093770D"/>
    <w:rsid w:val="009556F7"/>
    <w:rsid w:val="00963F35"/>
    <w:rsid w:val="00965402"/>
    <w:rsid w:val="00971C08"/>
    <w:rsid w:val="009910F7"/>
    <w:rsid w:val="009B3E06"/>
    <w:rsid w:val="009D40DB"/>
    <w:rsid w:val="009D5145"/>
    <w:rsid w:val="009E2A23"/>
    <w:rsid w:val="009E3D84"/>
    <w:rsid w:val="009E6335"/>
    <w:rsid w:val="009E6D22"/>
    <w:rsid w:val="009F1B00"/>
    <w:rsid w:val="00A0200A"/>
    <w:rsid w:val="00A1326E"/>
    <w:rsid w:val="00A22C24"/>
    <w:rsid w:val="00A27964"/>
    <w:rsid w:val="00A30317"/>
    <w:rsid w:val="00A41718"/>
    <w:rsid w:val="00A6322F"/>
    <w:rsid w:val="00A638EB"/>
    <w:rsid w:val="00A6622E"/>
    <w:rsid w:val="00A73B77"/>
    <w:rsid w:val="00A73BEB"/>
    <w:rsid w:val="00A9793D"/>
    <w:rsid w:val="00AB0F0E"/>
    <w:rsid w:val="00AB65D5"/>
    <w:rsid w:val="00AD5F64"/>
    <w:rsid w:val="00AE21DF"/>
    <w:rsid w:val="00AE7403"/>
    <w:rsid w:val="00B04E02"/>
    <w:rsid w:val="00B350CA"/>
    <w:rsid w:val="00B538E5"/>
    <w:rsid w:val="00B54F4C"/>
    <w:rsid w:val="00B553C7"/>
    <w:rsid w:val="00B75E9D"/>
    <w:rsid w:val="00B83F3A"/>
    <w:rsid w:val="00B8625A"/>
    <w:rsid w:val="00B9730C"/>
    <w:rsid w:val="00BA425A"/>
    <w:rsid w:val="00BB3189"/>
    <w:rsid w:val="00BC74B9"/>
    <w:rsid w:val="00BD018D"/>
    <w:rsid w:val="00BF321F"/>
    <w:rsid w:val="00C175C0"/>
    <w:rsid w:val="00C27336"/>
    <w:rsid w:val="00C276BC"/>
    <w:rsid w:val="00C31F2D"/>
    <w:rsid w:val="00C62337"/>
    <w:rsid w:val="00C63D54"/>
    <w:rsid w:val="00C720DA"/>
    <w:rsid w:val="00C75D7B"/>
    <w:rsid w:val="00C90E4B"/>
    <w:rsid w:val="00C92F0E"/>
    <w:rsid w:val="00CA78F0"/>
    <w:rsid w:val="00CC0417"/>
    <w:rsid w:val="00CC649D"/>
    <w:rsid w:val="00CE05BF"/>
    <w:rsid w:val="00CE1415"/>
    <w:rsid w:val="00CE40E7"/>
    <w:rsid w:val="00CE504F"/>
    <w:rsid w:val="00CF29FC"/>
    <w:rsid w:val="00CF2D76"/>
    <w:rsid w:val="00D0083A"/>
    <w:rsid w:val="00D035C3"/>
    <w:rsid w:val="00D045E0"/>
    <w:rsid w:val="00D2664E"/>
    <w:rsid w:val="00D30A7B"/>
    <w:rsid w:val="00D37C61"/>
    <w:rsid w:val="00D71775"/>
    <w:rsid w:val="00D97AFC"/>
    <w:rsid w:val="00DA3053"/>
    <w:rsid w:val="00DA6D1C"/>
    <w:rsid w:val="00DB0F1F"/>
    <w:rsid w:val="00DB1F38"/>
    <w:rsid w:val="00DC002E"/>
    <w:rsid w:val="00DC4875"/>
    <w:rsid w:val="00DD319E"/>
    <w:rsid w:val="00DD50CA"/>
    <w:rsid w:val="00DE473B"/>
    <w:rsid w:val="00DE6511"/>
    <w:rsid w:val="00DF2D03"/>
    <w:rsid w:val="00DF418A"/>
    <w:rsid w:val="00E17229"/>
    <w:rsid w:val="00E200C2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B3099"/>
    <w:rsid w:val="00EB415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A3E03"/>
    <w:rsid w:val="00FB3CC5"/>
    <w:rsid w:val="00FD4984"/>
    <w:rsid w:val="00FE56C5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0.0" TargetMode="External"/><Relationship Id="rId13" Type="http://schemas.openxmlformats.org/officeDocument/2006/relationships/hyperlink" Target="garantF1://23841690.0" TargetMode="External"/><Relationship Id="rId18" Type="http://schemas.openxmlformats.org/officeDocument/2006/relationships/hyperlink" Target="garantF1://36892200.0" TargetMode="External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hyperlink" Target="garantF1://12051309.0" TargetMode="External"/><Relationship Id="rId7" Type="http://schemas.openxmlformats.org/officeDocument/2006/relationships/hyperlink" Target="garantF1://12051309.0" TargetMode="External"/><Relationship Id="rId12" Type="http://schemas.openxmlformats.org/officeDocument/2006/relationships/hyperlink" Target="garantF1://23840884.0" TargetMode="External"/><Relationship Id="rId17" Type="http://schemas.openxmlformats.org/officeDocument/2006/relationships/hyperlink" Target="garantF1://36891691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6891601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hyperlink" Target="garantF1://10008787.0" TargetMode="External"/><Relationship Id="rId11" Type="http://schemas.openxmlformats.org/officeDocument/2006/relationships/hyperlink" Target="garantF1://23840725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hyperlink" Target="garantF1://70273192.0" TargetMode="External"/><Relationship Id="rId40" Type="http://schemas.microsoft.com/office/2007/relationships/stylesWithEffects" Target="stylesWithEffects.xml"/><Relationship Id="rId5" Type="http://schemas.openxmlformats.org/officeDocument/2006/relationships/hyperlink" Target="garantF1://12017177.0" TargetMode="External"/><Relationship Id="rId15" Type="http://schemas.openxmlformats.org/officeDocument/2006/relationships/hyperlink" Target="garantF1://36804984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hyperlink" Target="garantF1://23841354.0" TargetMode="External"/><Relationship Id="rId10" Type="http://schemas.openxmlformats.org/officeDocument/2006/relationships/hyperlink" Target="garantF1://23840721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23801142.0" TargetMode="External"/><Relationship Id="rId14" Type="http://schemas.openxmlformats.org/officeDocument/2006/relationships/hyperlink" Target="garantF1://36802400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6846-8350-475B-8F8C-F551735A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11444</Words>
  <Characters>65237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7</cp:revision>
  <cp:lastPrinted>2018-06-28T05:22:00Z</cp:lastPrinted>
  <dcterms:created xsi:type="dcterms:W3CDTF">2019-06-20T04:16:00Z</dcterms:created>
  <dcterms:modified xsi:type="dcterms:W3CDTF">2019-06-25T08:33:00Z</dcterms:modified>
</cp:coreProperties>
</file>