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19.04.2019г., </w:t>
      </w:r>
      <w:r w:rsidR="0068735F">
        <w:rPr>
          <w:rFonts w:ascii="Times New Roman" w:hAnsi="Times New Roman" w:cs="Times New Roman"/>
          <w:bCs/>
          <w:color w:val="26282F"/>
          <w:sz w:val="28"/>
          <w:szCs w:val="28"/>
        </w:rPr>
        <w:t>21.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>06.2019г.</w:t>
      </w:r>
      <w:r w:rsidR="002A47DE">
        <w:rPr>
          <w:rFonts w:ascii="Times New Roman" w:hAnsi="Times New Roman" w:cs="Times New Roman"/>
          <w:bCs/>
          <w:color w:val="26282F"/>
          <w:sz w:val="28"/>
          <w:szCs w:val="28"/>
        </w:rPr>
        <w:t>, 8.07.2019г., 6.08.2019г.</w:t>
      </w:r>
      <w:r w:rsidR="0091224B">
        <w:rPr>
          <w:rFonts w:ascii="Times New Roman" w:hAnsi="Times New Roman" w:cs="Times New Roman"/>
          <w:bCs/>
          <w:color w:val="26282F"/>
          <w:sz w:val="28"/>
          <w:szCs w:val="28"/>
        </w:rPr>
        <w:t>, 23.09.2019г.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культурного наследия муниципального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D163A" w:rsidRPr="000101A1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F42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CA3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архивов, в которых  выполнены работы по капитальному и текущему ремонту;</w:t>
            </w:r>
          </w:p>
          <w:p w:rsidR="00F42CA3" w:rsidRPr="000101A1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5405E3" w:rsidRDefault="005405E3" w:rsidP="005405E3">
      <w:pPr>
        <w:rPr>
          <w:rFonts w:ascii="Times New Roman" w:hAnsi="Times New Roman"/>
          <w:sz w:val="28"/>
          <w:szCs w:val="28"/>
        </w:rPr>
      </w:pPr>
      <w:r w:rsidRPr="006B71BD">
        <w:rPr>
          <w:rFonts w:ascii="Times New Roman" w:hAnsi="Times New Roman"/>
          <w:sz w:val="28"/>
          <w:szCs w:val="28"/>
        </w:rPr>
        <w:t xml:space="preserve">«Объемы бюджетных ассигнований муниципальной </w:t>
      </w:r>
      <w:r w:rsidRPr="005942D2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tbl>
      <w:tblPr>
        <w:tblW w:w="9854" w:type="dxa"/>
        <w:tblLook w:val="00A0"/>
      </w:tblPr>
      <w:tblGrid>
        <w:gridCol w:w="3387"/>
        <w:gridCol w:w="76"/>
        <w:gridCol w:w="6108"/>
        <w:gridCol w:w="283"/>
      </w:tblGrid>
      <w:tr w:rsidR="000E403E" w:rsidRPr="00EA0668" w:rsidTr="00A07D5E">
        <w:tc>
          <w:tcPr>
            <w:tcW w:w="3463" w:type="dxa"/>
            <w:gridSpan w:val="2"/>
          </w:tcPr>
          <w:p w:rsidR="000E403E" w:rsidRPr="00CE1AF2" w:rsidRDefault="000E403E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6391" w:type="dxa"/>
            <w:gridSpan w:val="2"/>
          </w:tcPr>
          <w:p w:rsidR="00C35FD9" w:rsidRDefault="00C35FD9" w:rsidP="00C35F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на 2015-2021 годы – 586420,6 тыс. руб., из них по годам: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 год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74429,2 </w:t>
            </w:r>
            <w:r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71364,6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83969,3 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86916,8 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94886,0 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87422,5 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87432,2  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местного бюджета – 533967,2  тыс.  руб., в том числе по годам: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73579,4 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79377,1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90895,3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84872,0 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84872,0 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 – 31034,6 тыс. руб., в том числе по годам: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7350,3 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  4703,1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  1 558,3 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 год -     173,9 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 183,6 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–283,4 тыс. руб., в том числе по годам: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   55,0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   56,0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    60,8 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   55,8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   55,8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    0,0 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  0,0 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внебюджетных источников  – 21135,4 тыс. руб., в том числе по годам: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 1532,5 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 2978,8 тыс. 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2780,8 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2376,6  тыс. рублей;</w:t>
            </w:r>
          </w:p>
          <w:p w:rsidR="00C35FD9" w:rsidRDefault="00C35FD9" w:rsidP="00C35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 2376,6 тыс. рублей;</w:t>
            </w:r>
          </w:p>
          <w:p w:rsidR="006B49F7" w:rsidRDefault="00C35FD9" w:rsidP="00C35FD9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2376,6 тыс. рублей».</w:t>
            </w:r>
          </w:p>
          <w:p w:rsidR="00C35FD9" w:rsidRPr="00C35FD9" w:rsidRDefault="00C35FD9" w:rsidP="00C35FD9"/>
          <w:p w:rsidR="0068735F" w:rsidRDefault="0068735F" w:rsidP="0068735F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2D5E">
              <w:rPr>
                <w:rFonts w:ascii="Times New Roman" w:hAnsi="Times New Roman"/>
                <w:sz w:val="28"/>
                <w:szCs w:val="28"/>
              </w:rPr>
              <w:t>одпрограмм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B4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D5E">
              <w:rPr>
                <w:rFonts w:ascii="Times New Roman" w:hAnsi="Times New Roman"/>
                <w:sz w:val="28"/>
                <w:szCs w:val="28"/>
              </w:rPr>
              <w:t>«Укрепление материально-технической базы архива муниципального образования Кавказский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2019 год  всего </w:t>
            </w:r>
          </w:p>
          <w:p w:rsidR="0068735F" w:rsidRPr="00A133F4" w:rsidRDefault="0068735F" w:rsidP="00687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3F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2698,1</w:t>
            </w:r>
            <w:r w:rsidRPr="00A133F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8735F" w:rsidRPr="00A133F4" w:rsidRDefault="0068735F" w:rsidP="006873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3F4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/>
                <w:sz w:val="28"/>
                <w:szCs w:val="28"/>
              </w:rPr>
              <w:t>2698,1</w:t>
            </w:r>
            <w:r w:rsidRPr="00A133F4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0E403E" w:rsidRPr="0068735F" w:rsidRDefault="0047618F" w:rsidP="0068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 тыс. рублей,                                    </w:t>
            </w:r>
            <w:r w:rsidR="0068735F" w:rsidRPr="00A133F4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рублей,</w:t>
            </w:r>
            <w:r w:rsidR="006B4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68735F" w:rsidRPr="00A133F4">
              <w:rPr>
                <w:rFonts w:ascii="Times New Roman" w:hAnsi="Times New Roman"/>
                <w:sz w:val="28"/>
                <w:szCs w:val="28"/>
              </w:rPr>
              <w:t>из них:</w:t>
            </w:r>
            <w:r w:rsidR="006B4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68735F" w:rsidRPr="00A133F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</w:t>
            </w:r>
            <w:r w:rsidR="0068735F">
              <w:rPr>
                <w:rFonts w:ascii="Times New Roman" w:hAnsi="Times New Roman" w:cs="Times New Roman"/>
                <w:sz w:val="28"/>
                <w:szCs w:val="28"/>
              </w:rPr>
              <w:t xml:space="preserve"> - 1376,0 тыс. рублей, в том числе по годам</w:t>
            </w:r>
            <w:r w:rsidR="006B49F7">
              <w:rPr>
                <w:rFonts w:ascii="Times New Roman" w:hAnsi="Times New Roman" w:cs="Times New Roman"/>
                <w:sz w:val="28"/>
                <w:szCs w:val="28"/>
              </w:rPr>
              <w:t>:                               2019 год - 1376,0 тыс. рублей;</w:t>
            </w:r>
            <w:proofErr w:type="gramEnd"/>
            <w:r w:rsidR="006B4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gramStart"/>
            <w:r w:rsidR="0068735F" w:rsidRPr="00A133F4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рублей,</w:t>
            </w:r>
            <w:r w:rsidR="006B4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68735F" w:rsidRPr="00A133F4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рублей,</w:t>
            </w:r>
            <w:r w:rsidR="006B4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68735F" w:rsidRPr="00A133F4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 w:rsidR="0068735F">
              <w:rPr>
                <w:rFonts w:ascii="Times New Roman" w:hAnsi="Times New Roman"/>
                <w:sz w:val="28"/>
                <w:szCs w:val="28"/>
              </w:rPr>
              <w:t xml:space="preserve"> – 1322,1 тыс. рублей, в том числе по годам</w:t>
            </w:r>
            <w:r w:rsidR="0068735F" w:rsidRPr="00A133F4">
              <w:rPr>
                <w:rFonts w:ascii="Times New Roman" w:hAnsi="Times New Roman"/>
                <w:sz w:val="28"/>
                <w:szCs w:val="28"/>
              </w:rPr>
              <w:t>:</w:t>
            </w:r>
            <w:r w:rsidR="006B49F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68735F" w:rsidRPr="00A133F4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68735F">
              <w:rPr>
                <w:rFonts w:ascii="Times New Roman" w:hAnsi="Times New Roman"/>
                <w:sz w:val="28"/>
                <w:szCs w:val="28"/>
              </w:rPr>
              <w:t>1322,1</w:t>
            </w:r>
            <w:r w:rsidR="0068735F" w:rsidRPr="00A133F4">
              <w:rPr>
                <w:rFonts w:ascii="Times New Roman" w:hAnsi="Times New Roman"/>
                <w:sz w:val="28"/>
                <w:szCs w:val="28"/>
              </w:rPr>
              <w:t xml:space="preserve"> тыс. рублей,</w:t>
            </w:r>
            <w:r w:rsidR="006B4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8735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 тыс. рублей                                      </w:t>
            </w:r>
            <w:r w:rsidR="0068735F" w:rsidRPr="00A133F4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рублей.</w:t>
            </w:r>
            <w:proofErr w:type="gramEnd"/>
          </w:p>
        </w:tc>
      </w:tr>
      <w:tr w:rsidR="005405E3" w:rsidRPr="00EA0668" w:rsidTr="00A07D5E">
        <w:trPr>
          <w:gridAfter w:val="1"/>
          <w:wAfter w:w="283" w:type="dxa"/>
        </w:trPr>
        <w:tc>
          <w:tcPr>
            <w:tcW w:w="3387" w:type="dxa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2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64-ФЗ «О культурных ценностях, перемещенных в Союз ССР в результате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 xml:space="preserve">Архивное дело в Российской Федерации (далее также - архивное дело) деятельность государственных органов, органов местного самоуправления, </w:t>
      </w:r>
      <w:r w:rsidRPr="004A2CD6">
        <w:rPr>
          <w:rFonts w:ascii="Times New Roman" w:hAnsi="Times New Roman" w:cs="Times New Roman"/>
          <w:sz w:val="28"/>
          <w:szCs w:val="28"/>
        </w:rPr>
        <w:lastRenderedPageBreak/>
        <w:t>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126AEB" w:rsidRPr="00BA4B7B" w:rsidRDefault="00126AEB" w:rsidP="00126AEB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A4B7B">
        <w:rPr>
          <w:rFonts w:ascii="Times New Roman" w:hAnsi="Times New Roman" w:cs="Times New Roman"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126AEB" w:rsidRPr="00BA4B7B" w:rsidTr="00752E62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 w:rsidRPr="00BA4B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126AEB" w:rsidRPr="00BA4B7B" w:rsidTr="00752E62">
        <w:trPr>
          <w:trHeight w:val="6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4B3ED1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pStyle w:val="a3"/>
              <w:suppressAutoHyphens/>
              <w:rPr>
                <w:rFonts w:ascii="Times New Roman" w:hAnsi="Times New Roman"/>
              </w:rPr>
            </w:pPr>
            <w:r w:rsidRPr="00BA4B7B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BA4B7B">
              <w:rPr>
                <w:rFonts w:ascii="Times New Roman" w:hAnsi="Times New Roman"/>
                <w:i/>
              </w:rPr>
              <w:t>Основное мероприятие № 1</w:t>
            </w:r>
            <w:r w:rsidRPr="00BA4B7B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BA4B7B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BA4B7B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BA4B7B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</w:pPr>
            <w:r w:rsidRPr="00BA4B7B"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</w:pPr>
            <w:r w:rsidRPr="00BA4B7B"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</w:pPr>
            <w:r w:rsidRPr="00BA4B7B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</w:pPr>
            <w:r w:rsidRPr="00BA4B7B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</w:pPr>
            <w:r w:rsidRPr="00BA4B7B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</w:pPr>
            <w:r w:rsidRPr="00BA4B7B">
              <w:t>75</w:t>
            </w:r>
          </w:p>
        </w:tc>
      </w:tr>
      <w:tr w:rsidR="00126AEB" w:rsidRPr="00BA4B7B" w:rsidTr="00752E62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№ 2 «Реализация дополнительных </w:t>
            </w: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126AEB" w:rsidRPr="00BA4B7B" w:rsidTr="00752E62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126AEB" w:rsidRPr="00BA4B7B" w:rsidTr="00752E62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26AEB" w:rsidRPr="00BA4B7B" w:rsidTr="00752E62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126AEB" w:rsidRPr="00BA4B7B" w:rsidTr="00752E62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6AEB" w:rsidRPr="00BA4B7B" w:rsidTr="00752E62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6AEB" w:rsidRPr="00BA4B7B" w:rsidTr="00752E62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126AEB" w:rsidRPr="00BA4B7B" w:rsidTr="00752E62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126AEB" w:rsidRPr="00BA4B7B" w:rsidTr="00752E62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6AEB" w:rsidRPr="00BA4B7B" w:rsidTr="00752E62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26AEB" w:rsidRPr="00BA4B7B" w:rsidTr="00752E62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</w:tr>
      <w:tr w:rsidR="00126AEB" w:rsidRPr="00BA4B7B" w:rsidTr="00752E62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126AEB" w:rsidRPr="00BA4B7B" w:rsidTr="00752E62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26AEB" w:rsidRPr="00BA4B7B" w:rsidTr="00752E62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6AEB" w:rsidRPr="00BA4B7B" w:rsidTr="00752E62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26AEB" w:rsidRPr="00BA4B7B" w:rsidTr="00752E62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26AEB" w:rsidRPr="00BA4B7B" w:rsidTr="00752E6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126AEB" w:rsidRPr="00BA4B7B" w:rsidTr="00752E62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организация и ведение бухгалтерского учета, финансово-хозяйственной деятельности организаций и 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AEB" w:rsidRPr="00BA4B7B" w:rsidTr="00752E62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26AEB" w:rsidRPr="00BA4B7B" w:rsidTr="00752E62">
        <w:trPr>
          <w:trHeight w:val="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BA4B7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126AEB" w:rsidRPr="00BA4B7B" w:rsidTr="00752E62">
        <w:trPr>
          <w:trHeight w:val="9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126AEB" w:rsidRPr="00BA4B7B" w:rsidTr="00752E62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BA4B7B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26AEB" w:rsidRPr="00634BB3" w:rsidTr="00752E62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634BB3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374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126AEB" w:rsidRPr="00634BB3" w:rsidTr="00752E62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634BB3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126AEB" w:rsidRPr="00634BB3" w:rsidTr="00752E62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634BB3" w:rsidRDefault="00126AEB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3744CF" w:rsidRDefault="00126AEB" w:rsidP="00752E6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126AEB" w:rsidRPr="00634BB3" w:rsidTr="00752E62">
        <w:trPr>
          <w:trHeight w:val="5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634BB3" w:rsidRDefault="001B55E6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pStyle w:val="a3"/>
              <w:jc w:val="center"/>
              <w:rPr>
                <w:rFonts w:ascii="Times New Roman" w:hAnsi="Times New Roman"/>
              </w:rPr>
            </w:pPr>
            <w:r w:rsidRPr="003744CF">
              <w:rPr>
                <w:rFonts w:ascii="Times New Roman" w:hAnsi="Times New Roman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ол-во зданий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634BB3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AEB" w:rsidRPr="00634BB3" w:rsidTr="00752E62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EB" w:rsidRPr="00634BB3" w:rsidRDefault="001B55E6" w:rsidP="00752E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pStyle w:val="a3"/>
              <w:jc w:val="center"/>
              <w:rPr>
                <w:rFonts w:ascii="Times New Roman" w:hAnsi="Times New Roman"/>
              </w:rPr>
            </w:pPr>
            <w:r w:rsidRPr="00126AEB">
              <w:rPr>
                <w:rFonts w:ascii="Times New Roman" w:hAnsi="Times New Roman"/>
              </w:rPr>
              <w:t>количество приобретенного</w:t>
            </w:r>
            <w:r>
              <w:rPr>
                <w:rFonts w:ascii="Times New Roman" w:hAnsi="Times New Roman"/>
              </w:rPr>
              <w:t xml:space="preserve"> </w:t>
            </w:r>
            <w:r w:rsidRPr="00126AEB">
              <w:rPr>
                <w:rFonts w:ascii="Times New Roman" w:hAnsi="Times New Roman"/>
              </w:rPr>
              <w:t>оборудования для</w:t>
            </w:r>
            <w:r w:rsidRPr="003744CF">
              <w:rPr>
                <w:rFonts w:ascii="Times New Roman" w:hAnsi="Times New Roman"/>
              </w:rPr>
              <w:t xml:space="preserve">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3744CF">
              <w:rPr>
                <w:rFonts w:ascii="Times New Roman" w:hAnsi="Times New Roman"/>
              </w:rPr>
              <w:t>картонирования</w:t>
            </w:r>
            <w:proofErr w:type="spellEnd"/>
            <w:r w:rsidRPr="003744CF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Pr="003744CF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AEB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6AEB" w:rsidRPr="00634BB3" w:rsidRDefault="00126AEB" w:rsidP="00752E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AEB" w:rsidRPr="00634BB3" w:rsidRDefault="00126AEB" w:rsidP="00126AE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26AEB" w:rsidRPr="00BA4B7B" w:rsidRDefault="00126AEB" w:rsidP="00126AE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B7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A4B7B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26AEB" w:rsidRPr="00BA4B7B" w:rsidRDefault="00126AEB" w:rsidP="00126AE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AEB" w:rsidRPr="00BA4B7B" w:rsidRDefault="00126AEB" w:rsidP="00126A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B7B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BA4B7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26AEB" w:rsidRDefault="00126AEB" w:rsidP="00126AEB">
      <w:pPr>
        <w:suppressAutoHyphens/>
        <w:rPr>
          <w:rFonts w:ascii="Times New Roman" w:hAnsi="Times New Roman" w:cs="Times New Roman"/>
          <w:sz w:val="24"/>
          <w:szCs w:val="24"/>
        </w:rPr>
        <w:sectPr w:rsidR="00126AEB" w:rsidSect="00752E62">
          <w:pgSz w:w="16837" w:h="11905" w:orient="landscape"/>
          <w:pgMar w:top="1100" w:right="1440" w:bottom="799" w:left="851" w:header="720" w:footer="720" w:gutter="0"/>
          <w:cols w:space="720"/>
          <w:noEndnote/>
        </w:sectPr>
      </w:pPr>
      <w:r w:rsidRPr="00BA4B7B"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</w:t>
      </w:r>
      <w:r w:rsidR="0040292E">
        <w:rPr>
          <w:rFonts w:ascii="Times New Roman" w:hAnsi="Times New Roman" w:cs="Times New Roman"/>
          <w:sz w:val="24"/>
          <w:szCs w:val="24"/>
        </w:rPr>
        <w:t xml:space="preserve">                   С.В. Филато</w:t>
      </w:r>
      <w:r w:rsidR="001B55E6">
        <w:rPr>
          <w:rFonts w:ascii="Times New Roman" w:hAnsi="Times New Roman" w:cs="Times New Roman"/>
          <w:sz w:val="24"/>
          <w:szCs w:val="24"/>
        </w:rPr>
        <w:t>ва</w:t>
      </w:r>
    </w:p>
    <w:p w:rsidR="008F40F3" w:rsidRPr="00F17DBE" w:rsidRDefault="008F40F3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Pr="007D1F61" w:rsidRDefault="0093153A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tbl>
      <w:tblPr>
        <w:tblW w:w="15188" w:type="dxa"/>
        <w:tblInd w:w="88" w:type="dxa"/>
        <w:tblLayout w:type="fixed"/>
        <w:tblLook w:val="04A0"/>
      </w:tblPr>
      <w:tblGrid>
        <w:gridCol w:w="695"/>
        <w:gridCol w:w="3719"/>
        <w:gridCol w:w="1134"/>
        <w:gridCol w:w="992"/>
        <w:gridCol w:w="1418"/>
        <w:gridCol w:w="993"/>
        <w:gridCol w:w="708"/>
        <w:gridCol w:w="284"/>
        <w:gridCol w:w="1105"/>
        <w:gridCol w:w="29"/>
        <w:gridCol w:w="992"/>
        <w:gridCol w:w="1418"/>
        <w:gridCol w:w="1701"/>
      </w:tblGrid>
      <w:tr w:rsidR="007D1F61" w:rsidRPr="007D1F61" w:rsidTr="007D1F61">
        <w:trPr>
          <w:trHeight w:val="1710"/>
        </w:trPr>
        <w:tc>
          <w:tcPr>
            <w:tcW w:w="15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 МУНИЦИПАЛЬНОЙ ПРОГРАММЫ</w:t>
            </w: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«РАЗВИТИЕ КУЛЬТУРЫ» </w:t>
            </w: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69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D1F61">
              <w:rPr>
                <w:rFonts w:ascii="Calibri" w:eastAsia="Times New Roman" w:hAnsi="Calibri" w:cs="Arial"/>
                <w:color w:val="000000"/>
              </w:rPr>
              <w:t xml:space="preserve">№ </w:t>
            </w:r>
            <w:proofErr w:type="spellStart"/>
            <w:proofErr w:type="gramStart"/>
            <w:r w:rsidRPr="007D1F61">
              <w:rPr>
                <w:rFonts w:ascii="Calibri" w:eastAsia="Times New Roman" w:hAnsi="Calibri" w:cs="Arial"/>
                <w:color w:val="000000"/>
              </w:rPr>
              <w:t>п</w:t>
            </w:r>
            <w:proofErr w:type="spellEnd"/>
            <w:proofErr w:type="gramEnd"/>
            <w:r w:rsidRPr="007D1F61">
              <w:rPr>
                <w:rFonts w:ascii="Calibri" w:eastAsia="Times New Roman" w:hAnsi="Calibri" w:cs="Arial"/>
                <w:color w:val="000000"/>
              </w:rPr>
              <w:t>/</w:t>
            </w:r>
            <w:proofErr w:type="spellStart"/>
            <w:r w:rsidRPr="007D1F61">
              <w:rPr>
                <w:rFonts w:ascii="Calibri" w:eastAsia="Times New Roman" w:hAnsi="Calibri" w:cs="Arial"/>
                <w:color w:val="000000"/>
              </w:rPr>
              <w:t>п</w:t>
            </w:r>
            <w:proofErr w:type="spellEnd"/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</w:t>
            </w: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D1F61">
              <w:rPr>
                <w:rFonts w:ascii="Times New Roman" w:eastAsia="Times New Roman" w:hAnsi="Times New Roman" w:cs="Times New Roman"/>
                <w:color w:val="000000"/>
              </w:rPr>
              <w:t>главный распорядитель (распорядитель) бюджетных средств, исполнитель</w:t>
            </w:r>
          </w:p>
        </w:tc>
      </w:tr>
      <w:tr w:rsidR="007D1F61" w:rsidRPr="007D1F61" w:rsidTr="007D1F61">
        <w:trPr>
          <w:trHeight w:val="49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1F61" w:rsidRPr="007D1F61" w:rsidTr="007D1F61">
        <w:trPr>
          <w:trHeight w:val="99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7D1F61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1F61" w:rsidRPr="007D1F61" w:rsidTr="007D1F61">
        <w:trPr>
          <w:trHeight w:val="360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D1F6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 программы «Развитие культуры» всего 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583722,5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532645,1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21135,4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D1F6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D1F6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6713,5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1532,5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2978,8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4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30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89573,2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87422,5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87432,2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социологич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еских опросов об уровне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D1F61">
              <w:rPr>
                <w:rFonts w:ascii="Calibri" w:eastAsia="Times New Roman" w:hAnsi="Calibri" w:cs="Arial"/>
                <w:color w:val="000000"/>
              </w:rPr>
              <w:lastRenderedPageBreak/>
              <w:t> 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430509,5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20364,0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#########################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54595,8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6322,8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1151,8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62972,1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2978,8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64912,9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421851,4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20364,0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54512,3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56763,8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62300,0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2.1.1 "Обеспечение поэтапного 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МБУ ДО ДШИ ст. Кавказской, МБУ ДО ДМШ 1 имени Г.В. Свиридова, МБУ ДО ДХШ, МБУ ДО ДМШ № 2»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382580,1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20364,0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56763,8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«Осуществление отдельных полномочий Краснодарского края на компенсацию расходов на оплату жилых помещений, отопления и освещения  педагогическим 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работникам, муниципальных учреждений, </w:t>
            </w:r>
            <w:proofErr w:type="spellStart"/>
            <w:proofErr w:type="gramStart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прожива-ющим</w:t>
            </w:r>
            <w:proofErr w:type="spellEnd"/>
            <w:proofErr w:type="gramEnd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работающим в сельской местности»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</w:t>
            </w: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сельской местности»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D1F6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D1F6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2.5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здания МБУ ДО ДШИ ст. Кавказская, укрепление материально-технической базы МБУ ДО детская художественная школа г</w:t>
            </w:r>
            <w:proofErr w:type="gramStart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ропоткин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2.6 Укрепление материально-технической базы, технического оснащения муниципальных учреждений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2.8 Осуществление капитального ремонта учреждениями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26912,5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#########################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работни-кам</w:t>
            </w:r>
            <w:proofErr w:type="spellEnd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учреждений, </w:t>
            </w:r>
            <w:proofErr w:type="gramStart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проживающим</w:t>
            </w:r>
            <w:proofErr w:type="gramEnd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работающим в сельской местности»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100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3.6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Поддержка отрасли культуры, в целях </w:t>
            </w:r>
            <w:proofErr w:type="spellStart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4.1 «Расходы на 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сферы культуры»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1020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76594,2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76594,2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проведение культурно-массовых мероприятий; 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обеспечение </w:t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участия учреждений культуры и учащихся школ дополнительного образования  в краевых, всероссийских фестивалях и конкурсах.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D1F61">
              <w:rPr>
                <w:rFonts w:ascii="Calibri" w:eastAsia="Times New Roman" w:hAnsi="Calibri" w:cs="Arial"/>
                <w:color w:val="000000"/>
              </w:rPr>
              <w:lastRenderedPageBreak/>
              <w:t> </w:t>
            </w: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6.1 «Расходы на организацию и проведение мероприятий в области культуры, популяризации здорового образа жизни»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D1F61" w:rsidRPr="007D1F61" w:rsidTr="007D1F61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61" w:rsidRPr="007D1F61" w:rsidRDefault="007D1F61" w:rsidP="007D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61" w:rsidRPr="007D1F61" w:rsidRDefault="007D1F61" w:rsidP="007D1F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B7972" w:rsidRDefault="002B7972" w:rsidP="00F2631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31F" w:rsidRDefault="00F2631F" w:rsidP="00F2631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2631F" w:rsidRDefault="00F2631F" w:rsidP="00F263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Филатова</w:t>
      </w:r>
    </w:p>
    <w:p w:rsidR="00F2631F" w:rsidRDefault="00F2631F" w:rsidP="00F2631F">
      <w:pPr>
        <w:rPr>
          <w:rFonts w:ascii="Times New Roman" w:hAnsi="Times New Roman"/>
        </w:rPr>
        <w:sectPr w:rsidR="00F2631F" w:rsidSect="0040292E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Default="00F2631F" w:rsidP="00F2631F">
      <w:pPr>
        <w:suppressAutoHyphens/>
        <w:rPr>
          <w:rFonts w:ascii="Times New Roman" w:hAnsi="Times New Roman"/>
          <w:shd w:val="clear" w:color="auto" w:fill="FFFFFF"/>
        </w:rPr>
      </w:pPr>
    </w:p>
    <w:p w:rsidR="00F2631F" w:rsidRPr="00F2631F" w:rsidRDefault="00F2631F" w:rsidP="00F2631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31F">
        <w:rPr>
          <w:rFonts w:ascii="Times New Roman" w:hAnsi="Times New Roman"/>
          <w:sz w:val="24"/>
          <w:szCs w:val="24"/>
        </w:rPr>
        <w:t>Объем финансовых ресурсов, предусмотренных</w:t>
      </w:r>
    </w:p>
    <w:p w:rsidR="00F2631F" w:rsidRPr="00F2631F" w:rsidRDefault="00F2631F" w:rsidP="00F2631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31F">
        <w:rPr>
          <w:rFonts w:ascii="Times New Roman" w:hAnsi="Times New Roman"/>
          <w:sz w:val="24"/>
          <w:szCs w:val="24"/>
        </w:rPr>
        <w:t xml:space="preserve">на реализацию муниципальной программы  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276" w:type="dxa"/>
        <w:tblInd w:w="88" w:type="dxa"/>
        <w:tblLook w:val="04A0"/>
      </w:tblPr>
      <w:tblGrid>
        <w:gridCol w:w="654"/>
        <w:gridCol w:w="5912"/>
        <w:gridCol w:w="1152"/>
        <w:gridCol w:w="1509"/>
        <w:gridCol w:w="1389"/>
        <w:gridCol w:w="1448"/>
        <w:gridCol w:w="1450"/>
        <w:gridCol w:w="1762"/>
      </w:tblGrid>
      <w:tr w:rsidR="006659C8" w:rsidRPr="006659C8" w:rsidTr="00D251F4">
        <w:trPr>
          <w:trHeight w:val="69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6659C8" w:rsidRPr="006659C8" w:rsidTr="006659C8">
        <w:trPr>
          <w:trHeight w:val="49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6659C8" w:rsidRPr="006659C8" w:rsidTr="006659C8">
        <w:trPr>
          <w:trHeight w:val="99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9C8" w:rsidRPr="006659C8" w:rsidTr="006659C8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подпрограммы «Развитие культуры» всего,  в том числе: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586420,6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283,4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31034,6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533967,2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21135,4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6659C8" w:rsidRPr="006659C8" w:rsidTr="006659C8">
        <w:trPr>
          <w:trHeight w:val="34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6659C8" w:rsidRPr="006659C8" w:rsidTr="006659C8">
        <w:trPr>
          <w:trHeight w:val="330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94886,0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90895,3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6659C8" w:rsidRPr="006659C8" w:rsidTr="006659C8">
        <w:trPr>
          <w:trHeight w:val="40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87422,5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84872,0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87432,2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84872,0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6659C8" w:rsidRPr="006659C8" w:rsidTr="006659C8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430509,5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388905,5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20364,0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54595,8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62972,1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63681,9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67454,2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64912,9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64875,2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6659C8" w:rsidRPr="006659C8" w:rsidTr="006659C8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26912,5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3621,6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4501,7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25299,7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76594,2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75845,0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6227,5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255"/>
        </w:trPr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59C8" w:rsidRPr="006659C8" w:rsidTr="006659C8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9C8" w:rsidRPr="006659C8" w:rsidTr="006659C8">
        <w:trPr>
          <w:trHeight w:val="315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</w:t>
            </w:r>
            <w:proofErr w:type="gramStart"/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59C8" w:rsidRPr="006659C8" w:rsidRDefault="006659C8" w:rsidP="006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Кавказский район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С.В.Филатова</w:t>
            </w:r>
          </w:p>
        </w:tc>
      </w:tr>
    </w:tbl>
    <w:p w:rsidR="00D36784" w:rsidRDefault="00D3678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84" w:rsidRDefault="00D3678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84" w:rsidRDefault="00D3678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84" w:rsidRDefault="00D3678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84" w:rsidRDefault="00D3678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84" w:rsidRDefault="00D3678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E6" w:rsidRDefault="001B55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F569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4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- 2019-2021годы, этапы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не предусмотрены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подпрограммы всего – 2698,1 тыс. рублей, в том числе по годам: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- 2698,1 тыс. рублей,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рублей,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- 1376,0 тыс. рублей, в том числе по годам: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- 1376,0 тыс. рублей;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рублей,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– 1322,1 тыс. рублей, в том числе по годам: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–1322,1 тыс. рублей,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рублей,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«Укрепление материально-технической базы архива муниципального образования 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"Укрепление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Pr="00BF73F4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целевые показатели подпрограммы "Укрепление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984"/>
        <w:gridCol w:w="1843"/>
      </w:tblGrid>
      <w:tr w:rsidR="00EB72E1" w:rsidRPr="00BF73F4" w:rsidTr="00752E62">
        <w:trPr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EB72E1" w:rsidRPr="00BF73F4" w:rsidTr="00752E62">
        <w:trPr>
          <w:trHeight w:val="549"/>
        </w:trPr>
        <w:tc>
          <w:tcPr>
            <w:tcW w:w="678" w:type="dxa"/>
            <w:vMerge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EB72E1" w:rsidRPr="00BF73F4" w:rsidTr="00752E62">
        <w:trPr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72E1" w:rsidRPr="00BF73F4" w:rsidTr="00752E62">
        <w:trPr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6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EB72E1" w:rsidRPr="00BF73F4" w:rsidTr="00752E62">
        <w:trPr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6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EB72E1" w:rsidRPr="00BF73F4" w:rsidTr="00752E62">
        <w:trPr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6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Целевые показатели:</w:t>
            </w: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72E1" w:rsidRPr="00BF73F4" w:rsidTr="00752E62">
        <w:trPr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72E1" w:rsidRPr="00BF73F4" w:rsidTr="00752E62">
        <w:trPr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EB72E1" w:rsidRPr="00BF73F4" w:rsidRDefault="00EB72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72E1" w:rsidRPr="00BF73F4" w:rsidTr="00F9702C">
        <w:trPr>
          <w:trHeight w:val="1089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02C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EB72E1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Кавказский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E1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О.М.Ляхов</w:t>
            </w: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"Укрепление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Pr="00BF73F4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мероприятий подпрограммы "Укрепление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696"/>
        <w:gridCol w:w="2592"/>
        <w:gridCol w:w="919"/>
        <w:gridCol w:w="1195"/>
        <w:gridCol w:w="189"/>
        <w:gridCol w:w="876"/>
        <w:gridCol w:w="1581"/>
        <w:gridCol w:w="1028"/>
        <w:gridCol w:w="1104"/>
        <w:gridCol w:w="1762"/>
        <w:gridCol w:w="1540"/>
        <w:gridCol w:w="1559"/>
      </w:tblGrid>
      <w:tr w:rsidR="00EB72E1" w:rsidRPr="00BF73F4" w:rsidTr="00752E62">
        <w:trPr>
          <w:trHeight w:val="109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 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B72E1" w:rsidRPr="00BF73F4" w:rsidTr="00752E62">
        <w:trPr>
          <w:trHeight w:val="7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2E1" w:rsidRPr="00BF73F4" w:rsidTr="00752E62">
        <w:trPr>
          <w:trHeight w:val="126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2E1" w:rsidRPr="00BF73F4" w:rsidTr="00752E62">
        <w:trPr>
          <w:trHeight w:val="11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72E1" w:rsidRPr="00BF73F4" w:rsidTr="00752E62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7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EB72E1" w:rsidRPr="00BF73F4" w:rsidTr="00752E62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</w:t>
            </w:r>
            <w:proofErr w:type="gramEnd"/>
          </w:p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фототехники)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EB72E1" w:rsidRPr="00BF73F4" w:rsidTr="00752E6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2E1" w:rsidRPr="00BF73F4" w:rsidTr="00752E6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2E1" w:rsidRPr="00BF73F4" w:rsidTr="00752E6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2E1" w:rsidRPr="00BF73F4" w:rsidTr="00752E62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72E1" w:rsidRPr="00BF73F4" w:rsidTr="00752E6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72E1" w:rsidRPr="00BF73F4" w:rsidTr="00752E6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72E1" w:rsidRPr="00BF73F4" w:rsidTr="00752E62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E1" w:rsidRPr="00BF73F4" w:rsidRDefault="00EB72E1" w:rsidP="007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B72E1" w:rsidRPr="00BF73F4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4407"/>
        <w:gridCol w:w="1471"/>
        <w:gridCol w:w="1037"/>
        <w:gridCol w:w="7417"/>
      </w:tblGrid>
      <w:tr w:rsidR="00EB72E1" w:rsidRPr="00BF73F4" w:rsidTr="00752E62">
        <w:trPr>
          <w:trHeight w:val="1515"/>
        </w:trPr>
        <w:tc>
          <w:tcPr>
            <w:tcW w:w="4407" w:type="dxa"/>
            <w:shd w:val="clear" w:color="auto" w:fill="auto"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2E1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EB72E1"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О.М. Ляхов</w:t>
            </w:r>
          </w:p>
        </w:tc>
      </w:tr>
      <w:tr w:rsidR="00F9702C" w:rsidRPr="00BF73F4" w:rsidTr="00752E62">
        <w:trPr>
          <w:trHeight w:val="1515"/>
        </w:trPr>
        <w:tc>
          <w:tcPr>
            <w:tcW w:w="440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85" w:rsidRDefault="007C1085" w:rsidP="003E0DCB">
      <w:pPr>
        <w:spacing w:after="0" w:line="240" w:lineRule="auto"/>
      </w:pPr>
      <w:r>
        <w:separator/>
      </w:r>
    </w:p>
  </w:endnote>
  <w:endnote w:type="continuationSeparator" w:id="0">
    <w:p w:rsidR="007C1085" w:rsidRDefault="007C1085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85" w:rsidRDefault="007C1085" w:rsidP="003E0DCB">
      <w:pPr>
        <w:spacing w:after="0" w:line="240" w:lineRule="auto"/>
      </w:pPr>
      <w:r>
        <w:separator/>
      </w:r>
    </w:p>
  </w:footnote>
  <w:footnote w:type="continuationSeparator" w:id="0">
    <w:p w:rsidR="007C1085" w:rsidRDefault="007C1085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C8" w:rsidRPr="005C5022" w:rsidRDefault="006659C8" w:rsidP="00F42CA3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D251F4">
      <w:rPr>
        <w:rFonts w:ascii="Times New Roman" w:hAnsi="Times New Roman"/>
        <w:noProof/>
      </w:rPr>
      <w:t>36</w:t>
    </w:r>
    <w:r w:rsidRPr="005C5022">
      <w:rPr>
        <w:rFonts w:ascii="Times New Roman" w:hAnsi="Times New Roman"/>
      </w:rPr>
      <w:fldChar w:fldCharType="end"/>
    </w:r>
  </w:p>
  <w:p w:rsidR="006659C8" w:rsidRPr="005C5022" w:rsidRDefault="006659C8" w:rsidP="00F42CA3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204BF"/>
    <w:rsid w:val="00041F3A"/>
    <w:rsid w:val="000439AE"/>
    <w:rsid w:val="00044896"/>
    <w:rsid w:val="000876DD"/>
    <w:rsid w:val="00090E36"/>
    <w:rsid w:val="000B0203"/>
    <w:rsid w:val="000C09A0"/>
    <w:rsid w:val="000E0B28"/>
    <w:rsid w:val="000E0BF1"/>
    <w:rsid w:val="000E2FC9"/>
    <w:rsid w:val="000E403E"/>
    <w:rsid w:val="00102862"/>
    <w:rsid w:val="001044F2"/>
    <w:rsid w:val="0012093E"/>
    <w:rsid w:val="00120C1F"/>
    <w:rsid w:val="00126AEB"/>
    <w:rsid w:val="00136A3A"/>
    <w:rsid w:val="00143002"/>
    <w:rsid w:val="00177886"/>
    <w:rsid w:val="001B50DE"/>
    <w:rsid w:val="001B55E6"/>
    <w:rsid w:val="001C4615"/>
    <w:rsid w:val="001D163A"/>
    <w:rsid w:val="001D21C7"/>
    <w:rsid w:val="001D3462"/>
    <w:rsid w:val="001D7C97"/>
    <w:rsid w:val="001F0DAF"/>
    <w:rsid w:val="00204C00"/>
    <w:rsid w:val="00227699"/>
    <w:rsid w:val="00227A82"/>
    <w:rsid w:val="00233FEE"/>
    <w:rsid w:val="00254E74"/>
    <w:rsid w:val="00271EBE"/>
    <w:rsid w:val="00272323"/>
    <w:rsid w:val="0029321D"/>
    <w:rsid w:val="002A47DE"/>
    <w:rsid w:val="002B2A34"/>
    <w:rsid w:val="002B7972"/>
    <w:rsid w:val="002C5AC4"/>
    <w:rsid w:val="002E71E6"/>
    <w:rsid w:val="002F2C55"/>
    <w:rsid w:val="002F72D6"/>
    <w:rsid w:val="003071D5"/>
    <w:rsid w:val="003177C8"/>
    <w:rsid w:val="0035042D"/>
    <w:rsid w:val="00363C32"/>
    <w:rsid w:val="00372864"/>
    <w:rsid w:val="003771D9"/>
    <w:rsid w:val="003803FB"/>
    <w:rsid w:val="00382085"/>
    <w:rsid w:val="00395229"/>
    <w:rsid w:val="00395C86"/>
    <w:rsid w:val="003A319E"/>
    <w:rsid w:val="003A7AB3"/>
    <w:rsid w:val="003B0FEA"/>
    <w:rsid w:val="003C42D2"/>
    <w:rsid w:val="003C6570"/>
    <w:rsid w:val="003D610D"/>
    <w:rsid w:val="003E0DCB"/>
    <w:rsid w:val="003F4032"/>
    <w:rsid w:val="0040292E"/>
    <w:rsid w:val="00404936"/>
    <w:rsid w:val="00415EE1"/>
    <w:rsid w:val="004238C7"/>
    <w:rsid w:val="0042551C"/>
    <w:rsid w:val="0044583B"/>
    <w:rsid w:val="004638CB"/>
    <w:rsid w:val="00465C03"/>
    <w:rsid w:val="004663CB"/>
    <w:rsid w:val="0047618F"/>
    <w:rsid w:val="004B3ED1"/>
    <w:rsid w:val="004D0FED"/>
    <w:rsid w:val="004D2996"/>
    <w:rsid w:val="004D643D"/>
    <w:rsid w:val="004D7C0C"/>
    <w:rsid w:val="004E1686"/>
    <w:rsid w:val="005024F2"/>
    <w:rsid w:val="005178CA"/>
    <w:rsid w:val="0052226E"/>
    <w:rsid w:val="005324DF"/>
    <w:rsid w:val="005405E3"/>
    <w:rsid w:val="0054100F"/>
    <w:rsid w:val="00543B8B"/>
    <w:rsid w:val="005C2104"/>
    <w:rsid w:val="005C4D02"/>
    <w:rsid w:val="005C53D1"/>
    <w:rsid w:val="005C687D"/>
    <w:rsid w:val="005D4BCC"/>
    <w:rsid w:val="005E3264"/>
    <w:rsid w:val="00622B98"/>
    <w:rsid w:val="006277BA"/>
    <w:rsid w:val="00641054"/>
    <w:rsid w:val="006533B9"/>
    <w:rsid w:val="00660413"/>
    <w:rsid w:val="00663A83"/>
    <w:rsid w:val="006659C8"/>
    <w:rsid w:val="0068735F"/>
    <w:rsid w:val="006876B1"/>
    <w:rsid w:val="006A1E0A"/>
    <w:rsid w:val="006A236E"/>
    <w:rsid w:val="006A271A"/>
    <w:rsid w:val="006A337B"/>
    <w:rsid w:val="006A72D9"/>
    <w:rsid w:val="006B11F3"/>
    <w:rsid w:val="006B49F7"/>
    <w:rsid w:val="006C6429"/>
    <w:rsid w:val="006C6AC4"/>
    <w:rsid w:val="006C7C0A"/>
    <w:rsid w:val="006F0F73"/>
    <w:rsid w:val="00712F99"/>
    <w:rsid w:val="00720C2C"/>
    <w:rsid w:val="007343B4"/>
    <w:rsid w:val="007436C6"/>
    <w:rsid w:val="00752E62"/>
    <w:rsid w:val="007619EF"/>
    <w:rsid w:val="00764D1C"/>
    <w:rsid w:val="0078631A"/>
    <w:rsid w:val="007B1ACF"/>
    <w:rsid w:val="007B72C2"/>
    <w:rsid w:val="007C1085"/>
    <w:rsid w:val="007D1F61"/>
    <w:rsid w:val="007E5DC5"/>
    <w:rsid w:val="00800BFE"/>
    <w:rsid w:val="00815600"/>
    <w:rsid w:val="008316BC"/>
    <w:rsid w:val="00850C20"/>
    <w:rsid w:val="00876588"/>
    <w:rsid w:val="008A617A"/>
    <w:rsid w:val="008C551D"/>
    <w:rsid w:val="008C5D01"/>
    <w:rsid w:val="008E0DCE"/>
    <w:rsid w:val="008F019E"/>
    <w:rsid w:val="008F40F3"/>
    <w:rsid w:val="009120AF"/>
    <w:rsid w:val="0091224B"/>
    <w:rsid w:val="009260EF"/>
    <w:rsid w:val="0093153A"/>
    <w:rsid w:val="00936D8C"/>
    <w:rsid w:val="009442FD"/>
    <w:rsid w:val="00965092"/>
    <w:rsid w:val="009722C5"/>
    <w:rsid w:val="00986477"/>
    <w:rsid w:val="00995E4E"/>
    <w:rsid w:val="009A7311"/>
    <w:rsid w:val="009B0F1B"/>
    <w:rsid w:val="009C4A62"/>
    <w:rsid w:val="009E0E00"/>
    <w:rsid w:val="009E4949"/>
    <w:rsid w:val="00A0504F"/>
    <w:rsid w:val="00A07D5E"/>
    <w:rsid w:val="00A27899"/>
    <w:rsid w:val="00A36735"/>
    <w:rsid w:val="00A4346B"/>
    <w:rsid w:val="00A4520A"/>
    <w:rsid w:val="00A53D11"/>
    <w:rsid w:val="00A57169"/>
    <w:rsid w:val="00A7260F"/>
    <w:rsid w:val="00A86664"/>
    <w:rsid w:val="00A93E13"/>
    <w:rsid w:val="00AA32FE"/>
    <w:rsid w:val="00AB01C3"/>
    <w:rsid w:val="00AB1876"/>
    <w:rsid w:val="00AB5922"/>
    <w:rsid w:val="00AC1F56"/>
    <w:rsid w:val="00AD0B0D"/>
    <w:rsid w:val="00B0435E"/>
    <w:rsid w:val="00B07FA6"/>
    <w:rsid w:val="00B25088"/>
    <w:rsid w:val="00B30E63"/>
    <w:rsid w:val="00B55D2B"/>
    <w:rsid w:val="00B72C70"/>
    <w:rsid w:val="00B80596"/>
    <w:rsid w:val="00B83A71"/>
    <w:rsid w:val="00B901F9"/>
    <w:rsid w:val="00BA0A0A"/>
    <w:rsid w:val="00BB12E0"/>
    <w:rsid w:val="00BB16EB"/>
    <w:rsid w:val="00BB4962"/>
    <w:rsid w:val="00BC1324"/>
    <w:rsid w:val="00BD64E8"/>
    <w:rsid w:val="00BE43F0"/>
    <w:rsid w:val="00BF6217"/>
    <w:rsid w:val="00C21C6C"/>
    <w:rsid w:val="00C23524"/>
    <w:rsid w:val="00C35FD9"/>
    <w:rsid w:val="00C36E4B"/>
    <w:rsid w:val="00C44223"/>
    <w:rsid w:val="00C44412"/>
    <w:rsid w:val="00C64548"/>
    <w:rsid w:val="00C66AA0"/>
    <w:rsid w:val="00C90083"/>
    <w:rsid w:val="00CB54FB"/>
    <w:rsid w:val="00CD44A7"/>
    <w:rsid w:val="00CE14D2"/>
    <w:rsid w:val="00CF05F9"/>
    <w:rsid w:val="00D075A4"/>
    <w:rsid w:val="00D251F4"/>
    <w:rsid w:val="00D347AF"/>
    <w:rsid w:val="00D36784"/>
    <w:rsid w:val="00D42054"/>
    <w:rsid w:val="00D5080B"/>
    <w:rsid w:val="00D518D8"/>
    <w:rsid w:val="00D62F34"/>
    <w:rsid w:val="00D6741E"/>
    <w:rsid w:val="00D71FE0"/>
    <w:rsid w:val="00D86B21"/>
    <w:rsid w:val="00D96597"/>
    <w:rsid w:val="00DC425B"/>
    <w:rsid w:val="00DC4F34"/>
    <w:rsid w:val="00DC6850"/>
    <w:rsid w:val="00DE5408"/>
    <w:rsid w:val="00DE74A6"/>
    <w:rsid w:val="00E0656A"/>
    <w:rsid w:val="00E07E62"/>
    <w:rsid w:val="00E27CE7"/>
    <w:rsid w:val="00E43146"/>
    <w:rsid w:val="00E5215F"/>
    <w:rsid w:val="00E56859"/>
    <w:rsid w:val="00E67DA9"/>
    <w:rsid w:val="00E82F43"/>
    <w:rsid w:val="00EB72E1"/>
    <w:rsid w:val="00EC746C"/>
    <w:rsid w:val="00ED5A33"/>
    <w:rsid w:val="00F00827"/>
    <w:rsid w:val="00F17DBE"/>
    <w:rsid w:val="00F2631F"/>
    <w:rsid w:val="00F42CA3"/>
    <w:rsid w:val="00F475D7"/>
    <w:rsid w:val="00F56953"/>
    <w:rsid w:val="00F77845"/>
    <w:rsid w:val="00F82A91"/>
    <w:rsid w:val="00F831F7"/>
    <w:rsid w:val="00F84D0D"/>
    <w:rsid w:val="00F86482"/>
    <w:rsid w:val="00F87604"/>
    <w:rsid w:val="00F96D7A"/>
    <w:rsid w:val="00F9702C"/>
    <w:rsid w:val="00FC1769"/>
    <w:rsid w:val="00FC4A00"/>
    <w:rsid w:val="00FD1212"/>
    <w:rsid w:val="00FD418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3D8F-A227-498D-BEC9-2CEBC3F9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52</Pages>
  <Words>12837</Words>
  <Characters>73175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180</cp:revision>
  <cp:lastPrinted>2017-02-01T13:49:00Z</cp:lastPrinted>
  <dcterms:created xsi:type="dcterms:W3CDTF">2016-01-29T11:05:00Z</dcterms:created>
  <dcterms:modified xsi:type="dcterms:W3CDTF">2019-09-27T09:38:00Z</dcterms:modified>
</cp:coreProperties>
</file>