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года,21.11.2018 года</w:t>
      </w:r>
      <w:r w:rsidR="00703EA5">
        <w:rPr>
          <w:rFonts w:ascii="Times New Roman" w:hAnsi="Times New Roman" w:cs="Times New Roman"/>
          <w:bCs/>
          <w:color w:val="000000" w:themeColor="text1"/>
          <w:sz w:val="28"/>
          <w:szCs w:val="28"/>
        </w:rPr>
        <w:t>,05.12.2018 года</w:t>
      </w:r>
      <w:r w:rsidR="00AE5D95">
        <w:rPr>
          <w:rFonts w:ascii="Times New Roman" w:hAnsi="Times New Roman" w:cs="Times New Roman"/>
          <w:bCs/>
          <w:color w:val="000000" w:themeColor="text1"/>
          <w:sz w:val="28"/>
          <w:szCs w:val="28"/>
        </w:rPr>
        <w:t>,11.02.2019года, 19.04.2019года</w:t>
      </w:r>
      <w:r>
        <w:rPr>
          <w:rFonts w:ascii="Times New Roman" w:hAnsi="Times New Roman" w:cs="Times New Roman"/>
          <w:bCs/>
          <w:color w:val="000000" w:themeColor="text1"/>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Энергосбережение и повышение энергетической </w:t>
            </w:r>
            <w:r w:rsidRPr="00497355">
              <w:rPr>
                <w:rFonts w:ascii="Times New Roman" w:hAnsi="Times New Roman" w:cs="Times New Roman"/>
                <w:color w:val="000000" w:themeColor="text1"/>
                <w:sz w:val="28"/>
                <w:szCs w:val="28"/>
              </w:rPr>
              <w:lastRenderedPageBreak/>
              <w:t>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замена окон на пластиковые;</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Общий объем финансирования составляет 18286,6  тысяч рублей, в том числе по годам:</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2015 год – 673,9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2016 год –1180,0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2017 год – 6107,2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2018 год – 8672,0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2019 год – 1513,5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2020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2021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в том числе за счет  средств местного бюджета –8205,5 тысяч рублей, в том числе по годам:</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2015 год – 673,9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2016 год – 1180,0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2017 год – 1525,9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2018 год – 3172,2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2019 год – 1513,5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2020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2021 год – 70,0 тысячи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в том числе  за счет краевого бюджета – 10081,1 тысяч рублей, в том числе по годам:</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2015 год – 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2016 год – 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2017 год – 4581,3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2018 год – 5499,8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2019  год - 0,0 тысяч рублей;</w:t>
            </w:r>
          </w:p>
          <w:p w:rsidR="00C430A4" w:rsidRPr="00825A9D" w:rsidRDefault="00C430A4" w:rsidP="00C430A4">
            <w:pPr>
              <w:widowControl w:val="0"/>
              <w:suppressAutoHyphens/>
              <w:spacing w:after="0" w:line="240" w:lineRule="auto"/>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1C41FE"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1C41FE"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C430A4" w:rsidRPr="00825A9D">
        <w:rPr>
          <w:rFonts w:ascii="Times New Roman" w:hAnsi="Times New Roman"/>
          <w:sz w:val="28"/>
          <w:szCs w:val="28"/>
        </w:rPr>
        <w:t xml:space="preserve">18286,6  </w:t>
      </w:r>
      <w:r w:rsidRPr="000C072D">
        <w:rPr>
          <w:rFonts w:ascii="Times New Roman" w:hAnsi="Times New Roman"/>
          <w:color w:val="000000"/>
          <w:sz w:val="28"/>
          <w:szCs w:val="28"/>
        </w:rPr>
        <w:t>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эффективности взаимодействия участников реализации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9. Механизм реализации муниципальной программы и контроль за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7"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7"/>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8"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8"/>
      <w:bookmarkEnd w:id="19"/>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9"/>
      <w:bookmarkEnd w:id="20"/>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2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3" w:name="sub_911"/>
      <w:bookmarkEnd w:id="22"/>
      <w:r w:rsidRPr="00497355">
        <w:rPr>
          <w:rFonts w:ascii="Times New Roman" w:hAnsi="Times New Roman"/>
          <w:color w:val="000000" w:themeColor="text1"/>
          <w:sz w:val="28"/>
          <w:szCs w:val="28"/>
        </w:rPr>
        <w:t>9.8. Муниципальный заказчик:</w:t>
      </w:r>
    </w:p>
    <w:bookmarkEnd w:id="2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4" w:name="sub_912"/>
      <w:r w:rsidRPr="00497355">
        <w:rPr>
          <w:rFonts w:ascii="Times New Roman" w:hAnsi="Times New Roman"/>
          <w:color w:val="000000" w:themeColor="text1"/>
          <w:sz w:val="28"/>
          <w:szCs w:val="28"/>
        </w:rPr>
        <w:t xml:space="preserve">9.9. Главный распорядитель (распорядитель) бюджетных средств в пределах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4"/>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средств в соответствии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5" w:name="sub_913"/>
      <w:r w:rsidRPr="00497355">
        <w:rPr>
          <w:rFonts w:ascii="Times New Roman" w:hAnsi="Times New Roman"/>
          <w:color w:val="000000" w:themeColor="text1"/>
          <w:sz w:val="28"/>
          <w:szCs w:val="28"/>
        </w:rPr>
        <w:t>9.10. Исполнитель:</w:t>
      </w:r>
    </w:p>
    <w:bookmarkEnd w:id="2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1134"/>
      </w:tblGrid>
      <w:tr w:rsidR="00FC65E5" w:rsidRPr="003E2E15" w:rsidTr="00230E39">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Наименование целевого</w:t>
            </w:r>
          </w:p>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Един. 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Ста-тус</w:t>
            </w:r>
            <w:r w:rsidRPr="003E2E15">
              <w:rPr>
                <w:rFonts w:ascii="Times New Roman" w:hAnsi="Times New Roman"/>
                <w:sz w:val="24"/>
                <w:szCs w:val="24"/>
                <w:vertAlign w:val="superscript"/>
              </w:rPr>
              <w:t>*</w:t>
            </w:r>
          </w:p>
        </w:tc>
        <w:tc>
          <w:tcPr>
            <w:tcW w:w="8221" w:type="dxa"/>
            <w:gridSpan w:val="13"/>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Значение показателей</w:t>
            </w:r>
          </w:p>
        </w:tc>
      </w:tr>
      <w:tr w:rsidR="00FC65E5" w:rsidRPr="003E2E15" w:rsidTr="00230E39">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2020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2021 год</w:t>
            </w:r>
          </w:p>
        </w:tc>
      </w:tr>
      <w:tr w:rsidR="00FC65E5" w:rsidRPr="003E2E15" w:rsidTr="00230E39">
        <w:trPr>
          <w:trHeight w:val="283"/>
          <w:tblHeader/>
        </w:trPr>
        <w:tc>
          <w:tcPr>
            <w:tcW w:w="851"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w:t>
            </w:r>
          </w:p>
        </w:tc>
        <w:tc>
          <w:tcPr>
            <w:tcW w:w="1417"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11</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FC65E5" w:rsidRPr="003E2E15" w:rsidRDefault="00FC65E5" w:rsidP="00230E39">
            <w:pPr>
              <w:spacing w:after="0" w:line="240" w:lineRule="auto"/>
              <w:jc w:val="center"/>
              <w:rPr>
                <w:rFonts w:ascii="Times New Roman" w:hAnsi="Times New Roman"/>
                <w:sz w:val="24"/>
                <w:szCs w:val="24"/>
              </w:rPr>
            </w:pP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sz w:val="24"/>
                <w:szCs w:val="24"/>
              </w:rPr>
            </w:pPr>
            <w:r w:rsidRPr="003E2E15">
              <w:rPr>
                <w:rFonts w:ascii="Times New Roman" w:hAnsi="Times New Roman"/>
                <w:sz w:val="24"/>
                <w:szCs w:val="24"/>
              </w:rPr>
              <w:t>Муниципальная программа «Развитие топливно-энергетического комплекса»</w:t>
            </w:r>
          </w:p>
        </w:tc>
      </w:tr>
      <w:tr w:rsidR="00FC65E5" w:rsidRPr="003E2E15" w:rsidTr="00230E39">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i/>
                <w:sz w:val="24"/>
                <w:szCs w:val="24"/>
              </w:rPr>
            </w:pPr>
            <w:r w:rsidRPr="003E2E15">
              <w:rPr>
                <w:rFonts w:ascii="Times New Roman" w:hAnsi="Times New Roman"/>
                <w:i/>
                <w:sz w:val="24"/>
                <w:szCs w:val="24"/>
              </w:rPr>
              <w:t>Подпрограмма№ 1 «Газификация муниципального образования Кавказский район»</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1.1</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sz w:val="24"/>
                <w:szCs w:val="24"/>
              </w:rPr>
            </w:pPr>
            <w:r w:rsidRPr="003E2E15">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1.2</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sz w:val="24"/>
                <w:szCs w:val="24"/>
              </w:rPr>
            </w:pPr>
            <w:r w:rsidRPr="003E2E1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FC65E5" w:rsidRPr="003E2E15" w:rsidTr="00230E39">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1.3</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outlineLvl w:val="2"/>
              <w:rPr>
                <w:rFonts w:ascii="Times New Roman" w:hAnsi="Times New Roman"/>
                <w:sz w:val="24"/>
                <w:szCs w:val="24"/>
              </w:rPr>
            </w:pPr>
            <w:r w:rsidRPr="003E2E15">
              <w:rPr>
                <w:rFonts w:ascii="Times New Roman" w:hAnsi="Times New Roman"/>
                <w:sz w:val="24"/>
                <w:szCs w:val="24"/>
              </w:rPr>
              <w:t>Целевой показатель</w:t>
            </w:r>
          </w:p>
        </w:tc>
      </w:tr>
      <w:tr w:rsidR="00FC65E5" w:rsidRPr="003E2E15" w:rsidTr="00230E39">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rPr>
                <w:sz w:val="24"/>
                <w:szCs w:val="24"/>
              </w:rPr>
            </w:pPr>
            <w:r w:rsidRPr="003E2E15">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rPr>
                <w:sz w:val="24"/>
                <w:szCs w:val="24"/>
                <w:highlight w:val="yellow"/>
              </w:rPr>
            </w:pPr>
            <w:r w:rsidRPr="003E2E15">
              <w:rPr>
                <w:rFonts w:ascii="Times New Roman" w:hAnsi="Times New Roman"/>
                <w:sz w:val="24"/>
                <w:szCs w:val="24"/>
                <w:highlight w:val="yellow"/>
              </w:rPr>
              <w:t>-</w:t>
            </w:r>
          </w:p>
        </w:tc>
      </w:tr>
      <w:tr w:rsidR="00FC65E5" w:rsidRPr="003E2E15" w:rsidTr="00230E39">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outlineLvl w:val="2"/>
              <w:rPr>
                <w:rFonts w:ascii="Times New Roman" w:hAnsi="Times New Roman"/>
                <w:sz w:val="24"/>
                <w:szCs w:val="24"/>
              </w:rPr>
            </w:pPr>
            <w:r w:rsidRPr="003E2E15">
              <w:rPr>
                <w:rFonts w:ascii="Times New Roman" w:hAnsi="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right"/>
              <w:outlineLvl w:val="2"/>
              <w:rPr>
                <w:rFonts w:ascii="Times New Roman" w:hAnsi="Times New Roman"/>
                <w:sz w:val="24"/>
                <w:szCs w:val="24"/>
                <w:highlight w:val="yellow"/>
              </w:rPr>
            </w:pPr>
            <w:r w:rsidRPr="003E2E15">
              <w:rPr>
                <w:rFonts w:ascii="Times New Roman" w:hAnsi="Times New Roman"/>
                <w:sz w:val="24"/>
                <w:szCs w:val="24"/>
                <w:highlight w:val="yellow"/>
              </w:rPr>
              <w:t>-</w:t>
            </w:r>
          </w:p>
        </w:tc>
      </w:tr>
      <w:tr w:rsidR="00FC65E5" w:rsidRPr="003E2E15" w:rsidTr="00230E39">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i/>
                <w:sz w:val="24"/>
                <w:szCs w:val="24"/>
              </w:rPr>
            </w:pPr>
            <w:r w:rsidRPr="003E2E15">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2.1</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pStyle w:val="ConsPlusNormal"/>
              <w:ind w:firstLine="175"/>
              <w:jc w:val="both"/>
              <w:rPr>
                <w:rFonts w:ascii="Times New Roman" w:hAnsi="Times New Roman"/>
                <w:sz w:val="24"/>
                <w:szCs w:val="24"/>
              </w:rPr>
            </w:pPr>
            <w:r w:rsidRPr="003E2E15">
              <w:rPr>
                <w:rFonts w:ascii="Times New Roman" w:hAnsi="Times New Roman"/>
                <w:sz w:val="24"/>
                <w:szCs w:val="24"/>
              </w:rPr>
              <w:t>Цель:</w:t>
            </w:r>
            <w:r w:rsidRPr="003E2E15">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2.2.</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pStyle w:val="ConsPlusNormal"/>
              <w:ind w:firstLine="175"/>
              <w:jc w:val="both"/>
              <w:rPr>
                <w:rFonts w:ascii="Times New Roman" w:hAnsi="Times New Roman"/>
                <w:sz w:val="24"/>
                <w:szCs w:val="24"/>
              </w:rPr>
            </w:pPr>
            <w:r w:rsidRPr="003E2E15">
              <w:rPr>
                <w:rFonts w:ascii="Times New Roman" w:hAnsi="Times New Roman"/>
                <w:sz w:val="24"/>
                <w:szCs w:val="24"/>
              </w:rPr>
              <w:t>Задача 1:</w:t>
            </w:r>
            <w:r w:rsidRPr="003E2E15">
              <w:rPr>
                <w:rFonts w:ascii="Times New Roman" w:hAnsi="Times New Roman" w:cs="Times New Roman"/>
                <w:sz w:val="24"/>
                <w:szCs w:val="24"/>
              </w:rPr>
              <w:t xml:space="preserve">  внедрение экономичных энергосберегающих технологий</w:t>
            </w:r>
          </w:p>
        </w:tc>
      </w:tr>
      <w:tr w:rsidR="00FC65E5" w:rsidRPr="003E2E15" w:rsidTr="00230E39">
        <w:trPr>
          <w:trHeight w:val="401"/>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2.3.</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rPr>
                <w:rFonts w:ascii="Times New Roman" w:hAnsi="Times New Roman"/>
                <w:sz w:val="24"/>
                <w:szCs w:val="24"/>
              </w:rPr>
            </w:pPr>
            <w:r w:rsidRPr="003E2E15">
              <w:rPr>
                <w:rFonts w:ascii="Times New Roman" w:hAnsi="Times New Roman"/>
                <w:sz w:val="24"/>
                <w:szCs w:val="24"/>
              </w:rPr>
              <w:t>Целевой показатель</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sz w:val="24"/>
                <w:szCs w:val="24"/>
              </w:rPr>
            </w:pPr>
            <w:r w:rsidRPr="003E2E15">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407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500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350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sz w:val="24"/>
                <w:szCs w:val="24"/>
              </w:rPr>
            </w:pPr>
            <w:r w:rsidRPr="003E2E15">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175"/>
              <w:rPr>
                <w:rFonts w:ascii="Times New Roman" w:hAnsi="Times New Roman"/>
                <w:sz w:val="24"/>
                <w:szCs w:val="24"/>
              </w:rPr>
            </w:pPr>
            <w:r w:rsidRPr="003E2E15">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2.4.</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tabs>
                <w:tab w:val="left" w:pos="180"/>
              </w:tabs>
              <w:spacing w:after="0" w:line="240" w:lineRule="auto"/>
              <w:ind w:firstLine="34"/>
              <w:rPr>
                <w:rFonts w:ascii="Times New Roman" w:hAnsi="Times New Roman"/>
                <w:sz w:val="24"/>
                <w:szCs w:val="24"/>
              </w:rPr>
            </w:pPr>
            <w:r w:rsidRPr="003E2E15">
              <w:rPr>
                <w:rFonts w:ascii="Times New Roman" w:hAnsi="Times New Roman"/>
                <w:sz w:val="24"/>
                <w:szCs w:val="24"/>
              </w:rPr>
              <w:tab/>
              <w:t>Целевой показатель</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Замена окон на пластиковые</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r>
      <w:tr w:rsidR="00FC65E5" w:rsidRPr="003E2E15" w:rsidTr="00230E39">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электрической энергии в многоквартирных домах;</w:t>
            </w:r>
          </w:p>
          <w:p w:rsidR="00FC65E5" w:rsidRPr="003E2E15" w:rsidRDefault="00FC65E5" w:rsidP="00230E39">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C65E5" w:rsidRPr="003E2E15" w:rsidRDefault="00FC65E5" w:rsidP="00230E39">
            <w:pPr>
              <w:spacing w:after="0" w:line="240" w:lineRule="auto"/>
              <w:jc w:val="center"/>
              <w:rPr>
                <w:rFonts w:ascii="Times New Roman" w:hAnsi="Times New Roman"/>
                <w:sz w:val="24"/>
                <w:szCs w:val="24"/>
              </w:rPr>
            </w:pP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кВт.ч/кВ.м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25,40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25,15</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25,15</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Ттыс.</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куб. м/кв.м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0,002</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0,002</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природного газа  в многоквартирных домах с иными  системами теплоснабжения;</w:t>
            </w:r>
          </w:p>
          <w:p w:rsidR="00FC65E5" w:rsidRPr="003E2E15" w:rsidRDefault="00FC65E5" w:rsidP="00230E39">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Ттыс.</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куб. м/кв.м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0,007</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0,007</w:t>
            </w:r>
          </w:p>
        </w:tc>
      </w:tr>
      <w:tr w:rsidR="00FC65E5" w:rsidRPr="003E2E15" w:rsidTr="00230E39">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Гкал/кв.м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0,066</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0,066</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bCs/>
                <w:sz w:val="24"/>
                <w:szCs w:val="24"/>
              </w:rPr>
            </w:pPr>
            <w:r w:rsidRPr="003E2E15">
              <w:rPr>
                <w:rFonts w:ascii="Times New Roman" w:hAnsi="Times New Roman"/>
                <w:bCs/>
                <w:sz w:val="24"/>
                <w:szCs w:val="24"/>
              </w:rPr>
              <w:t>удельный расход холодной воды в многоквартирных домах (в расчете на 1 жителя);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куб.м/чел.</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w:t>
            </w:r>
          </w:p>
        </w:tc>
      </w:tr>
      <w:tr w:rsidR="00FC65E5" w:rsidRPr="003E2E15" w:rsidTr="00230E39">
        <w:trPr>
          <w:trHeight w:val="861"/>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bCs/>
                <w:sz w:val="24"/>
                <w:szCs w:val="24"/>
              </w:rPr>
            </w:pPr>
            <w:r w:rsidRPr="003E2E15">
              <w:rPr>
                <w:rFonts w:ascii="Times New Roman" w:hAnsi="Times New Roman"/>
                <w:bCs/>
                <w:sz w:val="24"/>
                <w:szCs w:val="24"/>
              </w:rPr>
              <w:t>удельный расход горячей воды в многоквартирных домах (в расчете на 1 жителя);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куб.м/чел.</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6,0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топлива на выработку тепловой энергии на котельных;</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Т.у.т./Гкал</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0,13</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0,011</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кВт.ч/куб.м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170,41</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170,41</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Доля потерь тепловой энергии при ее передаче в общем объеме переданной тепловой энергии;;</w:t>
            </w:r>
          </w:p>
          <w:p w:rsidR="00FC65E5" w:rsidRPr="003E2E15" w:rsidRDefault="00FC65E5" w:rsidP="00230E39">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1****</w:t>
            </w:r>
          </w:p>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20,7</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Доля потерь воды при ее передаче в общем объеме переданной воды;</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30,8</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r w:rsidRPr="003E2E15">
              <w:rPr>
                <w:rFonts w:ascii="Times New Roman" w:hAnsi="Times New Roman"/>
                <w:sz w:val="24"/>
                <w:szCs w:val="24"/>
              </w:rPr>
              <w:t>30,8</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электроэнергии, используемой для передачи воды в системах водоснабжения;</w:t>
            </w:r>
          </w:p>
          <w:p w:rsidR="00FC65E5" w:rsidRPr="003E2E15" w:rsidRDefault="00FC65E5" w:rsidP="00230E39">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Тыс.квт.ч/тыс.куб.м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0,74</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0,72</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электроэнергии, используемой для передачи воды в системах водоотведения;</w:t>
            </w:r>
          </w:p>
          <w:p w:rsidR="00FC65E5" w:rsidRPr="003E2E15" w:rsidRDefault="00FC65E5" w:rsidP="00230E39">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Тыс.квт.ч/тыс.куб.м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0,90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0,90</w:t>
            </w:r>
          </w:p>
        </w:tc>
      </w:tr>
      <w:tr w:rsidR="00FC65E5" w:rsidRPr="003E2E15" w:rsidTr="00230E39">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Удельный расход  электрической  энергии в системах  уличного освещения;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кВт.ч/кВ.м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9,25</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9,05</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кВт.ч/кВ.м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101,87</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100,85</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гкал/кв.м</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0,171</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0,170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куб.м/чел.</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12,65</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100</w:t>
            </w:r>
          </w:p>
        </w:tc>
      </w:tr>
      <w:tr w:rsidR="00FC65E5" w:rsidRPr="003E2E15" w:rsidTr="00230E39">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ind w:firstLine="33"/>
              <w:jc w:val="center"/>
              <w:rPr>
                <w:rFonts w:ascii="Times New Roman" w:hAnsi="Times New Roman"/>
                <w:sz w:val="24"/>
                <w:szCs w:val="24"/>
              </w:rPr>
            </w:pPr>
            <w:r w:rsidRPr="003E2E15">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90</w:t>
            </w:r>
          </w:p>
        </w:tc>
      </w:tr>
      <w:tr w:rsidR="00FC65E5" w:rsidRPr="003E2E15" w:rsidTr="00230E39">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i/>
                <w:sz w:val="24"/>
                <w:szCs w:val="24"/>
              </w:rPr>
            </w:pPr>
            <w:r w:rsidRPr="003E2E15">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3.1</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FC65E5" w:rsidRPr="003E2E15" w:rsidTr="00230E39">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3.2</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FC65E5" w:rsidRPr="003E2E15" w:rsidTr="00230E39">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3.3</w:t>
            </w:r>
          </w:p>
        </w:tc>
        <w:tc>
          <w:tcPr>
            <w:tcW w:w="14033" w:type="dxa"/>
            <w:gridSpan w:val="16"/>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Целевой показатель</w:t>
            </w:r>
          </w:p>
        </w:tc>
      </w:tr>
      <w:tr w:rsidR="00FC65E5" w:rsidRPr="003E2E15" w:rsidTr="00230E39">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rPr>
                <w:rFonts w:ascii="Times New Roman" w:hAnsi="Times New Roman"/>
                <w:sz w:val="24"/>
                <w:szCs w:val="24"/>
              </w:rPr>
            </w:pPr>
            <w:r w:rsidRPr="003E2E15">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ind w:firstLine="34"/>
              <w:jc w:val="center"/>
              <w:rPr>
                <w:rFonts w:ascii="Times New Roman" w:hAnsi="Times New Roman"/>
                <w:sz w:val="24"/>
                <w:szCs w:val="24"/>
              </w:rPr>
            </w:pPr>
            <w:r w:rsidRPr="003E2E15">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rPr>
                <w:rFonts w:ascii="Times New Roman" w:hAnsi="Times New Roman"/>
                <w:sz w:val="24"/>
                <w:szCs w:val="24"/>
              </w:rPr>
            </w:pPr>
            <w:r w:rsidRPr="003E2E15">
              <w:rPr>
                <w:rFonts w:ascii="Times New Roman" w:hAnsi="Times New Roman"/>
                <w:sz w:val="24"/>
                <w:szCs w:val="24"/>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FC65E5" w:rsidRPr="003E2E15" w:rsidRDefault="00FC65E5" w:rsidP="00230E39">
            <w:pPr>
              <w:spacing w:after="0" w:line="240" w:lineRule="auto"/>
              <w:jc w:val="center"/>
              <w:outlineLvl w:val="2"/>
              <w:rPr>
                <w:rFonts w:ascii="Times New Roman" w:hAnsi="Times New Roman"/>
                <w:sz w:val="24"/>
                <w:szCs w:val="24"/>
              </w:rPr>
            </w:pPr>
            <w:r w:rsidRPr="003E2E15">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outlineLvl w:val="2"/>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outlineLvl w:val="2"/>
              <w:rPr>
                <w:rFonts w:ascii="Times New Roman" w:hAnsi="Times New Roman"/>
                <w:sz w:val="24"/>
                <w:szCs w:val="24"/>
              </w:rPr>
            </w:pPr>
            <w:r w:rsidRPr="003E2E15">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C65E5" w:rsidRPr="003E2E15" w:rsidRDefault="00FC65E5" w:rsidP="00230E39">
            <w:pPr>
              <w:spacing w:after="0" w:line="240" w:lineRule="auto"/>
              <w:jc w:val="center"/>
              <w:outlineLvl w:val="2"/>
              <w:rPr>
                <w:rFonts w:ascii="Times New Roman" w:hAnsi="Times New Roman"/>
                <w:sz w:val="24"/>
                <w:szCs w:val="24"/>
              </w:rPr>
            </w:pPr>
            <w:r w:rsidRPr="003E2E15">
              <w:rPr>
                <w:rFonts w:ascii="Times New Roman" w:hAnsi="Times New Roman"/>
                <w:sz w:val="24"/>
                <w:szCs w:val="24"/>
              </w:rPr>
              <w:t>-</w:t>
            </w:r>
          </w:p>
        </w:tc>
      </w:tr>
    </w:tbl>
    <w:p w:rsidR="00FC65E5" w:rsidRPr="00497355" w:rsidRDefault="00FC65E5"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bookmarkStart w:id="26" w:name="_GoBack"/>
      <w:bookmarkEnd w:id="26"/>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теплоэнергии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 муниципального</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образовании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п/п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Объем финансиро-вания, всего</w:t>
            </w:r>
            <w:r w:rsidR="00511103">
              <w:rPr>
                <w:rFonts w:ascii="Times New Roman" w:hAnsi="Times New Roman"/>
                <w:sz w:val="24"/>
                <w:szCs w:val="24"/>
              </w:rPr>
              <w:t xml:space="preserve"> </w:t>
            </w:r>
            <w:r w:rsidRPr="006969D9">
              <w:rPr>
                <w:rFonts w:ascii="Times New Roman" w:hAnsi="Times New Roman"/>
                <w:sz w:val="24"/>
                <w:szCs w:val="24"/>
              </w:rPr>
              <w:t>тыс.руб.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тыс.руб.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C430A4" w:rsidRPr="006969D9" w:rsidTr="00F6659B">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18286,6</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673,9</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1180,0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6107,2</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8672,2</w:t>
            </w:r>
          </w:p>
        </w:tc>
        <w:tc>
          <w:tcPr>
            <w:tcW w:w="993" w:type="dxa"/>
            <w:vAlign w:val="center"/>
          </w:tcPr>
          <w:p w:rsidR="00C430A4" w:rsidRPr="00825A9D" w:rsidRDefault="00C430A4" w:rsidP="00C430A4">
            <w:pPr>
              <w:jc w:val="center"/>
            </w:pPr>
            <w:r w:rsidRPr="00825A9D">
              <w:rPr>
                <w:rFonts w:ascii="Times New Roman" w:hAnsi="Times New Roman"/>
                <w:sz w:val="24"/>
                <w:szCs w:val="24"/>
              </w:rPr>
              <w:t>1513,5</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10081,1</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5499,8</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F6659B">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8205,5</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673,9</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1180,0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1525,9</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3172,2</w:t>
            </w:r>
          </w:p>
        </w:tc>
        <w:tc>
          <w:tcPr>
            <w:tcW w:w="993" w:type="dxa"/>
            <w:vAlign w:val="center"/>
          </w:tcPr>
          <w:p w:rsidR="00C430A4" w:rsidRPr="00825A9D" w:rsidRDefault="00C430A4" w:rsidP="00C430A4">
            <w:pPr>
              <w:jc w:val="center"/>
            </w:pPr>
            <w:r w:rsidRPr="00825A9D">
              <w:rPr>
                <w:rFonts w:ascii="Times New Roman" w:hAnsi="Times New Roman"/>
                <w:sz w:val="24"/>
                <w:szCs w:val="24"/>
              </w:rPr>
              <w:t>1513,5</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C430A4" w:rsidRPr="006969D9" w:rsidTr="00E215AA">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10254,4</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5727,2</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1040FB">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5673,1</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1145,9</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2103,5</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F6659B">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1732,4</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341,4</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541,0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230,0</w:t>
            </w:r>
          </w:p>
        </w:tc>
        <w:tc>
          <w:tcPr>
            <w:tcW w:w="993" w:type="dxa"/>
            <w:vAlign w:val="center"/>
          </w:tcPr>
          <w:p w:rsidR="00C430A4" w:rsidRPr="00825A9D" w:rsidRDefault="00C430A4" w:rsidP="00C430A4">
            <w:pPr>
              <w:jc w:val="center"/>
            </w:pPr>
            <w:r w:rsidRPr="00825A9D">
              <w:rPr>
                <w:rFonts w:ascii="Times New Roman" w:hAnsi="Times New Roman"/>
                <w:sz w:val="24"/>
                <w:szCs w:val="24"/>
              </w:rPr>
              <w:t>100,0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F6659B">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1732,4</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341,4</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541,0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380,0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230,0</w:t>
            </w:r>
          </w:p>
        </w:tc>
        <w:tc>
          <w:tcPr>
            <w:tcW w:w="993" w:type="dxa"/>
            <w:vAlign w:val="center"/>
          </w:tcPr>
          <w:p w:rsidR="00C430A4" w:rsidRPr="00825A9D" w:rsidRDefault="00C430A4" w:rsidP="00C430A4">
            <w:pPr>
              <w:jc w:val="center"/>
            </w:pPr>
            <w:r w:rsidRPr="00825A9D">
              <w:rPr>
                <w:rFonts w:ascii="Times New Roman" w:hAnsi="Times New Roman"/>
                <w:sz w:val="24"/>
                <w:szCs w:val="24"/>
              </w:rPr>
              <w:t>100,0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c>
          <w:tcPr>
            <w:tcW w:w="992" w:type="dxa"/>
            <w:vAlign w:val="center"/>
          </w:tcPr>
          <w:p w:rsidR="00C430A4" w:rsidRPr="00825A9D" w:rsidRDefault="00C430A4" w:rsidP="00C430A4">
            <w:pPr>
              <w:jc w:val="center"/>
            </w:pPr>
            <w:r w:rsidRPr="00825A9D">
              <w:rPr>
                <w:rFonts w:ascii="Times New Roman" w:hAnsi="Times New Roman"/>
                <w:sz w:val="24"/>
                <w:szCs w:val="24"/>
              </w:rPr>
              <w:t>70,0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jc w:val="center"/>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6299,8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6299,8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5499,8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5499,8</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800,0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800,0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6969D9" w:rsidTr="00E215AA">
        <w:tc>
          <w:tcPr>
            <w:tcW w:w="675"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C430A4" w:rsidRPr="006969D9"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C430A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bl>
    <w:p w:rsidR="00870A10" w:rsidRPr="00497355" w:rsidRDefault="001C41FE"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1C41FE">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8" w:name="sub_112"/>
            <w:r w:rsidRPr="00497355">
              <w:rPr>
                <w:rFonts w:ascii="Times New Roman" w:hAnsi="Times New Roman" w:cs="Times New Roman"/>
                <w:color w:val="000000" w:themeColor="text1"/>
                <w:sz w:val="28"/>
                <w:szCs w:val="28"/>
              </w:rPr>
              <w:t>Участники подпрограмм</w:t>
            </w:r>
            <w:bookmarkEnd w:id="28"/>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9" w:name="sub_220"/>
            <w:r w:rsidRPr="00497355">
              <w:rPr>
                <w:rFonts w:ascii="Times New Roman" w:hAnsi="Times New Roman" w:cs="Times New Roman"/>
                <w:color w:val="000000" w:themeColor="text1"/>
                <w:sz w:val="28"/>
                <w:szCs w:val="28"/>
              </w:rPr>
              <w:t>Этапы и сроки реализации подпрограммы</w:t>
            </w:r>
            <w:bookmarkEnd w:id="29"/>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30"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30"/>
          </w:p>
        </w:tc>
        <w:tc>
          <w:tcPr>
            <w:tcW w:w="6379" w:type="dxa"/>
            <w:tcBorders>
              <w:top w:val="single" w:sz="4" w:space="0" w:color="auto"/>
              <w:left w:val="single" w:sz="4" w:space="0" w:color="auto"/>
              <w:bottom w:val="single" w:sz="4" w:space="0" w:color="auto"/>
            </w:tcBorders>
          </w:tcPr>
          <w:p w:rsidR="00C430A4" w:rsidRPr="00825A9D" w:rsidRDefault="00C430A4" w:rsidP="00C430A4">
            <w:pPr>
              <w:spacing w:after="0" w:line="240" w:lineRule="auto"/>
              <w:contextualSpacing/>
              <w:jc w:val="both"/>
              <w:rPr>
                <w:rFonts w:ascii="Times New Roman" w:hAnsi="Times New Roman"/>
                <w:sz w:val="28"/>
                <w:szCs w:val="28"/>
              </w:rPr>
            </w:pPr>
            <w:r w:rsidRPr="00825A9D">
              <w:rPr>
                <w:rFonts w:ascii="Times New Roman" w:hAnsi="Times New Roman"/>
                <w:sz w:val="28"/>
                <w:szCs w:val="28"/>
              </w:rPr>
              <w:t>общий объем финансирования составляет 10254,4 тысяч рублей, в том числе по годам:</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2015 год – 332,5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2016 год – 639,0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2017 год  - 5727,2тысяч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2018 год – 2142,2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2019 год – 1413,5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2021год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в том числе из средств местного бюджета – 5673,1  тысяч рублей, в том числе по годам:</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2015 год – 332,5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2016 год – 639,0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2017 год – 1145,9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2018 год – 2142,2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2019 год – 1413,5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2021год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в том числе из средств краевого бюджета – 4581,3  тысяч рублей, в том числе по годам:</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2015 год  -  0,0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2016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2017 год – 4581,3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2018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2019 год – 0,0 тысяч рублей;</w:t>
            </w:r>
          </w:p>
          <w:p w:rsidR="00C430A4" w:rsidRPr="00825A9D" w:rsidRDefault="00C430A4" w:rsidP="00C430A4">
            <w:pPr>
              <w:spacing w:after="0" w:line="240" w:lineRule="auto"/>
              <w:ind w:left="720"/>
              <w:contextualSpacing/>
              <w:jc w:val="both"/>
              <w:rPr>
                <w:rFonts w:ascii="Times New Roman" w:hAnsi="Times New Roman"/>
                <w:sz w:val="28"/>
                <w:szCs w:val="28"/>
              </w:rPr>
            </w:pPr>
            <w:r w:rsidRPr="00825A9D">
              <w:rPr>
                <w:rFonts w:ascii="Times New Roman" w:hAnsi="Times New Roman"/>
                <w:sz w:val="28"/>
                <w:szCs w:val="28"/>
              </w:rPr>
              <w:t>2020 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3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3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3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4"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3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5"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3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3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7" w:name="sub_103"/>
      <w:r w:rsidRPr="00497355">
        <w:rPr>
          <w:rFonts w:ascii="Times New Roman" w:hAnsi="Times New Roman" w:cs="Times New Roman"/>
          <w:b/>
          <w:bCs/>
          <w:color w:val="000000" w:themeColor="text1"/>
          <w:sz w:val="28"/>
          <w:szCs w:val="28"/>
        </w:rPr>
        <w:t>3. Перечень мероприятий подпрограммы</w:t>
      </w:r>
    </w:p>
    <w:bookmarkEnd w:id="3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430A4"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C430A4" w:rsidRPr="00825A9D">
        <w:rPr>
          <w:rFonts w:ascii="Times New Roman" w:hAnsi="Times New Roman"/>
          <w:sz w:val="28"/>
          <w:szCs w:val="28"/>
        </w:rPr>
        <w:t xml:space="preserve">10254,4 </w:t>
      </w:r>
    </w:p>
    <w:p w:rsidR="00FC49FB" w:rsidRPr="00497355" w:rsidRDefault="00C430A4" w:rsidP="00C430A4">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00FC49FB" w:rsidRPr="00497355">
        <w:rPr>
          <w:rFonts w:ascii="Times New Roman" w:hAnsi="Times New Roman" w:cs="Times New Roman"/>
          <w:color w:val="000000" w:themeColor="text1"/>
          <w:sz w:val="28"/>
          <w:szCs w:val="28"/>
        </w:rPr>
        <w:t>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софинансирования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8" w:name="sub_143"/>
      <w:r w:rsidRPr="00497355">
        <w:rPr>
          <w:rFonts w:ascii="Times New Roman" w:hAnsi="Times New Roman" w:cs="Times New Roman"/>
          <w:color w:val="000000" w:themeColor="text1"/>
          <w:sz w:val="28"/>
          <w:szCs w:val="28"/>
        </w:rPr>
        <w:t>Планируется привлечение средств краевого бюджета для софинансирования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условий софинансирования,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9" w:name="sub_105"/>
      <w:r w:rsidRPr="00497355">
        <w:rPr>
          <w:rFonts w:ascii="Times New Roman" w:hAnsi="Times New Roman" w:cs="Times New Roman"/>
          <w:b/>
          <w:bCs/>
          <w:color w:val="000000" w:themeColor="text1"/>
          <w:sz w:val="28"/>
          <w:szCs w:val="28"/>
        </w:rPr>
        <w:t>5. Механизм реализации подпрограммы</w:t>
      </w:r>
    </w:p>
    <w:bookmarkEnd w:id="3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0"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Наименование целевого</w:t>
            </w:r>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измер.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rPr>
                <w:rFonts w:ascii="Times New Roman" w:hAnsi="Times New Roman"/>
                <w:color w:val="000000"/>
                <w:sz w:val="24"/>
                <w:szCs w:val="24"/>
              </w:rPr>
            </w:pPr>
            <w:r>
              <w:rPr>
                <w:rFonts w:ascii="Times New Roman" w:hAnsi="Times New Roman"/>
                <w:color w:val="000000"/>
                <w:sz w:val="24"/>
                <w:szCs w:val="24"/>
              </w:rPr>
              <w:t>-</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A35FFB" w:rsidP="00D21A14">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администрации муниципального</w:t>
      </w:r>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47042C" w:rsidRPr="00E40B14" w:rsidRDefault="0047042C"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1134"/>
        <w:gridCol w:w="851"/>
        <w:gridCol w:w="851"/>
        <w:gridCol w:w="992"/>
        <w:gridCol w:w="992"/>
        <w:gridCol w:w="992"/>
        <w:gridCol w:w="992"/>
        <w:gridCol w:w="851"/>
        <w:gridCol w:w="1417"/>
        <w:gridCol w:w="1418"/>
      </w:tblGrid>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 п/п</w:t>
            </w:r>
          </w:p>
        </w:tc>
        <w:tc>
          <w:tcPr>
            <w:tcW w:w="2409"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Наименование отдельных мероприятий</w:t>
            </w:r>
          </w:p>
        </w:tc>
        <w:tc>
          <w:tcPr>
            <w:tcW w:w="1701"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Источник финансирования</w:t>
            </w:r>
          </w:p>
        </w:tc>
        <w:tc>
          <w:tcPr>
            <w:tcW w:w="1134"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Объем финан-сиро-вания, всего (тыс.</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руб.)</w:t>
            </w:r>
          </w:p>
        </w:tc>
        <w:tc>
          <w:tcPr>
            <w:tcW w:w="6521" w:type="dxa"/>
            <w:gridSpan w:val="7"/>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 том числе по годам</w:t>
            </w:r>
          </w:p>
        </w:tc>
        <w:tc>
          <w:tcPr>
            <w:tcW w:w="1417"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Непосред-ственный результат реализации мероприятия</w:t>
            </w:r>
          </w:p>
        </w:tc>
        <w:tc>
          <w:tcPr>
            <w:tcW w:w="141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Участник муници-пальной программы</w:t>
            </w: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2015 год</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2016 год</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2017 год</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2018 год</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2019 год</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2020 год</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2021 год</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w:t>
            </w:r>
          </w:p>
        </w:tc>
        <w:tc>
          <w:tcPr>
            <w:tcW w:w="2409"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w:t>
            </w:r>
          </w:p>
        </w:tc>
        <w:tc>
          <w:tcPr>
            <w:tcW w:w="170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w:t>
            </w:r>
          </w:p>
        </w:tc>
        <w:tc>
          <w:tcPr>
            <w:tcW w:w="1134"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w:t>
            </w:r>
          </w:p>
        </w:tc>
        <w:tc>
          <w:tcPr>
            <w:tcW w:w="85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w:t>
            </w:r>
          </w:p>
        </w:tc>
        <w:tc>
          <w:tcPr>
            <w:tcW w:w="85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7</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8</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w:t>
            </w:r>
          </w:p>
        </w:tc>
        <w:tc>
          <w:tcPr>
            <w:tcW w:w="85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w:t>
            </w:r>
          </w:p>
        </w:tc>
        <w:tc>
          <w:tcPr>
            <w:tcW w:w="1417"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12</w:t>
            </w:r>
          </w:p>
        </w:tc>
        <w:tc>
          <w:tcPr>
            <w:tcW w:w="141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13</w:t>
            </w:r>
          </w:p>
        </w:tc>
      </w:tr>
      <w:tr w:rsidR="0047042C" w:rsidRPr="00825A9D" w:rsidTr="00230E39">
        <w:tc>
          <w:tcPr>
            <w:tcW w:w="568"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w:t>
            </w:r>
          </w:p>
        </w:tc>
        <w:tc>
          <w:tcPr>
            <w:tcW w:w="2409"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Цель</w:t>
            </w:r>
          </w:p>
        </w:tc>
        <w:tc>
          <w:tcPr>
            <w:tcW w:w="12191" w:type="dxa"/>
            <w:gridSpan w:val="11"/>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47042C" w:rsidRPr="00825A9D" w:rsidTr="00230E39">
        <w:tc>
          <w:tcPr>
            <w:tcW w:w="568"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w:t>
            </w:r>
          </w:p>
        </w:tc>
        <w:tc>
          <w:tcPr>
            <w:tcW w:w="2409"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Задача</w:t>
            </w:r>
          </w:p>
        </w:tc>
        <w:tc>
          <w:tcPr>
            <w:tcW w:w="12191" w:type="dxa"/>
            <w:gridSpan w:val="11"/>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w:t>
            </w:r>
          </w:p>
        </w:tc>
        <w:tc>
          <w:tcPr>
            <w:tcW w:w="2409"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Мероприятие № 1:</w:t>
            </w:r>
          </w:p>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Строительство подводящих газопроводов</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9350,7</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5577,2</w:t>
            </w:r>
          </w:p>
        </w:tc>
        <w:tc>
          <w:tcPr>
            <w:tcW w:w="992" w:type="dxa"/>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1990,0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tcPr>
          <w:p w:rsidR="0047042C" w:rsidRPr="00825A9D" w:rsidRDefault="0047042C" w:rsidP="00230E39">
            <w:pPr>
              <w:widowControl w:val="0"/>
              <w:suppressAutoHyphens/>
              <w:spacing w:after="0" w:line="240" w:lineRule="auto"/>
              <w:jc w:val="center"/>
              <w:rPr>
                <w:sz w:val="24"/>
                <w:szCs w:val="24"/>
              </w:rPr>
            </w:pPr>
            <w:r w:rsidRPr="00825A9D">
              <w:rPr>
                <w:rFonts w:ascii="Times New Roman" w:hAnsi="Times New Roman"/>
                <w:sz w:val="24"/>
                <w:szCs w:val="24"/>
              </w:rPr>
              <w:t>Создание условий для обеспече-ния населения  района  газом</w:t>
            </w:r>
          </w:p>
        </w:tc>
        <w:tc>
          <w:tcPr>
            <w:tcW w:w="1418" w:type="dxa"/>
            <w:vMerge w:val="restart"/>
          </w:tcPr>
          <w:p w:rsidR="0047042C" w:rsidRPr="00825A9D" w:rsidRDefault="0047042C" w:rsidP="00230E39">
            <w:pPr>
              <w:spacing w:after="0" w:line="240" w:lineRule="auto"/>
              <w:contextualSpacing/>
              <w:jc w:val="center"/>
              <w:rPr>
                <w:rFonts w:ascii="Times New Roman" w:hAnsi="Times New Roman"/>
                <w:sz w:val="24"/>
                <w:szCs w:val="24"/>
              </w:rPr>
            </w:pPr>
            <w:r w:rsidRPr="00825A9D">
              <w:rPr>
                <w:rFonts w:ascii="Times New Roman" w:hAnsi="Times New Roman"/>
                <w:sz w:val="24"/>
                <w:szCs w:val="24"/>
              </w:rPr>
              <w:t>МКУ «ЦБ администрации муниципального образования Кавказский район»</w:t>
            </w:r>
          </w:p>
        </w:tc>
      </w:tr>
      <w:tr w:rsidR="0047042C" w:rsidRPr="00825A9D" w:rsidTr="00230E39">
        <w:trPr>
          <w:trHeight w:val="554"/>
        </w:trPr>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rPr>
          <w:trHeight w:val="561"/>
        </w:trPr>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rPr>
          <w:trHeight w:val="838"/>
        </w:trPr>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4769,4</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995,9</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1990,0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в том числе:</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992" w:type="dxa"/>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992" w:type="dxa"/>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851" w:type="dxa"/>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7" w:type="dxa"/>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3.1</w:t>
            </w:r>
          </w:p>
        </w:tc>
        <w:tc>
          <w:tcPr>
            <w:tcW w:w="2409"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Газоснабжение пос. Озерный Кавказского района. 1-ый этап строительства (корректировка проекта, экспертиза)</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 xml:space="preserve">Создание условий для обеспечения населения п. Озерный газом </w:t>
            </w:r>
          </w:p>
          <w:p w:rsidR="0047042C" w:rsidRPr="00825A9D" w:rsidRDefault="0047042C" w:rsidP="00230E39">
            <w:pPr>
              <w:widowControl w:val="0"/>
              <w:suppressAutoHyphens/>
              <w:spacing w:after="0" w:line="240" w:lineRule="auto"/>
              <w:jc w:val="center"/>
              <w:rPr>
                <w:sz w:val="24"/>
                <w:szCs w:val="24"/>
              </w:rPr>
            </w:pPr>
          </w:p>
        </w:tc>
        <w:tc>
          <w:tcPr>
            <w:tcW w:w="141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400,0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3.2</w:t>
            </w:r>
          </w:p>
        </w:tc>
        <w:tc>
          <w:tcPr>
            <w:tcW w:w="2409"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Газоснабжение пос. Озерный Кавказского района. 1-ый этап строительства</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(строительно-монтажные работы)</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5270,8</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5234,3</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36,5</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 xml:space="preserve">Создание условий для обеспечения населения п. Озерный газом </w:t>
            </w:r>
          </w:p>
        </w:tc>
        <w:tc>
          <w:tcPr>
            <w:tcW w:w="141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689,5</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653,0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36,5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w:t>
            </w:r>
          </w:p>
        </w:tc>
        <w:tc>
          <w:tcPr>
            <w:tcW w:w="2409"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Газоснабжение пос. Озерный Кавказского района. 1-ый этап строительства</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(СМР- документация  и  строительный контроль)</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 xml:space="preserve">Создание условий для обеспечения населения п. Озерный газом </w:t>
            </w:r>
          </w:p>
        </w:tc>
        <w:tc>
          <w:tcPr>
            <w:tcW w:w="141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242,9</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3.4</w:t>
            </w:r>
          </w:p>
        </w:tc>
        <w:tc>
          <w:tcPr>
            <w:tcW w:w="2409"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Газопроводы высокого и низкого давления, ПРГШ в х. Розы Люксембург Кавказского района.</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 этап строительства (предпроектные работы, проектные работы, экспертиза</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3237,0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1953,5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vAlign w:val="center"/>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Создание условий для обеспечения  населения х. Р.Люксембург газом</w:t>
            </w:r>
          </w:p>
        </w:tc>
        <w:tc>
          <w:tcPr>
            <w:tcW w:w="141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3237,0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1953,5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1183,5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3.5</w:t>
            </w:r>
          </w:p>
        </w:tc>
        <w:tc>
          <w:tcPr>
            <w:tcW w:w="2409"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 этап строительства</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shd w:val="clear" w:color="auto" w:fill="FFFFFF"/>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Создание условий для обеспечения  населения х. Р.Люксембург газом</w:t>
            </w:r>
          </w:p>
        </w:tc>
        <w:tc>
          <w:tcPr>
            <w:tcW w:w="1418" w:type="dxa"/>
            <w:vMerge w:val="restart"/>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spacing w:after="0" w:line="240" w:lineRule="auto"/>
              <w:jc w:val="center"/>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3.6</w:t>
            </w:r>
          </w:p>
        </w:tc>
        <w:tc>
          <w:tcPr>
            <w:tcW w:w="2409"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Строительство подводящих газопроводов высокого давления</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 xml:space="preserve"> х.Полтавский (ПСД, экспертиза)</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Создание условий для обеспечения  населения х. Полтавский газом</w:t>
            </w:r>
          </w:p>
        </w:tc>
        <w:tc>
          <w:tcPr>
            <w:tcW w:w="1418"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3.7</w:t>
            </w:r>
          </w:p>
        </w:tc>
        <w:tc>
          <w:tcPr>
            <w:tcW w:w="2409"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Мероприятие:</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Строительство подводящих газопроводов высокого давления</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 xml:space="preserve"> х. Полтавский</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tcPr>
          <w:p w:rsidR="0047042C" w:rsidRPr="00825A9D" w:rsidRDefault="0047042C" w:rsidP="00230E39">
            <w:pPr>
              <w:widowControl w:val="0"/>
              <w:suppressAutoHyphens/>
              <w:spacing w:after="0" w:line="240" w:lineRule="auto"/>
              <w:jc w:val="center"/>
              <w:rPr>
                <w:rFonts w:ascii="Times New Roman" w:hAnsi="Times New Roman"/>
                <w:sz w:val="24"/>
                <w:szCs w:val="24"/>
              </w:rPr>
            </w:pPr>
            <w:r w:rsidRPr="00825A9D">
              <w:rPr>
                <w:rFonts w:ascii="Times New Roman" w:hAnsi="Times New Roman"/>
                <w:sz w:val="24"/>
                <w:szCs w:val="24"/>
              </w:rPr>
              <w:t>Создание условий для обеспечения  населения х. Полтавский газом</w:t>
            </w:r>
          </w:p>
        </w:tc>
        <w:tc>
          <w:tcPr>
            <w:tcW w:w="1418"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rPr>
          <w:trHeight w:val="623"/>
        </w:trPr>
        <w:tc>
          <w:tcPr>
            <w:tcW w:w="568" w:type="dxa"/>
            <w:vMerge/>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Мероприятие №2</w:t>
            </w:r>
          </w:p>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Обслуживание газопроводов, находящихся в собственности МО Кавказский район</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903,7</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132,5</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239,0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152,2</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val="restart"/>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418" w:type="dxa"/>
            <w:vMerge w:val="restart"/>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Админист-рация Кавказский район</w:t>
            </w: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903,7</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132,5</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239,0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152,2</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230,0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shd w:val="clear" w:color="auto" w:fill="FFFFFF"/>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Итого по программе</w:t>
            </w: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Всего</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10254,4</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5727,2</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краевой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федеральный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местный бюджет</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5673,1</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1145,9</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7042C" w:rsidRPr="00825A9D" w:rsidTr="00230E39">
        <w:tc>
          <w:tcPr>
            <w:tcW w:w="568"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внебюджет. источники</w:t>
            </w:r>
          </w:p>
        </w:tc>
        <w:tc>
          <w:tcPr>
            <w:tcW w:w="1134"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851" w:type="dxa"/>
            <w:vAlign w:val="center"/>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417"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47042C" w:rsidRPr="00825A9D" w:rsidRDefault="0047042C" w:rsidP="00230E39">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администрации муниципального</w:t>
      </w:r>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п/п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тыс.руб.</w:t>
            </w:r>
          </w:p>
        </w:tc>
      </w:tr>
      <w:tr w:rsidR="001A1AFB" w:rsidRPr="009C7CEA" w:rsidTr="00C11AC6">
        <w:trPr>
          <w:trHeight w:val="897"/>
        </w:trPr>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C430A4" w:rsidRPr="009C7CEA" w:rsidTr="001040FB">
        <w:tc>
          <w:tcPr>
            <w:tcW w:w="653" w:type="dxa"/>
            <w:vMerge w:val="restart"/>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C430A4" w:rsidRPr="009C7CEA" w:rsidRDefault="00C430A4"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10254,4</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5727,2</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3"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F6659B">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4581,3</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F6659B">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1040FB">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5673,1</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332,5</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639,0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1145,9</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2142,2</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1413,5</w:t>
            </w:r>
          </w:p>
        </w:tc>
        <w:tc>
          <w:tcPr>
            <w:tcW w:w="993"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r w:rsidR="00C430A4" w:rsidRPr="009C7CEA" w:rsidTr="00F6659B">
        <w:tc>
          <w:tcPr>
            <w:tcW w:w="653"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C430A4" w:rsidRPr="009C7CEA" w:rsidRDefault="00C430A4"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2"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993"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c>
          <w:tcPr>
            <w:tcW w:w="1134" w:type="dxa"/>
            <w:vAlign w:val="center"/>
          </w:tcPr>
          <w:p w:rsidR="00C430A4" w:rsidRPr="00825A9D" w:rsidRDefault="00C430A4" w:rsidP="00F6659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825A9D">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администрации муниципального</w:t>
      </w:r>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ПРИЛОЖЕНИЕ № 4 к подпрограмме «Газификация  муниципального</w:t>
      </w: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(в редакции 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 xml:space="preserve">от _______.2016 № ____ )    </w:t>
      </w: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773CFE" w:rsidRPr="00F32B76" w:rsidTr="00A35FFB">
        <w:trPr>
          <w:gridAfter w:val="1"/>
          <w:wAfter w:w="905" w:type="dxa"/>
          <w:trHeight w:val="1139"/>
        </w:trPr>
        <w:tc>
          <w:tcPr>
            <w:tcW w:w="15610" w:type="dxa"/>
            <w:gridSpan w:val="16"/>
            <w:tcBorders>
              <w:top w:val="nil"/>
              <w:left w:val="nil"/>
              <w:bottom w:val="nil"/>
              <w:right w:val="nil"/>
            </w:tcBorders>
          </w:tcPr>
          <w:p w:rsidR="00773CFE" w:rsidRPr="00F32B76" w:rsidRDefault="00773CFE" w:rsidP="00A35FFB">
            <w:pPr>
              <w:pStyle w:val="1"/>
              <w:spacing w:line="276" w:lineRule="auto"/>
              <w:rPr>
                <w:rFonts w:ascii="Times New Roman" w:hAnsi="Times New Roman" w:cs="Times New Roman"/>
                <w:color w:val="auto"/>
              </w:rPr>
            </w:pPr>
          </w:p>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Информация</w:t>
            </w:r>
            <w:r w:rsidRPr="00F32B76">
              <w:rPr>
                <w:rFonts w:ascii="Times New Roman" w:hAnsi="Times New Roman" w:cs="Times New Roman"/>
                <w:color w:val="auto"/>
              </w:rPr>
              <w:br/>
              <w:t>об объекте капитального строительства</w:t>
            </w:r>
          </w:p>
        </w:tc>
      </w:tr>
      <w:tr w:rsidR="00773CFE" w:rsidRPr="00F32B76" w:rsidTr="00A35FFB">
        <w:trPr>
          <w:gridAfter w:val="1"/>
          <w:wAfter w:w="905" w:type="dxa"/>
          <w:trHeight w:val="89"/>
        </w:trPr>
        <w:tc>
          <w:tcPr>
            <w:tcW w:w="1936" w:type="dxa"/>
            <w:gridSpan w:val="2"/>
            <w:tcBorders>
              <w:top w:val="nil"/>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rPr>
            </w:pPr>
            <w:r w:rsidRPr="00F32B76">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773CFE" w:rsidRPr="00F32B76" w:rsidRDefault="00773CFE" w:rsidP="00A35FFB">
            <w:pPr>
              <w:pStyle w:val="a9"/>
              <w:spacing w:line="276" w:lineRule="auto"/>
              <w:jc w:val="center"/>
              <w:rPr>
                <w:rFonts w:ascii="Times New Roman" w:hAnsi="Times New Roman" w:cs="Times New Roman"/>
              </w:rPr>
            </w:pP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r>
      <w:tr w:rsidR="00773CFE" w:rsidRPr="00F32B76" w:rsidTr="00A35FFB">
        <w:trPr>
          <w:gridAfter w:val="1"/>
          <w:wAfter w:w="905" w:type="dxa"/>
        </w:trPr>
        <w:tc>
          <w:tcPr>
            <w:tcW w:w="1936" w:type="dxa"/>
            <w:gridSpan w:val="2"/>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(наименование объекта капитального строительства согласно проектной документации)</w:t>
            </w:r>
          </w:p>
        </w:tc>
      </w:tr>
      <w:tr w:rsidR="00773CFE" w:rsidRPr="00F32B76" w:rsidTr="00A35FFB">
        <w:trPr>
          <w:gridAfter w:val="1"/>
          <w:wAfter w:w="905" w:type="dxa"/>
        </w:trPr>
        <w:tc>
          <w:tcPr>
            <w:tcW w:w="193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Основные технико-экономические показатели по объекту</w:t>
            </w:r>
          </w:p>
        </w:tc>
      </w:tr>
      <w:tr w:rsidR="00773CFE" w:rsidRPr="00F32B76" w:rsidTr="00A35FFB">
        <w:trPr>
          <w:gridAfter w:val="1"/>
          <w:wAfter w:w="905" w:type="dxa"/>
        </w:trPr>
        <w:tc>
          <w:tcPr>
            <w:tcW w:w="1246" w:type="dxa"/>
            <w:tcBorders>
              <w:top w:val="nil"/>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rPr>
              <w:t>Строительство газопровода высокого и низкого давления, ПРГШ</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х. Р.Люксембург Кавказского района</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Администрация муниципального образования Кавказский район</w:t>
            </w: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i/>
              </w:rPr>
            </w:pPr>
          </w:p>
        </w:tc>
      </w:tr>
      <w:tr w:rsidR="00773CFE" w:rsidRPr="00F32B76" w:rsidTr="00A35FFB">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декабрь 2019 года</w:t>
            </w:r>
          </w:p>
        </w:tc>
      </w:tr>
      <w:tr w:rsidR="00773CFE" w:rsidRPr="00F32B76" w:rsidTr="00A35FFB">
        <w:trPr>
          <w:gridAfter w:val="1"/>
          <w:wAfter w:w="905" w:type="dxa"/>
        </w:trPr>
        <w:tc>
          <w:tcPr>
            <w:tcW w:w="1936" w:type="dxa"/>
            <w:gridSpan w:val="2"/>
            <w:tcBorders>
              <w:top w:val="single" w:sz="4" w:space="0" w:color="auto"/>
              <w:left w:val="single" w:sz="4" w:space="0" w:color="auto"/>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773CFE" w:rsidRPr="00F32B76" w:rsidRDefault="00773CFE" w:rsidP="00A35FFB">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773CFE" w:rsidRPr="00F32B76" w:rsidRDefault="00773CFE" w:rsidP="00A35FFB">
            <w:pPr>
              <w:pStyle w:val="1"/>
              <w:spacing w:line="276" w:lineRule="auto"/>
              <w:rPr>
                <w:rFonts w:ascii="Times New Roman" w:hAnsi="Times New Roman" w:cs="Times New Roman"/>
                <w:color w:val="auto"/>
              </w:rPr>
            </w:pPr>
            <w:r w:rsidRPr="00F32B76">
              <w:rPr>
                <w:rFonts w:ascii="Times New Roman" w:hAnsi="Times New Roman" w:cs="Times New Roman"/>
                <w:color w:val="auto"/>
              </w:rPr>
              <w:t>Объем финансового обеспечения, тыс. руб.</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Период реализации</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2021 год</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9"/>
              <w:spacing w:line="276" w:lineRule="auto"/>
              <w:jc w:val="center"/>
              <w:rPr>
                <w:rFonts w:ascii="Times New Roman" w:hAnsi="Times New Roman" w:cs="Times New Roman"/>
              </w:rPr>
            </w:pPr>
            <w:r w:rsidRPr="00F32B76">
              <w:rPr>
                <w:rFonts w:ascii="Times New Roman" w:hAnsi="Times New Roman" w:cs="Times New Roman"/>
              </w:rPr>
              <w:t>10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r>
      <w:tr w:rsidR="00773CFE" w:rsidRPr="00F32B76" w:rsidTr="00A35FFB">
        <w:tc>
          <w:tcPr>
            <w:tcW w:w="3987" w:type="dxa"/>
            <w:gridSpan w:val="5"/>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nil"/>
            </w:tcBorders>
          </w:tcPr>
          <w:p w:rsidR="00773CFE" w:rsidRPr="00F32B76" w:rsidRDefault="00773CFE" w:rsidP="00A35FFB">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73CFE" w:rsidRPr="00F32B76" w:rsidRDefault="00773CFE" w:rsidP="00A35FFB">
            <w:pPr>
              <w:pStyle w:val="a9"/>
              <w:spacing w:line="276" w:lineRule="auto"/>
              <w:rPr>
                <w:rFonts w:ascii="Times New Roman" w:hAnsi="Times New Roman" w:cs="Times New Roman"/>
              </w:rPr>
            </w:pP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autoSpaceDE w:val="0"/>
              <w:autoSpaceDN w:val="0"/>
              <w:adjustRightInd w:val="0"/>
              <w:spacing w:after="0" w:line="240" w:lineRule="auto"/>
              <w:jc w:val="center"/>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r w:rsidR="00773CFE" w:rsidRPr="00F32B76" w:rsidTr="00A35FFB">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773CFE" w:rsidRPr="00F32B76" w:rsidRDefault="00773CFE" w:rsidP="00A35FFB">
            <w:pPr>
              <w:pStyle w:val="a3"/>
              <w:spacing w:line="276" w:lineRule="auto"/>
              <w:rPr>
                <w:rFonts w:ascii="Times New Roman" w:hAnsi="Times New Roman" w:cs="Times New Roman"/>
              </w:rPr>
            </w:pPr>
            <w:r w:rsidRPr="00F32B76">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2053,5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1953,5</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3CFE" w:rsidRPr="00F32B76" w:rsidRDefault="00773CFE" w:rsidP="00A35F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F32B76">
              <w:rPr>
                <w:rFonts w:ascii="Times New Roman" w:hAnsi="Times New Roman"/>
                <w:sz w:val="24"/>
                <w:szCs w:val="24"/>
              </w:rPr>
              <w:t>0,0</w:t>
            </w:r>
          </w:p>
        </w:tc>
        <w:tc>
          <w:tcPr>
            <w:tcW w:w="905" w:type="dxa"/>
            <w:tcBorders>
              <w:top w:val="nil"/>
              <w:left w:val="single" w:sz="4" w:space="0" w:color="auto"/>
              <w:bottom w:val="nil"/>
              <w:right w:val="nil"/>
            </w:tcBorders>
          </w:tcPr>
          <w:p w:rsidR="00773CFE" w:rsidRPr="00F32B76" w:rsidRDefault="00773CFE" w:rsidP="00A35FFB">
            <w:pPr>
              <w:pStyle w:val="a9"/>
              <w:spacing w:line="276" w:lineRule="auto"/>
              <w:rPr>
                <w:rFonts w:ascii="Times New Roman" w:hAnsi="Times New Roman" w:cs="Times New Roman"/>
              </w:rPr>
            </w:pPr>
          </w:p>
        </w:tc>
      </w:tr>
    </w:tbl>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муниципального</w:t>
      </w:r>
    </w:p>
    <w:p w:rsidR="00773CFE" w:rsidRPr="00C93373"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485CA6"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773CFE"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41" w:name="sub_11103"/>
            <w:r w:rsidRPr="00497355">
              <w:rPr>
                <w:rFonts w:ascii="Times New Roman" w:hAnsi="Times New Roman" w:cs="Times New Roman"/>
                <w:color w:val="000000" w:themeColor="text1"/>
                <w:sz w:val="28"/>
                <w:szCs w:val="28"/>
              </w:rPr>
              <w:t>Цели подпрограммы</w:t>
            </w:r>
            <w:bookmarkEnd w:id="41"/>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42" w:name="sub_505"/>
            <w:r w:rsidRPr="00497355">
              <w:rPr>
                <w:rFonts w:ascii="Times New Roman" w:hAnsi="Times New Roman" w:cs="Times New Roman"/>
                <w:color w:val="000000" w:themeColor="text1"/>
                <w:sz w:val="28"/>
                <w:szCs w:val="28"/>
              </w:rPr>
              <w:t>Перечень целевых показателей подпрограммы</w:t>
            </w:r>
            <w:bookmarkEnd w:id="42"/>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замена окон на пластиковые;</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43" w:name="sub_303"/>
            <w:r w:rsidRPr="00497355">
              <w:rPr>
                <w:rFonts w:ascii="Times New Roman" w:hAnsi="Times New Roman" w:cs="Times New Roman"/>
                <w:color w:val="000000" w:themeColor="text1"/>
                <w:sz w:val="28"/>
                <w:szCs w:val="28"/>
              </w:rPr>
              <w:t>Этапы и сроки реализации подпрограммы</w:t>
            </w:r>
            <w:bookmarkEnd w:id="43"/>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44" w:name="sub_308"/>
            <w:r w:rsidRPr="00497355">
              <w:rPr>
                <w:rFonts w:ascii="Times New Roman" w:hAnsi="Times New Roman" w:cs="Times New Roman"/>
                <w:color w:val="000000" w:themeColor="text1"/>
                <w:sz w:val="28"/>
                <w:szCs w:val="28"/>
              </w:rPr>
              <w:t>Объемы бюджетных ассигнований подпрограммы</w:t>
            </w:r>
            <w:bookmarkEnd w:id="44"/>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w:t>
            </w:r>
            <w:r w:rsidR="00C11AC6">
              <w:rPr>
                <w:rFonts w:ascii="Times New Roman" w:hAnsi="Times New Roman"/>
                <w:sz w:val="28"/>
                <w:szCs w:val="28"/>
              </w:rPr>
              <w:t>3</w:t>
            </w:r>
            <w:r w:rsidR="001B5501" w:rsidRPr="002C776A">
              <w:rPr>
                <w:rFonts w:ascii="Times New Roman" w:hAnsi="Times New Roman"/>
                <w:sz w:val="28"/>
                <w:szCs w:val="28"/>
              </w:rPr>
              <w:t>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D3FDD">
              <w:rPr>
                <w:rFonts w:ascii="Times New Roman" w:hAnsi="Times New Roman"/>
                <w:sz w:val="28"/>
                <w:szCs w:val="28"/>
              </w:rPr>
              <w:t>17</w:t>
            </w:r>
            <w:r w:rsidR="00C11AC6">
              <w:rPr>
                <w:rFonts w:ascii="Times New Roman" w:hAnsi="Times New Roman"/>
                <w:sz w:val="28"/>
                <w:szCs w:val="28"/>
              </w:rPr>
              <w:t>3</w:t>
            </w:r>
            <w:r w:rsidR="00C9762B" w:rsidRPr="002C776A">
              <w:rPr>
                <w:rFonts w:ascii="Times New Roman" w:hAnsi="Times New Roman"/>
                <w:sz w:val="28"/>
                <w:szCs w:val="28"/>
              </w:rPr>
              <w:t>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w:t>
            </w:r>
            <w:r w:rsidR="00CD3FDD">
              <w:rPr>
                <w:rFonts w:ascii="Times New Roman" w:hAnsi="Times New Roman"/>
                <w:sz w:val="28"/>
                <w:szCs w:val="28"/>
              </w:rPr>
              <w:t>3</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C11AC6">
              <w:rPr>
                <w:rFonts w:ascii="Times New Roman" w:hAnsi="Times New Roman"/>
                <w:sz w:val="28"/>
                <w:szCs w:val="28"/>
              </w:rPr>
              <w:t>10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C11AC6">
            <w:pPr>
              <w:spacing w:after="0" w:line="240" w:lineRule="auto"/>
              <w:rPr>
                <w:rFonts w:ascii="Times New Roman" w:hAnsi="Times New Roman"/>
                <w:color w:val="000000"/>
                <w:sz w:val="28"/>
                <w:szCs w:val="28"/>
              </w:rPr>
            </w:pPr>
            <w:r w:rsidRPr="002C776A">
              <w:rPr>
                <w:rFonts w:ascii="Times New Roman" w:hAnsi="Times New Roman"/>
                <w:sz w:val="28"/>
                <w:szCs w:val="28"/>
              </w:rPr>
              <w:t xml:space="preserve">2021 год – </w:t>
            </w:r>
            <w:r w:rsidR="00C11AC6">
              <w:rPr>
                <w:rFonts w:ascii="Times New Roman" w:hAnsi="Times New Roman"/>
                <w:sz w:val="28"/>
                <w:szCs w:val="28"/>
              </w:rPr>
              <w:t>7</w:t>
            </w:r>
            <w:r w:rsidRPr="002C776A">
              <w:rPr>
                <w:rFonts w:ascii="Times New Roman" w:hAnsi="Times New Roman"/>
                <w:sz w:val="28"/>
                <w:szCs w:val="28"/>
              </w:rPr>
              <w:t>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4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7"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4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8" w:name="sub_13"/>
      <w:r w:rsidRPr="00497355">
        <w:rPr>
          <w:rFonts w:ascii="Times New Roman" w:hAnsi="Times New Roman" w:cs="Times New Roman"/>
          <w:b/>
          <w:bCs/>
          <w:color w:val="000000" w:themeColor="text1"/>
          <w:sz w:val="28"/>
          <w:szCs w:val="28"/>
        </w:rPr>
        <w:t>3. Перечень мероприятий подпрограммы</w:t>
      </w:r>
    </w:p>
    <w:bookmarkEnd w:id="4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9"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9"/>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0"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1" w:name="sub_15"/>
      <w:r w:rsidRPr="00497355">
        <w:rPr>
          <w:rFonts w:ascii="Times New Roman" w:hAnsi="Times New Roman" w:cs="Times New Roman"/>
          <w:b/>
          <w:bCs/>
          <w:color w:val="000000" w:themeColor="text1"/>
          <w:sz w:val="28"/>
          <w:szCs w:val="28"/>
        </w:rPr>
        <w:t>5. Механизм реализации подпрограммы</w:t>
      </w:r>
    </w:p>
    <w:bookmarkEnd w:id="51"/>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Наименование целевого</w:t>
            </w:r>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изме-рения</w:t>
            </w:r>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407</w:t>
            </w:r>
          </w:p>
        </w:tc>
        <w:tc>
          <w:tcPr>
            <w:tcW w:w="851" w:type="dxa"/>
          </w:tcPr>
          <w:p w:rsidR="00B03E53" w:rsidRDefault="00B03E53">
            <w:r w:rsidRPr="00560451">
              <w:rPr>
                <w:rFonts w:ascii="Times New Roman" w:hAnsi="Times New Roman"/>
                <w:sz w:val="24"/>
                <w:szCs w:val="24"/>
              </w:rPr>
              <w:t>50</w:t>
            </w:r>
            <w:r w:rsidR="00C11AC6">
              <w:rPr>
                <w:rFonts w:ascii="Times New Roman" w:hAnsi="Times New Roman"/>
                <w:sz w:val="24"/>
                <w:szCs w:val="24"/>
              </w:rPr>
              <w:t>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окон на пластиковые</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кВт.ч/кВ.м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куб.м/чел.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куб.м/чел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Т.у.т./Гкал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КВт.ч/куб.м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Тыс.квт.ч/тыс.куб.м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Тыс.квт.ч/тыс.куб.м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кВт.ч/кВ.м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КВт.ч/кВ.м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Куб.м/чел.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1* форма федерального статистического наблюдения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теплоэнергии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 в</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муниципальном образовании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п/п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финанси-рования,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ОФКиС,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10</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ОФКиС,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9443FA" w:rsidRPr="00792818" w:rsidTr="003046F1">
        <w:tc>
          <w:tcPr>
            <w:tcW w:w="663" w:type="dxa"/>
            <w:vMerge/>
            <w:shd w:val="clear" w:color="auto" w:fill="auto"/>
          </w:tcPr>
          <w:p w:rsidR="009443FA" w:rsidRPr="00792818" w:rsidRDefault="009443FA" w:rsidP="009443FA">
            <w:pPr>
              <w:spacing w:after="0" w:line="240" w:lineRule="auto"/>
              <w:jc w:val="center"/>
              <w:rPr>
                <w:rFonts w:ascii="Times New Roman" w:hAnsi="Times New Roman"/>
                <w:sz w:val="24"/>
                <w:szCs w:val="24"/>
              </w:rPr>
            </w:pPr>
          </w:p>
        </w:tc>
        <w:tc>
          <w:tcPr>
            <w:tcW w:w="2260" w:type="dxa"/>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17"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Pr>
                <w:rFonts w:ascii="Times New Roman" w:hAnsi="Times New Roman"/>
                <w:sz w:val="24"/>
                <w:szCs w:val="24"/>
              </w:rPr>
              <w:t>4</w:t>
            </w:r>
            <w:r w:rsidRPr="00792818">
              <w:rPr>
                <w:rFonts w:ascii="Times New Roman" w:hAnsi="Times New Roman"/>
                <w:sz w:val="24"/>
                <w:szCs w:val="24"/>
              </w:rPr>
              <w:t>5,4</w:t>
            </w:r>
          </w:p>
        </w:tc>
        <w:tc>
          <w:tcPr>
            <w:tcW w:w="1037" w:type="dxa"/>
            <w:gridSpan w:val="3"/>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w:t>
            </w:r>
            <w:r w:rsidRPr="00792818">
              <w:rPr>
                <w:rFonts w:ascii="Times New Roman" w:hAnsi="Times New Roman"/>
                <w:sz w:val="24"/>
                <w:szCs w:val="24"/>
              </w:rPr>
              <w:t>0,0</w:t>
            </w:r>
          </w:p>
        </w:tc>
        <w:tc>
          <w:tcPr>
            <w:tcW w:w="992" w:type="dxa"/>
            <w:gridSpan w:val="2"/>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9443FA" w:rsidRPr="00792818" w:rsidRDefault="009443FA" w:rsidP="009443FA">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9443FA"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7</w:t>
            </w:r>
            <w:r w:rsidRPr="00792818">
              <w:rPr>
                <w:rFonts w:ascii="Times New Roman" w:hAnsi="Times New Roman"/>
                <w:sz w:val="24"/>
                <w:szCs w:val="24"/>
              </w:rPr>
              <w:t>0,0</w:t>
            </w:r>
          </w:p>
        </w:tc>
        <w:tc>
          <w:tcPr>
            <w:tcW w:w="1417" w:type="dxa"/>
            <w:gridSpan w:val="2"/>
            <w:vMerge/>
            <w:shd w:val="clear" w:color="auto" w:fill="auto"/>
          </w:tcPr>
          <w:p w:rsidR="009443FA" w:rsidRPr="00792818" w:rsidRDefault="009443FA" w:rsidP="009443FA">
            <w:pPr>
              <w:spacing w:after="0" w:line="240" w:lineRule="auto"/>
              <w:rPr>
                <w:rFonts w:ascii="Times New Roman" w:hAnsi="Times New Roman"/>
                <w:sz w:val="24"/>
                <w:szCs w:val="24"/>
              </w:rPr>
            </w:pPr>
          </w:p>
        </w:tc>
        <w:tc>
          <w:tcPr>
            <w:tcW w:w="1420" w:type="dxa"/>
            <w:gridSpan w:val="3"/>
            <w:vMerge/>
            <w:shd w:val="clear" w:color="auto" w:fill="auto"/>
          </w:tcPr>
          <w:p w:rsidR="009443FA" w:rsidRPr="00792818" w:rsidRDefault="009443FA" w:rsidP="009443FA">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9443FA">
            <w:pPr>
              <w:spacing w:after="0" w:line="240" w:lineRule="auto"/>
              <w:jc w:val="center"/>
              <w:rPr>
                <w:rFonts w:ascii="Times New Roman" w:hAnsi="Times New Roman"/>
                <w:sz w:val="24"/>
                <w:szCs w:val="24"/>
              </w:rPr>
            </w:pPr>
            <w:r w:rsidRPr="00792818">
              <w:rPr>
                <w:rFonts w:ascii="Times New Roman" w:hAnsi="Times New Roman"/>
                <w:sz w:val="24"/>
                <w:szCs w:val="24"/>
              </w:rPr>
              <w:t>5</w:t>
            </w:r>
            <w:r w:rsidR="009443FA">
              <w:rPr>
                <w:rFonts w:ascii="Times New Roman" w:hAnsi="Times New Roman"/>
                <w:sz w:val="24"/>
                <w:szCs w:val="24"/>
              </w:rPr>
              <w:t>48</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70</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8</w:t>
            </w:r>
            <w:r w:rsidR="000205BB"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20121D">
            <w:pPr>
              <w:spacing w:after="0" w:line="240" w:lineRule="auto"/>
              <w:jc w:val="center"/>
              <w:rPr>
                <w:rFonts w:ascii="Times New Roman" w:hAnsi="Times New Roman"/>
                <w:sz w:val="24"/>
                <w:szCs w:val="24"/>
              </w:rPr>
            </w:pPr>
            <w:r>
              <w:rPr>
                <w:rFonts w:ascii="Times New Roman" w:hAnsi="Times New Roman"/>
                <w:sz w:val="24"/>
                <w:szCs w:val="24"/>
              </w:rPr>
              <w:t>7</w:t>
            </w:r>
            <w:r w:rsidR="000205BB"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9443FA">
            <w:pPr>
              <w:spacing w:after="0" w:line="240" w:lineRule="auto"/>
              <w:jc w:val="center"/>
              <w:rPr>
                <w:rFonts w:ascii="Times New Roman" w:hAnsi="Times New Roman"/>
                <w:sz w:val="24"/>
                <w:szCs w:val="24"/>
              </w:rPr>
            </w:pPr>
            <w:r w:rsidRPr="00792818">
              <w:rPr>
                <w:rFonts w:ascii="Times New Roman" w:hAnsi="Times New Roman"/>
                <w:sz w:val="24"/>
                <w:szCs w:val="24"/>
              </w:rPr>
              <w:t>1</w:t>
            </w:r>
            <w:r w:rsidR="009443FA">
              <w:rPr>
                <w:rFonts w:ascii="Times New Roman" w:hAnsi="Times New Roman"/>
                <w:sz w:val="24"/>
                <w:szCs w:val="24"/>
              </w:rPr>
              <w:t>2</w:t>
            </w:r>
            <w:r w:rsidR="0020121D" w:rsidRPr="00792818">
              <w:rPr>
                <w:rFonts w:ascii="Times New Roman" w:hAnsi="Times New Roman"/>
                <w:sz w:val="24"/>
                <w:szCs w:val="24"/>
              </w:rPr>
              <w:t>5</w:t>
            </w: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9443FA" w:rsidP="001F59AC">
            <w:pPr>
              <w:spacing w:after="0" w:line="240" w:lineRule="auto"/>
              <w:jc w:val="center"/>
              <w:rPr>
                <w:rFonts w:ascii="Times New Roman" w:hAnsi="Times New Roman"/>
                <w:sz w:val="24"/>
                <w:szCs w:val="24"/>
              </w:rPr>
            </w:pPr>
            <w:r>
              <w:rPr>
                <w:rFonts w:ascii="Times New Roman" w:hAnsi="Times New Roman"/>
                <w:sz w:val="24"/>
                <w:szCs w:val="24"/>
              </w:rPr>
              <w:t>6</w:t>
            </w:r>
            <w:r w:rsidR="001F59AC" w:rsidRPr="00792818">
              <w:rPr>
                <w:rFonts w:ascii="Times New Roman" w:hAnsi="Times New Roman"/>
                <w:sz w:val="24"/>
                <w:szCs w:val="24"/>
              </w:rPr>
              <w:t>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9443FA" w:rsidP="003046F1">
            <w:pPr>
              <w:spacing w:after="0" w:line="240" w:lineRule="auto"/>
              <w:jc w:val="center"/>
              <w:rPr>
                <w:rFonts w:ascii="Times New Roman" w:hAnsi="Times New Roman"/>
                <w:sz w:val="24"/>
                <w:szCs w:val="24"/>
              </w:rPr>
            </w:pPr>
            <w:r>
              <w:rPr>
                <w:rFonts w:ascii="Times New Roman" w:hAnsi="Times New Roman"/>
                <w:sz w:val="24"/>
                <w:szCs w:val="24"/>
              </w:rPr>
              <w:t>20</w:t>
            </w:r>
            <w:r w:rsidR="0020121D" w:rsidRPr="00792818">
              <w:rPr>
                <w:rFonts w:ascii="Times New Roman" w:hAnsi="Times New Roman"/>
                <w:sz w:val="24"/>
                <w:szCs w:val="24"/>
              </w:rPr>
              <w:t>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CD3FDD" w:rsidP="003046F1">
            <w:pPr>
              <w:spacing w:after="0" w:line="240" w:lineRule="auto"/>
              <w:jc w:val="center"/>
              <w:rPr>
                <w:rFonts w:ascii="Times New Roman" w:hAnsi="Times New Roman"/>
                <w:sz w:val="24"/>
                <w:szCs w:val="24"/>
              </w:rPr>
            </w:pPr>
            <w:r>
              <w:rPr>
                <w:rFonts w:ascii="Times New Roman" w:hAnsi="Times New Roman"/>
                <w:sz w:val="24"/>
                <w:szCs w:val="24"/>
              </w:rPr>
              <w:t>5</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ОФКиС,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b/>
                <w:sz w:val="24"/>
                <w:szCs w:val="24"/>
              </w:rPr>
            </w:pPr>
            <w:r>
              <w:rPr>
                <w:rFonts w:ascii="Times New Roman" w:hAnsi="Times New Roman"/>
                <w:b/>
                <w:sz w:val="24"/>
                <w:szCs w:val="24"/>
              </w:rPr>
              <w:t>0</w:t>
            </w:r>
            <w:r w:rsidR="005D7CDB" w:rsidRPr="00792818">
              <w:rPr>
                <w:rFonts w:ascii="Times New Roman" w:hAnsi="Times New Roman"/>
                <w:b/>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5D7CDB" w:rsidRPr="00792818">
              <w:rPr>
                <w:rFonts w:ascii="Times New Roman" w:hAnsi="Times New Roman"/>
                <w:sz w:val="24"/>
                <w:szCs w:val="24"/>
              </w:rPr>
              <w:t>0,0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100,0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7</w:t>
            </w:r>
            <w:r w:rsidR="005D7CDB" w:rsidRPr="00792818">
              <w:rPr>
                <w:rFonts w:ascii="Times New Roman" w:hAnsi="Times New Roman"/>
                <w:sz w:val="24"/>
                <w:szCs w:val="24"/>
              </w:rPr>
              <w:t>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9443FA">
            <w:pPr>
              <w:spacing w:after="0" w:line="240" w:lineRule="auto"/>
              <w:jc w:val="center"/>
              <w:rPr>
                <w:rFonts w:ascii="Times New Roman" w:hAnsi="Times New Roman"/>
                <w:sz w:val="24"/>
                <w:szCs w:val="24"/>
              </w:rPr>
            </w:pPr>
            <w:r w:rsidRPr="00792818">
              <w:rPr>
                <w:rFonts w:ascii="Times New Roman" w:hAnsi="Times New Roman"/>
                <w:sz w:val="24"/>
                <w:szCs w:val="24"/>
              </w:rPr>
              <w:t>17</w:t>
            </w:r>
            <w:r w:rsidR="009443FA">
              <w:rPr>
                <w:rFonts w:ascii="Times New Roman" w:hAnsi="Times New Roman"/>
                <w:sz w:val="24"/>
                <w:szCs w:val="24"/>
              </w:rPr>
              <w:t>3</w:t>
            </w:r>
            <w:r w:rsidR="00FC325E">
              <w:rPr>
                <w:rFonts w:ascii="Times New Roman" w:hAnsi="Times New Roman"/>
                <w:sz w:val="24"/>
                <w:szCs w:val="24"/>
              </w:rPr>
              <w:t>2</w:t>
            </w:r>
            <w:r w:rsidRPr="00792818">
              <w:rPr>
                <w:rFonts w:ascii="Times New Roman" w:hAnsi="Times New Roman"/>
                <w:sz w:val="24"/>
                <w:szCs w:val="24"/>
              </w:rPr>
              <w:t>,4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CD3FDD">
            <w:pPr>
              <w:spacing w:after="0" w:line="240" w:lineRule="auto"/>
              <w:jc w:val="center"/>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Pr="00792818">
              <w:rPr>
                <w:rFonts w:ascii="Times New Roman" w:hAnsi="Times New Roman"/>
                <w:sz w:val="24"/>
                <w:szCs w:val="24"/>
              </w:rPr>
              <w:t>0,0</w:t>
            </w:r>
          </w:p>
        </w:tc>
        <w:tc>
          <w:tcPr>
            <w:tcW w:w="992" w:type="dxa"/>
            <w:gridSpan w:val="2"/>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10</w:t>
            </w:r>
            <w:r w:rsidR="00894CCC" w:rsidRPr="00792818">
              <w:rPr>
                <w:rFonts w:ascii="Times New Roman" w:hAnsi="Times New Roman"/>
                <w:sz w:val="24"/>
                <w:szCs w:val="24"/>
              </w:rPr>
              <w:t>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9443FA" w:rsidP="00894CCC">
            <w:pPr>
              <w:spacing w:after="0" w:line="240" w:lineRule="auto"/>
              <w:jc w:val="center"/>
              <w:rPr>
                <w:rFonts w:ascii="Times New Roman" w:hAnsi="Times New Roman"/>
                <w:sz w:val="24"/>
                <w:szCs w:val="24"/>
              </w:rPr>
            </w:pPr>
            <w:r>
              <w:rPr>
                <w:rFonts w:ascii="Times New Roman" w:hAnsi="Times New Roman"/>
                <w:sz w:val="24"/>
                <w:szCs w:val="24"/>
              </w:rPr>
              <w:t>7</w:t>
            </w:r>
            <w:r w:rsidR="00894CCC" w:rsidRPr="00792818">
              <w:rPr>
                <w:rFonts w:ascii="Times New Roman" w:hAnsi="Times New Roman"/>
                <w:sz w:val="24"/>
                <w:szCs w:val="24"/>
              </w:rPr>
              <w:t>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ED1922" w:rsidP="009443FA">
            <w:pPr>
              <w:spacing w:after="0" w:line="240" w:lineRule="auto"/>
              <w:jc w:val="center"/>
              <w:rPr>
                <w:rFonts w:ascii="Times New Roman" w:hAnsi="Times New Roman"/>
                <w:sz w:val="24"/>
                <w:szCs w:val="24"/>
              </w:rPr>
            </w:pPr>
            <w:r w:rsidRPr="00792818">
              <w:rPr>
                <w:rFonts w:ascii="Times New Roman" w:hAnsi="Times New Roman"/>
                <w:sz w:val="24"/>
                <w:szCs w:val="24"/>
              </w:rPr>
              <w:t>9</w:t>
            </w:r>
            <w:r w:rsidR="009443FA">
              <w:rPr>
                <w:rFonts w:ascii="Times New Roman" w:hAnsi="Times New Roman"/>
                <w:sz w:val="24"/>
                <w:szCs w:val="24"/>
              </w:rPr>
              <w:t>4</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8</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2</w:t>
            </w:r>
            <w:r w:rsidR="00FC325E">
              <w:rPr>
                <w:rFonts w:ascii="Times New Roman" w:hAnsi="Times New Roman"/>
                <w:sz w:val="24"/>
                <w:szCs w:val="24"/>
              </w:rPr>
              <w:t>5</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dxa"/>
            <w:gridSpan w:val="2"/>
            <w:shd w:val="clear" w:color="auto" w:fill="auto"/>
          </w:tcPr>
          <w:p w:rsidR="005D7CDB" w:rsidRPr="00792818" w:rsidRDefault="009443FA" w:rsidP="005D7CDB">
            <w:pPr>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FC325E">
            <w:pPr>
              <w:spacing w:after="0" w:line="240" w:lineRule="auto"/>
              <w:jc w:val="center"/>
              <w:rPr>
                <w:rFonts w:ascii="Times New Roman" w:hAnsi="Times New Roman"/>
                <w:sz w:val="24"/>
                <w:szCs w:val="24"/>
              </w:rPr>
            </w:pPr>
            <w:r w:rsidRPr="00792818">
              <w:rPr>
                <w:rFonts w:ascii="Times New Roman" w:hAnsi="Times New Roman"/>
                <w:sz w:val="24"/>
                <w:szCs w:val="24"/>
              </w:rPr>
              <w:t>3</w:t>
            </w:r>
            <w:r w:rsidR="00FC325E">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FC325E" w:rsidP="005D7CDB">
            <w:pPr>
              <w:spacing w:after="0" w:line="240" w:lineRule="auto"/>
              <w:jc w:val="center"/>
              <w:rPr>
                <w:rFonts w:ascii="Times New Roman" w:hAnsi="Times New Roman"/>
                <w:sz w:val="24"/>
                <w:szCs w:val="24"/>
              </w:rPr>
            </w:pPr>
            <w:r>
              <w:rPr>
                <w:rFonts w:ascii="Times New Roman" w:hAnsi="Times New Roman"/>
                <w:sz w:val="24"/>
                <w:szCs w:val="24"/>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9443FA" w:rsidP="009443FA">
            <w:pPr>
              <w:spacing w:after="0" w:line="240" w:lineRule="auto"/>
              <w:jc w:val="center"/>
              <w:rPr>
                <w:rFonts w:ascii="Times New Roman" w:hAnsi="Times New Roman"/>
                <w:sz w:val="24"/>
                <w:szCs w:val="24"/>
              </w:rPr>
            </w:pPr>
            <w:r>
              <w:rPr>
                <w:rFonts w:ascii="Times New Roman" w:hAnsi="Times New Roman"/>
                <w:sz w:val="24"/>
                <w:szCs w:val="24"/>
              </w:rPr>
              <w:t>20</w:t>
            </w:r>
            <w:r w:rsidR="005D7CDB" w:rsidRPr="00792818">
              <w:rPr>
                <w:rFonts w:ascii="Times New Roman" w:hAnsi="Times New Roman"/>
                <w:sz w:val="24"/>
                <w:szCs w:val="24"/>
              </w:rPr>
              <w:t>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CD3FDD" w:rsidP="005D7CDB">
            <w:pPr>
              <w:spacing w:after="0" w:line="240" w:lineRule="auto"/>
              <w:jc w:val="center"/>
              <w:rPr>
                <w:rFonts w:ascii="Times New Roman" w:hAnsi="Times New Roman"/>
                <w:sz w:val="24"/>
                <w:szCs w:val="24"/>
              </w:rPr>
            </w:pPr>
            <w:r>
              <w:rPr>
                <w:rFonts w:ascii="Times New Roman" w:hAnsi="Times New Roman"/>
                <w:sz w:val="24"/>
                <w:szCs w:val="24"/>
              </w:rPr>
              <w:t>5</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п/п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тыс.руб.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sidR="00FC325E">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sidR="00CD3FDD">
              <w:rPr>
                <w:rFonts w:ascii="Times New Roman" w:hAnsi="Times New Roman"/>
                <w:sz w:val="24"/>
                <w:szCs w:val="24"/>
              </w:rPr>
              <w:t>3</w:t>
            </w:r>
            <w:r w:rsidR="00E0673B" w:rsidRPr="00792818">
              <w:rPr>
                <w:rFonts w:ascii="Times New Roman" w:hAnsi="Times New Roman"/>
                <w:sz w:val="24"/>
                <w:szCs w:val="24"/>
              </w:rPr>
              <w:t>0,0</w:t>
            </w:r>
          </w:p>
        </w:tc>
        <w:tc>
          <w:tcPr>
            <w:tcW w:w="1134" w:type="dxa"/>
          </w:tcPr>
          <w:p w:rsidR="00E0673B" w:rsidRPr="00792818" w:rsidRDefault="00FC325E">
            <w:r>
              <w:rPr>
                <w:rFonts w:ascii="Times New Roman" w:hAnsi="Times New Roman"/>
                <w:sz w:val="24"/>
                <w:szCs w:val="24"/>
              </w:rPr>
              <w:t>10</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FC325E" w:rsidP="00FC325E">
            <w:r>
              <w:rPr>
                <w:rFonts w:ascii="Times New Roman" w:hAnsi="Times New Roman"/>
                <w:sz w:val="24"/>
                <w:szCs w:val="24"/>
              </w:rPr>
              <w:t>7</w:t>
            </w:r>
            <w:r w:rsidR="00E0673B" w:rsidRPr="00507307">
              <w:rPr>
                <w:rFonts w:ascii="Times New Roman" w:hAnsi="Times New Roman"/>
                <w:sz w:val="24"/>
                <w:szCs w:val="24"/>
              </w:rPr>
              <w:t>0,0</w:t>
            </w:r>
          </w:p>
        </w:tc>
      </w:tr>
      <w:tr w:rsidR="00FC325E" w:rsidRPr="009C7CEA" w:rsidTr="001040FB">
        <w:tc>
          <w:tcPr>
            <w:tcW w:w="653"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716" w:type="dxa"/>
            <w:vMerge/>
            <w:vAlign w:val="center"/>
          </w:tcPr>
          <w:p w:rsidR="00FC325E" w:rsidRPr="009C7CEA" w:rsidRDefault="00FC325E" w:rsidP="003046F1">
            <w:pPr>
              <w:spacing w:after="0" w:line="240" w:lineRule="auto"/>
              <w:jc w:val="center"/>
              <w:outlineLvl w:val="2"/>
              <w:rPr>
                <w:rFonts w:ascii="Times New Roman" w:hAnsi="Times New Roman"/>
                <w:sz w:val="24"/>
                <w:szCs w:val="24"/>
              </w:rPr>
            </w:pPr>
          </w:p>
        </w:tc>
        <w:tc>
          <w:tcPr>
            <w:tcW w:w="2126" w:type="dxa"/>
            <w:vAlign w:val="center"/>
          </w:tcPr>
          <w:p w:rsidR="00FC325E" w:rsidRPr="009C7CEA" w:rsidRDefault="00FC325E"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FC325E" w:rsidRPr="00792818" w:rsidRDefault="00FC325E" w:rsidP="00FC325E">
            <w:pPr>
              <w:spacing w:after="0" w:line="240" w:lineRule="auto"/>
              <w:jc w:val="center"/>
              <w:rPr>
                <w:rFonts w:ascii="Times New Roman" w:hAnsi="Times New Roman"/>
                <w:sz w:val="24"/>
                <w:szCs w:val="24"/>
              </w:rPr>
            </w:pPr>
            <w:r w:rsidRPr="00792818">
              <w:rPr>
                <w:rFonts w:ascii="Times New Roman" w:hAnsi="Times New Roman"/>
                <w:sz w:val="24"/>
                <w:szCs w:val="24"/>
              </w:rPr>
              <w:t>17</w:t>
            </w:r>
            <w:r>
              <w:rPr>
                <w:rFonts w:ascii="Times New Roman" w:hAnsi="Times New Roman"/>
                <w:sz w:val="24"/>
                <w:szCs w:val="24"/>
              </w:rPr>
              <w:t>3</w:t>
            </w:r>
            <w:r w:rsidRPr="00792818">
              <w:rPr>
                <w:rFonts w:ascii="Times New Roman" w:hAnsi="Times New Roman"/>
                <w:sz w:val="24"/>
                <w:szCs w:val="24"/>
              </w:rPr>
              <w:t>2,4</w:t>
            </w:r>
          </w:p>
        </w:tc>
        <w:tc>
          <w:tcPr>
            <w:tcW w:w="1134" w:type="dxa"/>
            <w:vAlign w:val="center"/>
          </w:tcPr>
          <w:p w:rsidR="00FC325E" w:rsidRPr="00792818" w:rsidRDefault="00FC325E"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FC325E" w:rsidRPr="00792818" w:rsidRDefault="00FC325E"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FC325E" w:rsidRPr="00792818" w:rsidRDefault="00FC325E" w:rsidP="00CD3FDD">
            <w:pPr>
              <w:spacing w:after="0" w:line="240" w:lineRule="auto"/>
              <w:jc w:val="center"/>
              <w:outlineLvl w:val="2"/>
              <w:rPr>
                <w:rFonts w:ascii="Times New Roman" w:hAnsi="Times New Roman"/>
                <w:sz w:val="24"/>
                <w:szCs w:val="24"/>
              </w:rPr>
            </w:pPr>
            <w:r w:rsidRPr="00792818">
              <w:rPr>
                <w:rFonts w:ascii="Times New Roman" w:hAnsi="Times New Roman"/>
                <w:sz w:val="24"/>
                <w:szCs w:val="24"/>
              </w:rPr>
              <w:t>2</w:t>
            </w:r>
            <w:r>
              <w:rPr>
                <w:rFonts w:ascii="Times New Roman" w:hAnsi="Times New Roman"/>
                <w:sz w:val="24"/>
                <w:szCs w:val="24"/>
              </w:rPr>
              <w:t>3</w:t>
            </w:r>
            <w:r w:rsidRPr="00792818">
              <w:rPr>
                <w:rFonts w:ascii="Times New Roman" w:hAnsi="Times New Roman"/>
                <w:sz w:val="24"/>
                <w:szCs w:val="24"/>
              </w:rPr>
              <w:t>0,0</w:t>
            </w:r>
          </w:p>
        </w:tc>
        <w:tc>
          <w:tcPr>
            <w:tcW w:w="1134" w:type="dxa"/>
          </w:tcPr>
          <w:p w:rsidR="00FC325E" w:rsidRPr="00792818" w:rsidRDefault="00FC325E" w:rsidP="00703EA5">
            <w:r>
              <w:rPr>
                <w:rFonts w:ascii="Times New Roman" w:hAnsi="Times New Roman"/>
                <w:sz w:val="24"/>
                <w:szCs w:val="24"/>
              </w:rPr>
              <w:t>10</w:t>
            </w:r>
            <w:r w:rsidRPr="00792818">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c>
          <w:tcPr>
            <w:tcW w:w="1134" w:type="dxa"/>
          </w:tcPr>
          <w:p w:rsidR="00FC325E" w:rsidRDefault="00FC325E" w:rsidP="00703EA5">
            <w:r>
              <w:rPr>
                <w:rFonts w:ascii="Times New Roman" w:hAnsi="Times New Roman"/>
                <w:sz w:val="24"/>
                <w:szCs w:val="24"/>
              </w:rPr>
              <w:t>7</w:t>
            </w:r>
            <w:r w:rsidRPr="00507307">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3" w:name="sub_610"/>
            <w:r w:rsidRPr="00497355">
              <w:rPr>
                <w:rFonts w:ascii="Times New Roman" w:hAnsi="Times New Roman" w:cs="Times New Roman"/>
                <w:color w:val="000000" w:themeColor="text1"/>
                <w:sz w:val="28"/>
                <w:szCs w:val="28"/>
              </w:rPr>
              <w:t>Участники подпрограммы</w:t>
            </w:r>
            <w:bookmarkEnd w:id="5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4" w:name="sub_3103"/>
            <w:r w:rsidRPr="00497355">
              <w:rPr>
                <w:rFonts w:ascii="Times New Roman" w:hAnsi="Times New Roman" w:cs="Times New Roman"/>
                <w:color w:val="000000" w:themeColor="text1"/>
                <w:sz w:val="28"/>
                <w:szCs w:val="28"/>
              </w:rPr>
              <w:t>Цели подпрограммы</w:t>
            </w:r>
            <w:bookmarkEnd w:id="5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3104"/>
            <w:r w:rsidRPr="00497355">
              <w:rPr>
                <w:rFonts w:ascii="Times New Roman" w:hAnsi="Times New Roman" w:cs="Times New Roman"/>
                <w:color w:val="000000" w:themeColor="text1"/>
                <w:sz w:val="28"/>
                <w:szCs w:val="28"/>
              </w:rPr>
              <w:t>Задачи подпрограммы</w:t>
            </w:r>
            <w:bookmarkEnd w:id="55"/>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6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55"/>
            <w:r w:rsidRPr="00497355">
              <w:rPr>
                <w:rFonts w:ascii="Times New Roman" w:hAnsi="Times New Roman" w:cs="Times New Roman"/>
                <w:color w:val="000000" w:themeColor="text1"/>
                <w:sz w:val="28"/>
                <w:szCs w:val="28"/>
              </w:rPr>
              <w:t>Объемы бюджетных ассигнований подпрограммы</w:t>
            </w:r>
            <w:bookmarkEnd w:id="57"/>
          </w:p>
        </w:tc>
        <w:tc>
          <w:tcPr>
            <w:tcW w:w="6379" w:type="dxa"/>
            <w:tcBorders>
              <w:top w:val="single" w:sz="4" w:space="0" w:color="auto"/>
              <w:left w:val="single" w:sz="4" w:space="0" w:color="auto"/>
              <w:bottom w:val="single" w:sz="4" w:space="0" w:color="auto"/>
            </w:tcBorders>
          </w:tcPr>
          <w:p w:rsidR="005B4C5A" w:rsidRPr="0030227D" w:rsidRDefault="005B4C5A" w:rsidP="005B4C5A">
            <w:pPr>
              <w:spacing w:after="0" w:line="240" w:lineRule="auto"/>
              <w:jc w:val="both"/>
              <w:rPr>
                <w:rFonts w:ascii="Times New Roman" w:hAnsi="Times New Roman"/>
                <w:sz w:val="28"/>
                <w:szCs w:val="28"/>
              </w:rPr>
            </w:pPr>
            <w:r w:rsidRPr="00C93373">
              <w:rPr>
                <w:rFonts w:ascii="Times New Roman" w:hAnsi="Times New Roman"/>
                <w:sz w:val="28"/>
                <w:szCs w:val="28"/>
              </w:rPr>
              <w:t xml:space="preserve">общий </w:t>
            </w:r>
            <w:r w:rsidRPr="0030227D">
              <w:rPr>
                <w:rFonts w:ascii="Times New Roman" w:hAnsi="Times New Roman"/>
                <w:sz w:val="28"/>
                <w:szCs w:val="28"/>
              </w:rPr>
              <w:t>объем финансирования составляет 6</w:t>
            </w:r>
            <w:r w:rsidR="00FC325E">
              <w:rPr>
                <w:rFonts w:ascii="Times New Roman" w:hAnsi="Times New Roman"/>
                <w:sz w:val="28"/>
                <w:szCs w:val="28"/>
              </w:rPr>
              <w:t>2</w:t>
            </w:r>
            <w:r w:rsidRPr="0030227D">
              <w:rPr>
                <w:rFonts w:ascii="Times New Roman" w:hAnsi="Times New Roman"/>
                <w:sz w:val="28"/>
                <w:szCs w:val="28"/>
              </w:rPr>
              <w:t>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6299,8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2020 год – </w:t>
            </w:r>
            <w:r w:rsidR="00FC325E">
              <w:rPr>
                <w:rFonts w:ascii="Times New Roman" w:hAnsi="Times New Roman"/>
                <w:sz w:val="28"/>
                <w:szCs w:val="28"/>
              </w:rPr>
              <w:t xml:space="preserve"> </w:t>
            </w:r>
            <w:r w:rsidRPr="0030227D">
              <w:rPr>
                <w:rFonts w:ascii="Times New Roman" w:hAnsi="Times New Roman"/>
                <w:sz w:val="28"/>
                <w:szCs w:val="28"/>
              </w:rPr>
              <w:t>0,0 тысяч рублей;</w:t>
            </w:r>
          </w:p>
          <w:p w:rsidR="005B4C5A" w:rsidRPr="0030227D" w:rsidRDefault="00FC325E" w:rsidP="005B4C5A">
            <w:pPr>
              <w:spacing w:after="0" w:line="240" w:lineRule="auto"/>
              <w:jc w:val="both"/>
              <w:rPr>
                <w:rFonts w:ascii="Times New Roman" w:hAnsi="Times New Roman"/>
                <w:sz w:val="28"/>
                <w:szCs w:val="28"/>
              </w:rPr>
            </w:pPr>
            <w:r>
              <w:rPr>
                <w:rFonts w:ascii="Times New Roman" w:hAnsi="Times New Roman"/>
                <w:sz w:val="28"/>
                <w:szCs w:val="28"/>
              </w:rPr>
              <w:t xml:space="preserve">2021 год –  </w:t>
            </w:r>
            <w:r w:rsidR="005B4C5A" w:rsidRPr="0030227D">
              <w:rPr>
                <w:rFonts w:ascii="Times New Roman" w:hAnsi="Times New Roman"/>
                <w:sz w:val="28"/>
                <w:szCs w:val="28"/>
              </w:rPr>
              <w:t>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в том числе из средств местного бюджета – </w:t>
            </w:r>
            <w:r w:rsidR="00FC325E">
              <w:rPr>
                <w:rFonts w:ascii="Times New Roman" w:hAnsi="Times New Roman"/>
                <w:sz w:val="28"/>
                <w:szCs w:val="28"/>
              </w:rPr>
              <w:t>8</w:t>
            </w:r>
            <w:r w:rsidRPr="0030227D">
              <w:rPr>
                <w:rFonts w:ascii="Times New Roman" w:hAnsi="Times New Roman"/>
                <w:sz w:val="28"/>
                <w:szCs w:val="28"/>
              </w:rPr>
              <w:t>00,0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800,0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2021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 xml:space="preserve"> в том числе из средств краевого бюджета – 5499,8 тысяч рублей, в том числе по годам:</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2015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2016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2017 год -  0,0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2018 год – 5499,8  тысяч рублей;</w:t>
            </w:r>
          </w:p>
          <w:p w:rsidR="005B4C5A" w:rsidRPr="0030227D"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2019 год – 0,0 тысяч рублей;</w:t>
            </w:r>
          </w:p>
          <w:p w:rsidR="005B4C5A" w:rsidRPr="00C93373" w:rsidRDefault="005B4C5A" w:rsidP="005B4C5A">
            <w:pPr>
              <w:spacing w:after="0" w:line="240" w:lineRule="auto"/>
              <w:jc w:val="both"/>
              <w:rPr>
                <w:rFonts w:ascii="Times New Roman" w:hAnsi="Times New Roman"/>
                <w:sz w:val="28"/>
                <w:szCs w:val="28"/>
              </w:rPr>
            </w:pPr>
            <w:r w:rsidRPr="0030227D">
              <w:rPr>
                <w:rFonts w:ascii="Times New Roman" w:hAnsi="Times New Roman"/>
                <w:sz w:val="28"/>
                <w:szCs w:val="28"/>
              </w:rPr>
              <w:t>2020 год – 0,0 тысяч рублей;</w:t>
            </w:r>
          </w:p>
          <w:p w:rsidR="003B1F73" w:rsidRPr="00497355" w:rsidRDefault="005B4C5A" w:rsidP="005B4C5A">
            <w:pPr>
              <w:spacing w:after="0" w:line="240" w:lineRule="auto"/>
              <w:jc w:val="both"/>
              <w:rPr>
                <w:rFonts w:ascii="Times New Roman" w:hAnsi="Times New Roman" w:cs="Times New Roman"/>
                <w:color w:val="000000" w:themeColor="text1"/>
                <w:sz w:val="28"/>
                <w:szCs w:val="28"/>
              </w:rPr>
            </w:pPr>
            <w:r w:rsidRPr="00C93373">
              <w:rPr>
                <w:rFonts w:ascii="Times New Roman" w:hAnsi="Times New Roman"/>
                <w:sz w:val="28"/>
                <w:szCs w:val="28"/>
              </w:rPr>
              <w:t>2021 год – 0,0 тысяч рублей.</w:t>
            </w:r>
            <w:r w:rsidR="002F4116" w:rsidRPr="00497355">
              <w:rPr>
                <w:rFonts w:ascii="Times New Roman" w:hAnsi="Times New Roman" w:cs="Times New Roman"/>
                <w:color w:val="000000" w:themeColor="text1"/>
                <w:sz w:val="28"/>
                <w:szCs w:val="28"/>
              </w:rPr>
              <w:t>.</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6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1"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2" w:name="sub_322"/>
      <w:r w:rsidRPr="00497355">
        <w:rPr>
          <w:rFonts w:ascii="Times New Roman" w:hAnsi="Times New Roman" w:cs="Times New Roman"/>
          <w:b/>
          <w:bCs/>
          <w:color w:val="000000" w:themeColor="text1"/>
          <w:sz w:val="28"/>
          <w:szCs w:val="28"/>
        </w:rPr>
        <w:t>3. Перечень мероприятий подпрограммы</w:t>
      </w:r>
    </w:p>
    <w:bookmarkEnd w:id="6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F4116">
        <w:rPr>
          <w:rFonts w:ascii="Times New Roman" w:hAnsi="Times New Roman" w:cs="Times New Roman"/>
          <w:color w:val="000000" w:themeColor="text1"/>
          <w:sz w:val="28"/>
          <w:szCs w:val="28"/>
        </w:rPr>
        <w:t>6</w:t>
      </w:r>
      <w:r w:rsidR="00FC325E">
        <w:rPr>
          <w:rFonts w:ascii="Times New Roman" w:hAnsi="Times New Roman" w:cs="Times New Roman"/>
          <w:color w:val="000000" w:themeColor="text1"/>
          <w:sz w:val="28"/>
          <w:szCs w:val="28"/>
        </w:rPr>
        <w:t>2</w:t>
      </w:r>
      <w:r w:rsidR="002F4116">
        <w:rPr>
          <w:rFonts w:ascii="Times New Roman" w:hAnsi="Times New Roman" w:cs="Times New Roman"/>
          <w:color w:val="000000" w:themeColor="text1"/>
          <w:sz w:val="28"/>
          <w:szCs w:val="28"/>
        </w:rPr>
        <w:t>99,8</w:t>
      </w:r>
      <w:r w:rsidRPr="00497355">
        <w:rPr>
          <w:rFonts w:ascii="Times New Roman" w:hAnsi="Times New Roman" w:cs="Times New Roman"/>
          <w:color w:val="000000" w:themeColor="text1"/>
          <w:sz w:val="28"/>
          <w:szCs w:val="28"/>
        </w:rPr>
        <w:t xml:space="preserve">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6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Софинансирование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305"/>
      <w:r w:rsidRPr="00497355">
        <w:rPr>
          <w:rFonts w:ascii="Times New Roman" w:hAnsi="Times New Roman" w:cs="Times New Roman"/>
          <w:b/>
          <w:bCs/>
          <w:color w:val="000000" w:themeColor="text1"/>
          <w:sz w:val="28"/>
          <w:szCs w:val="28"/>
        </w:rPr>
        <w:t>5. Механизм реализации подпрограммы</w:t>
      </w:r>
    </w:p>
    <w:bookmarkEnd w:id="6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теплоснабжения в муниципальном</w:t>
      </w:r>
    </w:p>
    <w:p w:rsidR="00121516" w:rsidRPr="00497355" w:rsidRDefault="00121516" w:rsidP="00121516">
      <w:pPr>
        <w:spacing w:after="0" w:line="240" w:lineRule="auto"/>
        <w:ind w:left="9204"/>
        <w:jc w:val="center"/>
        <w:rPr>
          <w:rFonts w:ascii="Times New Roman" w:hAnsi="Times New Roman"/>
          <w:color w:val="000000" w:themeColor="text1"/>
          <w:sz w:val="24"/>
        </w:rPr>
      </w:pPr>
      <w:r w:rsidRPr="00497355">
        <w:rPr>
          <w:rFonts w:ascii="Times New Roman" w:eastAsia="Calibri" w:hAnsi="Times New Roman"/>
          <w:color w:val="000000" w:themeColor="text1"/>
          <w:sz w:val="24"/>
          <w:lang w:eastAsia="en-US"/>
        </w:rPr>
        <w:t>образовании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п/п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шт</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FC325E" w:rsidP="00E215AA">
            <w:pPr>
              <w:spacing w:after="0" w:line="240" w:lineRule="auto"/>
              <w:jc w:val="center"/>
              <w:outlineLvl w:val="2"/>
              <w:rPr>
                <w:rFonts w:ascii="Times New Roman" w:hAnsi="Times New Roman"/>
                <w:sz w:val="24"/>
                <w:szCs w:val="28"/>
              </w:rPr>
            </w:pPr>
            <w:r>
              <w:rPr>
                <w:rFonts w:ascii="Times New Roman" w:hAnsi="Times New Roman"/>
                <w:sz w:val="24"/>
                <w:szCs w:val="28"/>
              </w:rPr>
              <w:t>-</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теплоснабжения в муниципальном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образовании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850"/>
        <w:gridCol w:w="850"/>
        <w:gridCol w:w="1135"/>
        <w:gridCol w:w="850"/>
        <w:gridCol w:w="851"/>
        <w:gridCol w:w="850"/>
        <w:gridCol w:w="142"/>
        <w:gridCol w:w="1276"/>
        <w:gridCol w:w="283"/>
        <w:gridCol w:w="1134"/>
      </w:tblGrid>
      <w:tr w:rsidR="003B5AA9" w:rsidRPr="009D4C37" w:rsidTr="002F4116">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п/п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237"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Непосредс-твенныйрезультат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2F4116">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1135"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1135"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2F4116">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765"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2F4116">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765"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5B4C5A" w:rsidRPr="00792818" w:rsidRDefault="005B4C5A"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FC325E">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5499,8</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850"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280"/>
        </w:trPr>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5B4C5A" w:rsidRPr="00792818" w:rsidRDefault="005B4C5A"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0227D" w:rsidRDefault="005B4C5A" w:rsidP="00FC325E">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w:t>
            </w:r>
            <w:r w:rsidR="00FC325E">
              <w:rPr>
                <w:rFonts w:ascii="Times New Roman" w:hAnsi="Times New Roman"/>
                <w:sz w:val="24"/>
                <w:szCs w:val="28"/>
              </w:rPr>
              <w:t>2</w:t>
            </w:r>
            <w:r w:rsidRPr="0030227D">
              <w:rPr>
                <w:rFonts w:ascii="Times New Roman" w:hAnsi="Times New Roman"/>
                <w:sz w:val="24"/>
                <w:szCs w:val="28"/>
              </w:rPr>
              <w:t>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6299,8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Обеспечениебесперебойной подачи тепла в СОШ № 19 </w:t>
            </w: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5499,8</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0227D"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30227D">
              <w:rPr>
                <w:rFonts w:ascii="Times New Roman" w:hAnsi="Times New Roman"/>
                <w:sz w:val="24"/>
                <w:szCs w:val="28"/>
              </w:rPr>
              <w:t>00,0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800,0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1135"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0" w:type="dxa"/>
          </w:tcPr>
          <w:p w:rsidR="005B4C5A" w:rsidRPr="0030227D" w:rsidRDefault="005B4C5A" w:rsidP="00B75844">
            <w:pPr>
              <w:widowControl w:val="0"/>
              <w:suppressAutoHyphens/>
              <w:spacing w:after="0" w:line="240" w:lineRule="auto"/>
              <w:jc w:val="center"/>
              <w:outlineLvl w:val="2"/>
              <w:rPr>
                <w:rFonts w:ascii="Times New Roman" w:hAnsi="Times New Roman"/>
                <w:sz w:val="24"/>
                <w:szCs w:val="28"/>
              </w:rPr>
            </w:pPr>
            <w:r w:rsidRPr="0030227D">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3.1.1.</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.1</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(СМР)</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62</w:t>
            </w:r>
            <w:r w:rsidRPr="00AA6F50">
              <w:rPr>
                <w:rFonts w:ascii="Times New Roman" w:hAnsi="Times New Roman"/>
                <w:sz w:val="24"/>
                <w:szCs w:val="28"/>
              </w:rPr>
              <w:t>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6199,8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5499,8</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Pr="00AA6F50">
              <w:rPr>
                <w:rFonts w:ascii="Times New Roman" w:hAnsi="Times New Roman"/>
                <w:sz w:val="24"/>
                <w:szCs w:val="28"/>
              </w:rPr>
              <w:t>00,0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FC325E"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AA6F50">
              <w:rPr>
                <w:rFonts w:ascii="Times New Roman" w:hAnsi="Times New Roman"/>
                <w:sz w:val="24"/>
                <w:szCs w:val="28"/>
              </w:rPr>
              <w:t>00,0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AA6F50" w:rsidRDefault="005B4C5A" w:rsidP="00B75844">
            <w:pPr>
              <w:widowControl w:val="0"/>
              <w:suppressAutoHyphens/>
              <w:spacing w:after="0" w:line="240" w:lineRule="auto"/>
              <w:jc w:val="center"/>
              <w:outlineLvl w:val="2"/>
              <w:rPr>
                <w:rFonts w:ascii="Times New Roman" w:hAnsi="Times New Roman"/>
                <w:sz w:val="24"/>
                <w:szCs w:val="28"/>
              </w:rPr>
            </w:pPr>
            <w:r w:rsidRPr="00AA6F50">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3.1.2.</w:t>
            </w:r>
          </w:p>
        </w:tc>
        <w:tc>
          <w:tcPr>
            <w:tcW w:w="2418" w:type="dxa"/>
            <w:vMerge w:val="restart"/>
          </w:tcPr>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r>
              <w:rPr>
                <w:rFonts w:ascii="Times New Roman" w:hAnsi="Times New Roman"/>
                <w:sz w:val="24"/>
                <w:szCs w:val="28"/>
              </w:rPr>
              <w:t>.2</w:t>
            </w:r>
            <w:r w:rsidRPr="00792818">
              <w:rPr>
                <w:rFonts w:ascii="Times New Roman" w:hAnsi="Times New Roman"/>
                <w:sz w:val="24"/>
                <w:szCs w:val="28"/>
              </w:rPr>
              <w:t>:</w:t>
            </w:r>
          </w:p>
          <w:p w:rsidR="005B4C5A" w:rsidRPr="00792818" w:rsidRDefault="005B4C5A" w:rsidP="004D0F7E">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блочно-модульной котельной МБОУ СОШ № 19 в ст. Казанской</w:t>
            </w:r>
            <w:r>
              <w:rPr>
                <w:rFonts w:ascii="Times New Roman" w:hAnsi="Times New Roman"/>
                <w:sz w:val="24"/>
                <w:szCs w:val="28"/>
              </w:rPr>
              <w:t xml:space="preserve"> Кавказского района (строительный контроль)</w:t>
            </w: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B75844">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135"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0"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851" w:type="dxa"/>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992" w:type="dxa"/>
            <w:gridSpan w:val="2"/>
          </w:tcPr>
          <w:p w:rsidR="005B4C5A" w:rsidRPr="00336F9E" w:rsidRDefault="005B4C5A" w:rsidP="00B75844">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0,0</w:t>
            </w:r>
          </w:p>
        </w:tc>
        <w:tc>
          <w:tcPr>
            <w:tcW w:w="1559" w:type="dxa"/>
            <w:gridSpan w:val="2"/>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СОШ № 18 в ст. Темижбекской Кавказского района (ПСД)</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619"/>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rPr>
          <w:trHeight w:val="415"/>
        </w:trPr>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СОШ № 18 в ст. Темижбекской Кавказского района</w:t>
            </w: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r w:rsidR="005B4C5A" w:rsidRPr="00792818" w:rsidTr="002F4116">
        <w:tc>
          <w:tcPr>
            <w:tcW w:w="809"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1135"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0"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p>
        </w:tc>
        <w:tc>
          <w:tcPr>
            <w:tcW w:w="851" w:type="dxa"/>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gridSpan w:val="2"/>
          </w:tcPr>
          <w:p w:rsidR="005B4C5A" w:rsidRPr="00C93373" w:rsidRDefault="005B4C5A" w:rsidP="00B75844">
            <w:pPr>
              <w:widowControl w:val="0"/>
              <w:suppressAutoHyphens/>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559" w:type="dxa"/>
            <w:gridSpan w:val="2"/>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5B4C5A" w:rsidRPr="00792818" w:rsidRDefault="005B4C5A"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D0F7E" w:rsidRDefault="004D0F7E"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 </w:t>
      </w: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FC325E" w:rsidRDefault="00FC325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4D0F7E" w:rsidRDefault="004D0F7E" w:rsidP="004D0F7E">
      <w:pPr>
        <w:spacing w:after="0" w:line="240" w:lineRule="auto"/>
        <w:ind w:left="9204"/>
        <w:jc w:val="center"/>
        <w:rPr>
          <w:rFonts w:ascii="Times New Roman" w:hAnsi="Times New Roman"/>
          <w:color w:val="000000" w:themeColor="text1"/>
          <w:sz w:val="24"/>
        </w:rPr>
      </w:pPr>
    </w:p>
    <w:p w:rsidR="00511103" w:rsidRPr="00497355" w:rsidRDefault="00511103" w:rsidP="004D0F7E">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теплоснабжения в муниципальном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образовании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п/п</w:t>
            </w:r>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Источник финанси-рования</w:t>
            </w:r>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5B4C5A" w:rsidRPr="00497355" w:rsidTr="00B75844">
        <w:trPr>
          <w:trHeight w:val="614"/>
        </w:trPr>
        <w:tc>
          <w:tcPr>
            <w:tcW w:w="675"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5B4C5A" w:rsidRPr="00497355" w:rsidRDefault="005B4C5A" w:rsidP="005B4C5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tcPr>
          <w:p w:rsidR="005B4C5A" w:rsidRPr="00C93373" w:rsidRDefault="005B4C5A" w:rsidP="00FC325E">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FC325E">
            <w:pPr>
              <w:jc w:val="center"/>
              <w:rPr>
                <w:rFonts w:ascii="Times New Roman" w:hAnsi="Times New Roman"/>
                <w:sz w:val="24"/>
                <w:szCs w:val="28"/>
              </w:rPr>
            </w:pPr>
            <w:r w:rsidRPr="00C93373">
              <w:rPr>
                <w:rFonts w:ascii="Times New Roman" w:hAnsi="Times New Roman"/>
                <w:sz w:val="24"/>
                <w:szCs w:val="28"/>
              </w:rPr>
              <w:t>6</w:t>
            </w:r>
            <w:r w:rsidR="00FC325E">
              <w:rPr>
                <w:rFonts w:ascii="Times New Roman" w:hAnsi="Times New Roman"/>
                <w:sz w:val="24"/>
                <w:szCs w:val="28"/>
              </w:rPr>
              <w:t>2</w:t>
            </w:r>
            <w:r w:rsidRPr="00C93373">
              <w:rPr>
                <w:rFonts w:ascii="Times New Roman" w:hAnsi="Times New Roman"/>
                <w:sz w:val="24"/>
                <w:szCs w:val="28"/>
              </w:rPr>
              <w:t>99,8</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6"/>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5499,8</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5499,8</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6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497355" w:rsidTr="00B75844">
        <w:trPr>
          <w:trHeight w:val="540"/>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tcPr>
          <w:p w:rsidR="005B4C5A" w:rsidRPr="00C93373" w:rsidRDefault="00FC325E"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851"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993"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497355" w:rsidTr="00B75844">
        <w:trPr>
          <w:trHeight w:val="562"/>
        </w:trPr>
        <w:tc>
          <w:tcPr>
            <w:tcW w:w="675"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5B4C5A" w:rsidRPr="00497355" w:rsidRDefault="005B4C5A" w:rsidP="005B4C5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tcPr>
          <w:p w:rsidR="005B4C5A" w:rsidRPr="00C93373" w:rsidRDefault="005B4C5A" w:rsidP="005B4C5A">
            <w:pPr>
              <w:jc w:val="center"/>
              <w:rPr>
                <w:sz w:val="20"/>
              </w:rPr>
            </w:pPr>
            <w:r w:rsidRPr="00C93373">
              <w:rPr>
                <w:rFonts w:ascii="Times New Roman" w:hAnsi="Times New Roman"/>
                <w:sz w:val="24"/>
                <w:szCs w:val="28"/>
              </w:rPr>
              <w:t>0,0</w:t>
            </w:r>
          </w:p>
        </w:tc>
        <w:tc>
          <w:tcPr>
            <w:tcW w:w="851"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3"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c>
          <w:tcPr>
            <w:tcW w:w="992" w:type="dxa"/>
          </w:tcPr>
          <w:p w:rsidR="005B4C5A" w:rsidRPr="00C93373" w:rsidRDefault="005B4C5A" w:rsidP="005B4C5A">
            <w:pPr>
              <w:jc w:val="center"/>
              <w:rPr>
                <w:sz w:val="20"/>
              </w:rPr>
            </w:pPr>
            <w:r w:rsidRPr="00C93373">
              <w:rPr>
                <w:rFonts w:ascii="Times New Roman" w:hAnsi="Times New Roman"/>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4D0F7E" w:rsidRPr="00C93373" w:rsidRDefault="004D0F7E" w:rsidP="004D0F7E">
      <w:pPr>
        <w:spacing w:after="0" w:line="240" w:lineRule="auto"/>
        <w:ind w:left="9204"/>
        <w:jc w:val="center"/>
        <w:rPr>
          <w:rFonts w:ascii="Times New Roman" w:hAnsi="Times New Roman"/>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«ПРИЛОЖЕНИЕ № </w:t>
      </w:r>
      <w:r>
        <w:rPr>
          <w:rFonts w:ascii="Times New Roman" w:hAnsi="Times New Roman"/>
          <w:color w:val="000000" w:themeColor="text1"/>
          <w:sz w:val="24"/>
        </w:rPr>
        <w:t>4</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теплоснабжения в муниципальном</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образовании Кавказский район»</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2F4116" w:rsidRPr="00497355"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2F4116" w:rsidRDefault="002F4116" w:rsidP="002F4116">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2F4116" w:rsidRDefault="002F4116" w:rsidP="002F4116">
      <w:pPr>
        <w:spacing w:after="0" w:line="240" w:lineRule="auto"/>
        <w:ind w:left="9204"/>
        <w:jc w:val="center"/>
        <w:rPr>
          <w:rFonts w:ascii="Times New Roman" w:hAnsi="Times New Roman"/>
          <w:color w:val="000000" w:themeColor="text1"/>
          <w:sz w:val="24"/>
        </w:rPr>
      </w:pPr>
    </w:p>
    <w:p w:rsidR="002F4116" w:rsidRPr="00497355" w:rsidRDefault="002F4116" w:rsidP="002F4116">
      <w:pPr>
        <w:spacing w:after="0" w:line="240" w:lineRule="auto"/>
        <w:ind w:left="9204"/>
        <w:jc w:val="center"/>
        <w:rPr>
          <w:rFonts w:ascii="Times New Roman" w:hAnsi="Times New Roman"/>
          <w:color w:val="000000" w:themeColor="text1"/>
          <w:sz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2F4116" w:rsidRPr="00C93373" w:rsidTr="0077515C">
        <w:trPr>
          <w:gridAfter w:val="1"/>
          <w:wAfter w:w="905" w:type="dxa"/>
          <w:trHeight w:val="1139"/>
        </w:trPr>
        <w:tc>
          <w:tcPr>
            <w:tcW w:w="15610" w:type="dxa"/>
            <w:gridSpan w:val="16"/>
            <w:tcBorders>
              <w:top w:val="nil"/>
              <w:left w:val="nil"/>
              <w:bottom w:val="nil"/>
              <w:right w:val="nil"/>
            </w:tcBorders>
          </w:tcPr>
          <w:p w:rsidR="002F4116" w:rsidRPr="00C93373" w:rsidRDefault="002F4116" w:rsidP="0077515C">
            <w:pPr>
              <w:pStyle w:val="1"/>
              <w:spacing w:line="276" w:lineRule="auto"/>
              <w:rPr>
                <w:rFonts w:ascii="Times New Roman" w:hAnsi="Times New Roman" w:cs="Times New Roman"/>
                <w:color w:val="auto"/>
              </w:rPr>
            </w:pPr>
          </w:p>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Информация</w:t>
            </w:r>
            <w:r w:rsidRPr="00C93373">
              <w:rPr>
                <w:rFonts w:ascii="Times New Roman" w:hAnsi="Times New Roman" w:cs="Times New Roman"/>
                <w:color w:val="auto"/>
              </w:rPr>
              <w:br/>
              <w:t>об объекте капитального строительства</w:t>
            </w:r>
          </w:p>
        </w:tc>
      </w:tr>
      <w:tr w:rsidR="002F4116" w:rsidRPr="00C93373" w:rsidTr="0077515C">
        <w:trPr>
          <w:gridAfter w:val="1"/>
          <w:wAfter w:w="905" w:type="dxa"/>
          <w:trHeight w:val="89"/>
        </w:trPr>
        <w:tc>
          <w:tcPr>
            <w:tcW w:w="1936" w:type="dxa"/>
            <w:gridSpan w:val="2"/>
            <w:tcBorders>
              <w:top w:val="nil"/>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val="restart"/>
            <w:tcBorders>
              <w:top w:val="nil"/>
              <w:left w:val="nil"/>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highlight w:val="yellow"/>
              </w:rPr>
            </w:pPr>
            <w:r w:rsidRPr="00C93373">
              <w:rPr>
                <w:rFonts w:ascii="Times New Roman" w:hAnsi="Times New Roman" w:cs="Times New Roman"/>
              </w:rPr>
              <w:t>"Блочно-модульная котельная МБОУ СОШ №19 в ст. Казанской Кавказского района"</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vMerge/>
            <w:tcBorders>
              <w:top w:val="nil"/>
              <w:left w:val="nil"/>
              <w:bottom w:val="single" w:sz="4" w:space="0" w:color="auto"/>
              <w:right w:val="nil"/>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r>
      <w:tr w:rsidR="002F4116" w:rsidRPr="00C93373" w:rsidTr="0077515C">
        <w:trPr>
          <w:gridAfter w:val="1"/>
          <w:wAfter w:w="905" w:type="dxa"/>
        </w:trPr>
        <w:tc>
          <w:tcPr>
            <w:tcW w:w="1936" w:type="dxa"/>
            <w:gridSpan w:val="2"/>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p>
        </w:tc>
        <w:tc>
          <w:tcPr>
            <w:tcW w:w="13674" w:type="dxa"/>
            <w:gridSpan w:val="14"/>
            <w:tcBorders>
              <w:top w:val="single" w:sz="4" w:space="0" w:color="auto"/>
              <w:left w:val="nil"/>
              <w:bottom w:val="nil"/>
              <w:right w:val="nil"/>
            </w:tcBorders>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(наименование объекта капитального строительства согласно проектной документации)</w:t>
            </w:r>
          </w:p>
        </w:tc>
      </w:tr>
      <w:tr w:rsidR="002F4116" w:rsidRPr="00C93373" w:rsidTr="0077515C">
        <w:trPr>
          <w:gridAfter w:val="1"/>
          <w:wAfter w:w="905" w:type="dxa"/>
        </w:trPr>
        <w:tc>
          <w:tcPr>
            <w:tcW w:w="193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c>
          <w:tcPr>
            <w:tcW w:w="10776" w:type="dxa"/>
            <w:gridSpan w:val="10"/>
            <w:tcBorders>
              <w:top w:val="nil"/>
              <w:left w:val="nil"/>
              <w:bottom w:val="single" w:sz="4" w:space="0" w:color="auto"/>
              <w:right w:val="nil"/>
            </w:tcBorders>
          </w:tcPr>
          <w:p w:rsidR="002F4116" w:rsidRPr="00C93373" w:rsidRDefault="002F4116" w:rsidP="0077515C">
            <w:pPr>
              <w:pStyle w:val="a9"/>
              <w:spacing w:line="276" w:lineRule="auto"/>
              <w:rPr>
                <w:rFonts w:ascii="Times New Roman" w:hAnsi="Times New Roman" w:cs="Times New Roman"/>
              </w:rPr>
            </w:pP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3674" w:type="dxa"/>
            <w:gridSpan w:val="14"/>
            <w:tcBorders>
              <w:top w:val="single" w:sz="4" w:space="0" w:color="auto"/>
              <w:left w:val="nil"/>
              <w:bottom w:val="single" w:sz="4" w:space="0" w:color="auto"/>
              <w:right w:val="single" w:sz="4" w:space="0" w:color="auto"/>
            </w:tcBorders>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Основные технико-экономические показатели по объекту</w:t>
            </w:r>
          </w:p>
        </w:tc>
      </w:tr>
      <w:tr w:rsidR="002F4116" w:rsidRPr="00C93373" w:rsidTr="0077515C">
        <w:trPr>
          <w:gridAfter w:val="1"/>
          <w:wAfter w:w="905" w:type="dxa"/>
        </w:trPr>
        <w:tc>
          <w:tcPr>
            <w:tcW w:w="1246" w:type="dxa"/>
            <w:tcBorders>
              <w:top w:val="nil"/>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строительство</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Администрация муниципального образования Кавказский район</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МБОУ СОШ №19</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i/>
              </w:rPr>
            </w:pPr>
            <w:r w:rsidRPr="000565DF">
              <w:rPr>
                <w:rFonts w:ascii="Times New Roman" w:hAnsi="Times New Roman" w:cs="Times New Roman"/>
                <w:i/>
              </w:rPr>
              <w:t>100 кВт</w:t>
            </w:r>
          </w:p>
        </w:tc>
      </w:tr>
      <w:tr w:rsidR="002F4116" w:rsidRPr="00C93373" w:rsidTr="0077515C">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3"/>
              <w:spacing w:line="276" w:lineRule="auto"/>
              <w:rPr>
                <w:rFonts w:ascii="Times New Roman" w:hAnsi="Times New Roman" w:cs="Times New Roman"/>
              </w:rPr>
            </w:pPr>
            <w:r w:rsidRPr="00C93373">
              <w:rPr>
                <w:rFonts w:ascii="Times New Roman" w:hAnsi="Times New Roman" w:cs="Times New Roman"/>
              </w:rPr>
              <w:t>Декабрь 2018 года</w:t>
            </w:r>
          </w:p>
        </w:tc>
      </w:tr>
      <w:tr w:rsidR="002F4116" w:rsidRPr="00C93373" w:rsidTr="0077515C">
        <w:trPr>
          <w:gridAfter w:val="1"/>
          <w:wAfter w:w="905" w:type="dxa"/>
        </w:trPr>
        <w:tc>
          <w:tcPr>
            <w:tcW w:w="1936" w:type="dxa"/>
            <w:gridSpan w:val="2"/>
            <w:tcBorders>
              <w:top w:val="single" w:sz="4" w:space="0" w:color="auto"/>
              <w:left w:val="single" w:sz="4" w:space="0" w:color="auto"/>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2F4116" w:rsidRPr="00C93373" w:rsidRDefault="002F4116" w:rsidP="0077515C">
            <w:pPr>
              <w:pStyle w:val="1"/>
              <w:spacing w:line="276" w:lineRule="auto"/>
              <w:rPr>
                <w:rFonts w:ascii="Times New Roman" w:hAnsi="Times New Roman" w:cs="Times New Roman"/>
                <w:color w:val="auto"/>
              </w:rPr>
            </w:pPr>
          </w:p>
        </w:tc>
        <w:tc>
          <w:tcPr>
            <w:tcW w:w="10776" w:type="dxa"/>
            <w:gridSpan w:val="10"/>
            <w:tcBorders>
              <w:top w:val="single" w:sz="4" w:space="0" w:color="auto"/>
              <w:left w:val="nil"/>
              <w:bottom w:val="single" w:sz="4" w:space="0" w:color="auto"/>
              <w:right w:val="single" w:sz="4" w:space="0" w:color="auto"/>
            </w:tcBorders>
            <w:hideMark/>
          </w:tcPr>
          <w:p w:rsidR="002F4116" w:rsidRPr="00C93373" w:rsidRDefault="002F4116" w:rsidP="0077515C">
            <w:pPr>
              <w:pStyle w:val="1"/>
              <w:spacing w:line="276" w:lineRule="auto"/>
              <w:rPr>
                <w:rFonts w:ascii="Times New Roman" w:hAnsi="Times New Roman" w:cs="Times New Roman"/>
                <w:color w:val="auto"/>
              </w:rPr>
            </w:pPr>
            <w:r w:rsidRPr="00C93373">
              <w:rPr>
                <w:rFonts w:ascii="Times New Roman" w:hAnsi="Times New Roman" w:cs="Times New Roman"/>
                <w:color w:val="auto"/>
              </w:rPr>
              <w:t>Объем финансового обеспечения, тыс. руб.</w:t>
            </w:r>
          </w:p>
        </w:tc>
      </w:tr>
      <w:tr w:rsidR="002F4116"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Период реализации</w:t>
            </w:r>
          </w:p>
        </w:tc>
      </w:tr>
      <w:tr w:rsidR="002F4116"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2F4116" w:rsidRPr="00C93373" w:rsidRDefault="002F4116" w:rsidP="0077515C">
            <w:pPr>
              <w:spacing w:after="0" w:line="240" w:lineRule="auto"/>
              <w:rPr>
                <w:rFonts w:ascii="Times New Roman" w:eastAsia="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2015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2019год</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2021 год</w:t>
            </w:r>
          </w:p>
        </w:tc>
      </w:tr>
      <w:tr w:rsidR="002F4116"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6</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7</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8</w:t>
            </w:r>
          </w:p>
        </w:tc>
        <w:tc>
          <w:tcPr>
            <w:tcW w:w="1134" w:type="dxa"/>
            <w:tcBorders>
              <w:top w:val="single" w:sz="4" w:space="0" w:color="auto"/>
              <w:left w:val="single" w:sz="4" w:space="0" w:color="auto"/>
              <w:bottom w:val="single" w:sz="4" w:space="0" w:color="auto"/>
              <w:right w:val="nil"/>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F4116" w:rsidRPr="00C93373" w:rsidRDefault="002F4116" w:rsidP="0077515C">
            <w:pPr>
              <w:pStyle w:val="a9"/>
              <w:spacing w:line="276" w:lineRule="auto"/>
              <w:jc w:val="center"/>
              <w:rPr>
                <w:rFonts w:ascii="Times New Roman" w:hAnsi="Times New Roman" w:cs="Times New Roman"/>
              </w:rPr>
            </w:pPr>
            <w:r w:rsidRPr="00C93373">
              <w:rPr>
                <w:rFonts w:ascii="Times New Roman" w:hAnsi="Times New Roman" w:cs="Times New Roman"/>
              </w:rPr>
              <w:t>10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004D074B">
              <w:rPr>
                <w:rFonts w:ascii="Times New Roman" w:hAnsi="Times New Roman"/>
                <w:sz w:val="24"/>
                <w:szCs w:val="28"/>
              </w:rPr>
              <w:t>2</w:t>
            </w:r>
            <w:r w:rsidRPr="00C93373">
              <w:rPr>
                <w:rFonts w:ascii="Times New Roman" w:hAnsi="Times New Roman"/>
                <w:sz w:val="24"/>
                <w:szCs w:val="28"/>
              </w:rPr>
              <w:t>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100,0</w:t>
            </w:r>
          </w:p>
        </w:tc>
      </w:tr>
      <w:tr w:rsidR="005B4C5A" w:rsidRPr="00C93373" w:rsidTr="0077515C">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5</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4D074B"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r>
      <w:tr w:rsidR="005B4C5A" w:rsidRPr="00C93373" w:rsidTr="0077515C">
        <w:tc>
          <w:tcPr>
            <w:tcW w:w="3987" w:type="dxa"/>
            <w:gridSpan w:val="5"/>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pStyle w:val="a9"/>
              <w:spacing w:line="276" w:lineRule="auto"/>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tcPr>
          <w:p w:rsidR="005B4C5A" w:rsidRPr="00C93373" w:rsidRDefault="004D074B"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Pr>
                <w:rFonts w:ascii="Times New Roman" w:hAnsi="Times New Roman"/>
                <w:sz w:val="24"/>
                <w:szCs w:val="28"/>
              </w:rPr>
              <w:t>8</w:t>
            </w:r>
            <w:r w:rsidR="005B4C5A" w:rsidRPr="00C93373">
              <w:rPr>
                <w:rFonts w:ascii="Times New Roman" w:hAnsi="Times New Roman"/>
                <w:sz w:val="24"/>
                <w:szCs w:val="28"/>
              </w:rPr>
              <w:t>00,0</w:t>
            </w:r>
          </w:p>
        </w:tc>
        <w:tc>
          <w:tcPr>
            <w:tcW w:w="1417" w:type="dxa"/>
            <w:gridSpan w:val="2"/>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Pr>
                <w:rFonts w:ascii="Times New Roman" w:hAnsi="Times New Roman"/>
                <w:sz w:val="24"/>
                <w:szCs w:val="28"/>
              </w:rPr>
              <w:t>8</w:t>
            </w:r>
            <w:r w:rsidRPr="00C93373">
              <w:rPr>
                <w:rFonts w:ascii="Times New Roman" w:hAnsi="Times New Roman"/>
                <w:sz w:val="24"/>
                <w:szCs w:val="28"/>
              </w:rPr>
              <w:t>00,0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всего</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федеральный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4D074B">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6</w:t>
            </w:r>
            <w:r w:rsidR="004D074B">
              <w:rPr>
                <w:rFonts w:ascii="Times New Roman" w:hAnsi="Times New Roman"/>
                <w:sz w:val="24"/>
                <w:szCs w:val="28"/>
              </w:rPr>
              <w:t>2</w:t>
            </w:r>
            <w:r w:rsidRPr="00C93373">
              <w:rPr>
                <w:rFonts w:ascii="Times New Roman" w:hAnsi="Times New Roman"/>
                <w:sz w:val="24"/>
                <w:szCs w:val="28"/>
              </w:rPr>
              <w:t>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6</w:t>
            </w:r>
            <w:r>
              <w:rPr>
                <w:rFonts w:ascii="Times New Roman" w:hAnsi="Times New Roman"/>
                <w:sz w:val="24"/>
                <w:szCs w:val="28"/>
              </w:rPr>
              <w:t>2</w:t>
            </w:r>
            <w:r w:rsidRPr="00C93373">
              <w:rPr>
                <w:rFonts w:ascii="Times New Roman" w:hAnsi="Times New Roman"/>
                <w:sz w:val="24"/>
                <w:szCs w:val="28"/>
              </w:rPr>
              <w:t>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8"/>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краевой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5499,8</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r w:rsidR="005B4C5A" w:rsidRPr="00C93373" w:rsidTr="0077515C">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5B4C5A" w:rsidRPr="00C93373" w:rsidRDefault="005B4C5A" w:rsidP="005B4C5A">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pStyle w:val="a3"/>
              <w:spacing w:line="276" w:lineRule="auto"/>
              <w:rPr>
                <w:rFonts w:ascii="Times New Roman" w:hAnsi="Times New Roman" w:cs="Times New Roman"/>
              </w:rPr>
            </w:pPr>
            <w:r w:rsidRPr="00C93373">
              <w:rPr>
                <w:rFonts w:ascii="Times New Roman" w:hAnsi="Times New Roman" w:cs="Times New Roman"/>
              </w:rPr>
              <w:t>местный бюджет</w:t>
            </w:r>
          </w:p>
        </w:tc>
        <w:tc>
          <w:tcPr>
            <w:tcW w:w="1419"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rFonts w:ascii="Times New Roman" w:hAnsi="Times New Roman"/>
                <w:sz w:val="24"/>
                <w:szCs w:val="24"/>
              </w:rPr>
            </w:pPr>
            <w:r w:rsidRPr="00C93373">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nil"/>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1134" w:type="dxa"/>
            <w:tcBorders>
              <w:top w:val="single" w:sz="4" w:space="0" w:color="auto"/>
              <w:left w:val="single" w:sz="4" w:space="0" w:color="auto"/>
              <w:bottom w:val="single" w:sz="4" w:space="0" w:color="auto"/>
              <w:right w:val="single" w:sz="4" w:space="0" w:color="auto"/>
            </w:tcBorders>
            <w:hideMark/>
          </w:tcPr>
          <w:p w:rsidR="005B4C5A" w:rsidRPr="00C93373" w:rsidRDefault="005B4C5A" w:rsidP="005B4C5A">
            <w:pPr>
              <w:jc w:val="center"/>
              <w:rPr>
                <w:sz w:val="20"/>
              </w:rPr>
            </w:pPr>
            <w:r w:rsidRPr="00C93373">
              <w:rPr>
                <w:rFonts w:ascii="Times New Roman" w:hAnsi="Times New Roman"/>
                <w:sz w:val="24"/>
                <w:szCs w:val="28"/>
              </w:rPr>
              <w:t>0,0</w:t>
            </w:r>
          </w:p>
        </w:tc>
        <w:tc>
          <w:tcPr>
            <w:tcW w:w="905" w:type="dxa"/>
            <w:tcBorders>
              <w:top w:val="nil"/>
              <w:left w:val="single" w:sz="4" w:space="0" w:color="auto"/>
              <w:bottom w:val="nil"/>
              <w:right w:val="nil"/>
            </w:tcBorders>
          </w:tcPr>
          <w:p w:rsidR="005B4C5A" w:rsidRPr="00C93373" w:rsidRDefault="005B4C5A" w:rsidP="005B4C5A">
            <w:pPr>
              <w:pStyle w:val="a9"/>
              <w:spacing w:line="276" w:lineRule="auto"/>
              <w:rPr>
                <w:rFonts w:ascii="Times New Roman" w:hAnsi="Times New Roman" w:cs="Times New Roman"/>
              </w:rPr>
            </w:pPr>
          </w:p>
        </w:tc>
      </w:tr>
    </w:tbl>
    <w:p w:rsidR="002F4116" w:rsidRPr="00C93373" w:rsidRDefault="002F4116" w:rsidP="002F4116">
      <w:pPr>
        <w:spacing w:after="0" w:line="240" w:lineRule="auto"/>
        <w:jc w:val="both"/>
        <w:rPr>
          <w:rFonts w:ascii="Times New Roman" w:hAnsi="Times New Roman"/>
          <w:sz w:val="24"/>
          <w:szCs w:val="24"/>
        </w:rPr>
      </w:pP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2F4116" w:rsidRPr="00C93373" w:rsidRDefault="002F4116" w:rsidP="002F4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2F4116" w:rsidRPr="00C93373" w:rsidRDefault="002F4116" w:rsidP="004E7A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C93373">
        <w:rPr>
          <w:rFonts w:ascii="Times New Roman" w:hAnsi="Times New Roman"/>
          <w:sz w:val="24"/>
          <w:szCs w:val="24"/>
        </w:rPr>
        <w:t xml:space="preserve">образования Кавказский район                       </w:t>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r>
      <w:r w:rsidRPr="00C93373">
        <w:rPr>
          <w:rFonts w:ascii="Times New Roman" w:hAnsi="Times New Roman"/>
          <w:sz w:val="24"/>
          <w:szCs w:val="24"/>
        </w:rPr>
        <w:tab/>
        <w:t xml:space="preserve">          Е.В.Неупокоева</w:t>
      </w:r>
    </w:p>
    <w:p w:rsidR="002F4116" w:rsidRPr="00C93373" w:rsidRDefault="002F4116" w:rsidP="002F4116">
      <w:pPr>
        <w:spacing w:after="0" w:line="240" w:lineRule="auto"/>
        <w:jc w:val="center"/>
        <w:rPr>
          <w:rFonts w:ascii="Times New Roman" w:hAnsi="Times New Roman"/>
          <w:sz w:val="28"/>
          <w:szCs w:val="28"/>
        </w:rPr>
      </w:pPr>
    </w:p>
    <w:p w:rsidR="002F4116" w:rsidRPr="00497355" w:rsidRDefault="002F4116" w:rsidP="002F4116">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A1AFB"/>
    <w:rsid w:val="001A58C9"/>
    <w:rsid w:val="001B085F"/>
    <w:rsid w:val="001B3FC9"/>
    <w:rsid w:val="001B5501"/>
    <w:rsid w:val="001C41FE"/>
    <w:rsid w:val="001F59AC"/>
    <w:rsid w:val="0020121D"/>
    <w:rsid w:val="00224BFC"/>
    <w:rsid w:val="0023226E"/>
    <w:rsid w:val="002346E4"/>
    <w:rsid w:val="00262E9E"/>
    <w:rsid w:val="00265705"/>
    <w:rsid w:val="00277A72"/>
    <w:rsid w:val="002861E2"/>
    <w:rsid w:val="002A5AAF"/>
    <w:rsid w:val="002A5DDE"/>
    <w:rsid w:val="002B2EF1"/>
    <w:rsid w:val="002C776A"/>
    <w:rsid w:val="002D1ADA"/>
    <w:rsid w:val="002E40D4"/>
    <w:rsid w:val="002F4116"/>
    <w:rsid w:val="00300913"/>
    <w:rsid w:val="003046F1"/>
    <w:rsid w:val="00334C35"/>
    <w:rsid w:val="00351615"/>
    <w:rsid w:val="00376E10"/>
    <w:rsid w:val="00381321"/>
    <w:rsid w:val="003A5C25"/>
    <w:rsid w:val="003B1F73"/>
    <w:rsid w:val="003B5AA9"/>
    <w:rsid w:val="003D34DB"/>
    <w:rsid w:val="0040188D"/>
    <w:rsid w:val="0040199E"/>
    <w:rsid w:val="00413152"/>
    <w:rsid w:val="00415407"/>
    <w:rsid w:val="004266A9"/>
    <w:rsid w:val="004268AE"/>
    <w:rsid w:val="00440B79"/>
    <w:rsid w:val="00452E91"/>
    <w:rsid w:val="004555D5"/>
    <w:rsid w:val="00456543"/>
    <w:rsid w:val="0047042C"/>
    <w:rsid w:val="00470DBB"/>
    <w:rsid w:val="00470E2B"/>
    <w:rsid w:val="00481F80"/>
    <w:rsid w:val="004836AD"/>
    <w:rsid w:val="00485CA6"/>
    <w:rsid w:val="00497355"/>
    <w:rsid w:val="004A017A"/>
    <w:rsid w:val="004A0292"/>
    <w:rsid w:val="004A3CEE"/>
    <w:rsid w:val="004C509B"/>
    <w:rsid w:val="004C593E"/>
    <w:rsid w:val="004C6A88"/>
    <w:rsid w:val="004C7214"/>
    <w:rsid w:val="004D074B"/>
    <w:rsid w:val="004D0F7E"/>
    <w:rsid w:val="004D4DBD"/>
    <w:rsid w:val="004E65D2"/>
    <w:rsid w:val="004E7A82"/>
    <w:rsid w:val="00511103"/>
    <w:rsid w:val="00514584"/>
    <w:rsid w:val="00520A65"/>
    <w:rsid w:val="00527F0F"/>
    <w:rsid w:val="00544C5B"/>
    <w:rsid w:val="00544DF7"/>
    <w:rsid w:val="005463A6"/>
    <w:rsid w:val="0058128F"/>
    <w:rsid w:val="00585AC1"/>
    <w:rsid w:val="005865A8"/>
    <w:rsid w:val="00593DDF"/>
    <w:rsid w:val="005B4C5A"/>
    <w:rsid w:val="005D158A"/>
    <w:rsid w:val="005D7CDB"/>
    <w:rsid w:val="005F40CB"/>
    <w:rsid w:val="00601340"/>
    <w:rsid w:val="00610E57"/>
    <w:rsid w:val="00672D6B"/>
    <w:rsid w:val="00682974"/>
    <w:rsid w:val="00682A96"/>
    <w:rsid w:val="006B690A"/>
    <w:rsid w:val="006F211F"/>
    <w:rsid w:val="00701BCD"/>
    <w:rsid w:val="00703EA5"/>
    <w:rsid w:val="007059FD"/>
    <w:rsid w:val="00724DA0"/>
    <w:rsid w:val="00736D86"/>
    <w:rsid w:val="00756E92"/>
    <w:rsid w:val="00773CFE"/>
    <w:rsid w:val="0077515C"/>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443FA"/>
    <w:rsid w:val="00960372"/>
    <w:rsid w:val="00960F74"/>
    <w:rsid w:val="00965117"/>
    <w:rsid w:val="009748A5"/>
    <w:rsid w:val="00977F3B"/>
    <w:rsid w:val="00985ADB"/>
    <w:rsid w:val="00994365"/>
    <w:rsid w:val="009966F4"/>
    <w:rsid w:val="009A5BD4"/>
    <w:rsid w:val="009E4A33"/>
    <w:rsid w:val="009F33DE"/>
    <w:rsid w:val="00A062EF"/>
    <w:rsid w:val="00A35FFB"/>
    <w:rsid w:val="00A63277"/>
    <w:rsid w:val="00A70BDF"/>
    <w:rsid w:val="00A93C57"/>
    <w:rsid w:val="00A961BB"/>
    <w:rsid w:val="00A96C17"/>
    <w:rsid w:val="00AA2525"/>
    <w:rsid w:val="00AA64A4"/>
    <w:rsid w:val="00AC791A"/>
    <w:rsid w:val="00AD0EB5"/>
    <w:rsid w:val="00AD332B"/>
    <w:rsid w:val="00AE5D95"/>
    <w:rsid w:val="00B03E53"/>
    <w:rsid w:val="00B15273"/>
    <w:rsid w:val="00B2119D"/>
    <w:rsid w:val="00B21AA6"/>
    <w:rsid w:val="00B36642"/>
    <w:rsid w:val="00B75844"/>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11AC6"/>
    <w:rsid w:val="00C21019"/>
    <w:rsid w:val="00C430A4"/>
    <w:rsid w:val="00C47CEA"/>
    <w:rsid w:val="00C51616"/>
    <w:rsid w:val="00C51EB4"/>
    <w:rsid w:val="00C62052"/>
    <w:rsid w:val="00C66043"/>
    <w:rsid w:val="00C80AA1"/>
    <w:rsid w:val="00C9762B"/>
    <w:rsid w:val="00CA7AAD"/>
    <w:rsid w:val="00CC5C60"/>
    <w:rsid w:val="00CC79AA"/>
    <w:rsid w:val="00CD291D"/>
    <w:rsid w:val="00CD3FDD"/>
    <w:rsid w:val="00D100AD"/>
    <w:rsid w:val="00D21A14"/>
    <w:rsid w:val="00D32E4E"/>
    <w:rsid w:val="00D63D9F"/>
    <w:rsid w:val="00D90808"/>
    <w:rsid w:val="00DB46F4"/>
    <w:rsid w:val="00DE5382"/>
    <w:rsid w:val="00DF2C41"/>
    <w:rsid w:val="00E00988"/>
    <w:rsid w:val="00E0564F"/>
    <w:rsid w:val="00E0673B"/>
    <w:rsid w:val="00E138B9"/>
    <w:rsid w:val="00E13D15"/>
    <w:rsid w:val="00E215AA"/>
    <w:rsid w:val="00E24B0C"/>
    <w:rsid w:val="00E4615C"/>
    <w:rsid w:val="00E64DA2"/>
    <w:rsid w:val="00E7368B"/>
    <w:rsid w:val="00E82C40"/>
    <w:rsid w:val="00E91268"/>
    <w:rsid w:val="00E9333C"/>
    <w:rsid w:val="00E94610"/>
    <w:rsid w:val="00EA0279"/>
    <w:rsid w:val="00ED1922"/>
    <w:rsid w:val="00EE6920"/>
    <w:rsid w:val="00F04372"/>
    <w:rsid w:val="00F06FA4"/>
    <w:rsid w:val="00F107A1"/>
    <w:rsid w:val="00F1117B"/>
    <w:rsid w:val="00F34330"/>
    <w:rsid w:val="00F469DB"/>
    <w:rsid w:val="00F6659B"/>
    <w:rsid w:val="00F87588"/>
    <w:rsid w:val="00FA7706"/>
    <w:rsid w:val="00FB4E26"/>
    <w:rsid w:val="00FC325E"/>
    <w:rsid w:val="00FC49FB"/>
    <w:rsid w:val="00FC65E5"/>
    <w:rsid w:val="00FD3E6D"/>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2893-14B1-417A-96B6-A76CB6D0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16043</Words>
  <Characters>91446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cp:lastPrinted>2019-11-08T07:47:00Z</cp:lastPrinted>
  <dcterms:created xsi:type="dcterms:W3CDTF">2019-11-08T13:46:00Z</dcterms:created>
  <dcterms:modified xsi:type="dcterms:W3CDTF">2019-11-08T13:46:00Z</dcterms:modified>
</cp:coreProperties>
</file>