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6D01E4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="00897110">
        <w:rPr>
          <w:rFonts w:ascii="Times New Roman" w:hAnsi="Times New Roman" w:cs="Times New Roman"/>
          <w:b w:val="0"/>
          <w:color w:val="auto"/>
          <w:sz w:val="28"/>
          <w:szCs w:val="28"/>
        </w:rPr>
        <w:t>, 02.09.2016г.</w:t>
      </w:r>
      <w:r w:rsidR="00DB780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E22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 г.</w:t>
      </w:r>
      <w:r w:rsidR="00CB6229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34473" w:rsidRPr="00E344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34473" w:rsidRPr="00E34473">
        <w:rPr>
          <w:rFonts w:ascii="Times New Roman" w:hAnsi="Times New Roman" w:cs="Times New Roman"/>
          <w:b w:val="0"/>
          <w:color w:val="FF0000"/>
          <w:sz w:val="28"/>
          <w:szCs w:val="28"/>
        </w:rPr>
        <w:t>…….июня 2018г</w:t>
      </w:r>
      <w:r w:rsidR="00E344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6D01E4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приёмных или патронатных семьях (в том числе 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занятости учащихся в дневных тематических 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FD763F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6D01E4" w:rsidRDefault="00FD763F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73" w:rsidRPr="00026496" w:rsidRDefault="00E34473" w:rsidP="00E3447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</w:t>
            </w:r>
            <w:r w:rsidRPr="008D0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28 087,3</w:t>
            </w:r>
            <w:r w:rsidRPr="0068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E34473" w:rsidRPr="00026496" w:rsidRDefault="00E34473" w:rsidP="00E3447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6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E34473" w:rsidRPr="00990040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040">
              <w:rPr>
                <w:rFonts w:ascii="Times New Roman" w:hAnsi="Times New Roman"/>
                <w:sz w:val="28"/>
                <w:szCs w:val="28"/>
              </w:rPr>
              <w:t>2017 год – 4 141,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99004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9D630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– </w:t>
            </w:r>
            <w:r w:rsidRPr="008D0037">
              <w:rPr>
                <w:rFonts w:ascii="Times New Roman" w:hAnsi="Times New Roman"/>
                <w:color w:val="FF0000"/>
                <w:sz w:val="28"/>
                <w:szCs w:val="28"/>
              </w:rPr>
              <w:t>4 488,9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3 375,9 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– 3 379,4 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 – 3 379,4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краевого бюджета  </w:t>
            </w:r>
            <w:r w:rsidRPr="00FA1787">
              <w:rPr>
                <w:rFonts w:ascii="Times New Roman" w:hAnsi="Times New Roman"/>
                <w:sz w:val="28"/>
                <w:szCs w:val="28"/>
              </w:rPr>
              <w:t>13 172,5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тысяч рублей, в том числе по годам реализации: 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 –  1974,3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2016 год –   1802,2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2017 год –   </w:t>
            </w:r>
            <w:r w:rsidRPr="00FA1787">
              <w:rPr>
                <w:rFonts w:ascii="Times New Roman" w:hAnsi="Times New Roman"/>
                <w:sz w:val="28"/>
                <w:szCs w:val="28"/>
              </w:rPr>
              <w:t>1885,4</w:t>
            </w:r>
            <w:r w:rsidRPr="00685126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2018 год –   1875,9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  1875,9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-    1879,4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 –   1879,4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Pr="008D0037">
              <w:rPr>
                <w:rFonts w:ascii="Times New Roman" w:hAnsi="Times New Roman"/>
                <w:color w:val="FF0000"/>
                <w:sz w:val="28"/>
                <w:szCs w:val="28"/>
              </w:rPr>
              <w:t>14 841,8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 реализации: </w:t>
            </w:r>
          </w:p>
          <w:p w:rsidR="00E34473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 – 2</w:t>
            </w:r>
            <w:r>
              <w:rPr>
                <w:rFonts w:ascii="Times New Roman" w:hAnsi="Times New Roman"/>
                <w:sz w:val="28"/>
                <w:szCs w:val="28"/>
              </w:rPr>
              <w:t>806,0 тыс.рублей;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2016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740,0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2017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255,8 тыс. рублей;</w:t>
            </w:r>
          </w:p>
          <w:p w:rsidR="00E34473" w:rsidRPr="008D0037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color w:val="FF0000"/>
                <w:sz w:val="28"/>
                <w:szCs w:val="28"/>
              </w:rPr>
              <w:t>2018 год – 2 613,0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1500,0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– 1500,0 тыс. рублей;</w:t>
            </w:r>
          </w:p>
          <w:p w:rsidR="00FD763F" w:rsidRPr="00026496" w:rsidRDefault="00E34473" w:rsidP="00E344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 год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– 1500,0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6D01E4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районе проживают свыше 25 тысяч детей. Количество детей школьного возраста составляет в </w:t>
      </w:r>
      <w:r w:rsidRPr="0094238D">
        <w:rPr>
          <w:rFonts w:ascii="Times New Roman" w:hAnsi="Times New Roman" w:cs="Times New Roman"/>
          <w:sz w:val="28"/>
          <w:szCs w:val="28"/>
        </w:rPr>
        <w:t>2012 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94238D">
        <w:rPr>
          <w:rFonts w:ascii="Times New Roman" w:hAnsi="Times New Roman" w:cs="Times New Roman"/>
          <w:sz w:val="28"/>
          <w:szCs w:val="28"/>
        </w:rPr>
        <w:t> 2013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6D01E4">
      <w:pPr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ЛТО круглосуточного пребывания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стационарных палаточных лагерях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период с 09.01.2014 г. по 20.08.2014 г. на временные работы ГКУ КК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ЦЗН Кавказского района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принятие практических мер по усилению защиты интересов семьи и детства, сохранение и совершенствование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6D01E4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6D01E4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6D01E4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6D01E4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 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 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9. Методика оценки эффективности реализации муниципальной программы</w:t>
      </w:r>
    </w:p>
    <w:bookmarkEnd w:id="2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91"/>
      <w:r w:rsidRPr="006D01E4">
        <w:rPr>
          <w:rFonts w:ascii="Times New Roman" w:hAnsi="Times New Roman" w:cs="Times New Roman"/>
          <w:color w:val="auto"/>
          <w:sz w:val="28"/>
          <w:szCs w:val="28"/>
        </w:rPr>
        <w:t>9.1. Общие положения</w:t>
      </w:r>
    </w:p>
    <w:bookmarkEnd w:id="2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11"/>
      <w:r w:rsidRPr="006D01E4">
        <w:rPr>
          <w:rFonts w:ascii="Times New Roman" w:hAnsi="Times New Roman" w:cs="Times New Roman"/>
          <w:sz w:val="28"/>
          <w:szCs w:val="28"/>
        </w:rPr>
        <w:t>9.1.1.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по вопросам семьи и детства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12"/>
      <w:bookmarkEnd w:id="24"/>
      <w:r w:rsidRPr="006D01E4">
        <w:rPr>
          <w:rFonts w:ascii="Times New Roman" w:hAnsi="Times New Roman" w:cs="Times New Roman"/>
          <w:sz w:val="28"/>
          <w:szCs w:val="28"/>
        </w:rPr>
        <w:t>9.1.2. Оценка эффективности реализации муниципальной программы осуществляется в два этапа.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121"/>
      <w:bookmarkEnd w:id="25"/>
      <w:r w:rsidRPr="006D01E4">
        <w:rPr>
          <w:rFonts w:ascii="Times New Roman" w:hAnsi="Times New Roman" w:cs="Times New Roman"/>
          <w:sz w:val="28"/>
          <w:szCs w:val="28"/>
        </w:rPr>
        <w:t>9.1.2.1. На первом этапе осуществляется оценка эффективности реализации каждой основных мероприятий, включенных в муниципальную программу, и включает:</w:t>
      </w:r>
    </w:p>
    <w:bookmarkEnd w:id="2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оценку степени достижения целей и решения задач основных мероприятий, входящих в муниципальную программу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основного мероприятия);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22"/>
      <w:r w:rsidRPr="006D01E4">
        <w:rPr>
          <w:rFonts w:ascii="Times New Roman" w:hAnsi="Times New Roman" w:cs="Times New Roman"/>
          <w:sz w:val="28"/>
          <w:szCs w:val="28"/>
        </w:rPr>
        <w:t>9.1.2.2.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92"/>
      <w:r w:rsidRPr="006D01E4">
        <w:rPr>
          <w:rFonts w:ascii="Times New Roman" w:hAnsi="Times New Roman" w:cs="Times New Roman"/>
          <w:color w:val="auto"/>
          <w:sz w:val="28"/>
          <w:szCs w:val="28"/>
        </w:rPr>
        <w:t>9.2. Оценка степени реализации основных мероприятий и достижения ожидаемых непосредственных результатов их реализации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1"/>
      <w:bookmarkEnd w:id="28"/>
      <w:r w:rsidRPr="006D01E4">
        <w:rPr>
          <w:rFonts w:ascii="Times New Roman" w:hAnsi="Times New Roman" w:cs="Times New Roman"/>
          <w:sz w:val="28"/>
          <w:szCs w:val="28"/>
        </w:rPr>
        <w:t>9.2.1.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2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Мв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отчетном году.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3"/>
      <w:r w:rsidRPr="006D01E4">
        <w:rPr>
          <w:rFonts w:ascii="Times New Roman" w:hAnsi="Times New Roman" w:cs="Times New Roman"/>
          <w:sz w:val="28"/>
          <w:szCs w:val="28"/>
        </w:rPr>
        <w:t>9.2.2. Мероприятие может считаться выполненным в полном объеме при достижении следующих результатов: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21"/>
      <w:bookmarkEnd w:id="30"/>
      <w:r w:rsidRPr="006D01E4">
        <w:rPr>
          <w:rFonts w:ascii="Times New Roman" w:hAnsi="Times New Roman" w:cs="Times New Roman"/>
          <w:sz w:val="28"/>
          <w:szCs w:val="28"/>
        </w:rPr>
        <w:t xml:space="preserve">9.2.2.1.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3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9222"/>
      <w:r w:rsidRPr="006D01E4">
        <w:rPr>
          <w:rFonts w:ascii="Times New Roman" w:hAnsi="Times New Roman" w:cs="Times New Roman"/>
          <w:sz w:val="28"/>
          <w:szCs w:val="28"/>
        </w:rPr>
        <w:t>9.2.2.2.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3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23"/>
      <w:r w:rsidRPr="006D01E4">
        <w:rPr>
          <w:rFonts w:ascii="Times New Roman" w:hAnsi="Times New Roman" w:cs="Times New Roman"/>
          <w:sz w:val="28"/>
          <w:szCs w:val="28"/>
        </w:rPr>
        <w:t>9.2.2.3.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3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93"/>
      <w:r w:rsidRPr="006D01E4">
        <w:rPr>
          <w:rFonts w:ascii="Times New Roman" w:hAnsi="Times New Roman" w:cs="Times New Roman"/>
          <w:color w:val="auto"/>
          <w:sz w:val="28"/>
          <w:szCs w:val="28"/>
        </w:rPr>
        <w:t>9.3. Оценка степени соответствия запланированному уровню расходов</w:t>
      </w:r>
    </w:p>
    <w:bookmarkEnd w:id="3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931"/>
      <w:r w:rsidRPr="006D01E4">
        <w:rPr>
          <w:rFonts w:ascii="Times New Roman" w:hAnsi="Times New Roman" w:cs="Times New Roman"/>
          <w:sz w:val="28"/>
          <w:szCs w:val="28"/>
        </w:rPr>
        <w:t>9.3.1.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5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286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фактические расходы на реализацию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32"/>
      <w:r w:rsidRPr="006D01E4">
        <w:rPr>
          <w:rFonts w:ascii="Times New Roman" w:hAnsi="Times New Roman" w:cs="Times New Roman"/>
          <w:sz w:val="28"/>
          <w:szCs w:val="28"/>
        </w:rPr>
        <w:t xml:space="preserve">9.3.2.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только бюджетные расходы либо расходы из всех источников.</w:t>
      </w:r>
    </w:p>
    <w:bookmarkEnd w:id="3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94"/>
      <w:r w:rsidRPr="006D01E4">
        <w:rPr>
          <w:rFonts w:ascii="Times New Roman" w:hAnsi="Times New Roman" w:cs="Times New Roman"/>
          <w:color w:val="auto"/>
          <w:sz w:val="28"/>
          <w:szCs w:val="28"/>
        </w:rPr>
        <w:t>9.4. Оценка эффективности использования средств местного бюджета</w:t>
      </w:r>
    </w:p>
    <w:bookmarkEnd w:id="3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мероприятий, полностью или частично финансируемых из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средств местного бюджета.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всех мероприятий подпрограммы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всех источников.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95"/>
      <w:r w:rsidRPr="006D01E4">
        <w:rPr>
          <w:rFonts w:ascii="Times New Roman" w:hAnsi="Times New Roman" w:cs="Times New Roman"/>
          <w:color w:val="auto"/>
          <w:sz w:val="28"/>
          <w:szCs w:val="28"/>
        </w:rPr>
        <w:t>9.5. Оценка степени достижения целей и решения задач основного мероприятия</w:t>
      </w:r>
    </w:p>
    <w:bookmarkEnd w:id="3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51"/>
      <w:r w:rsidRPr="006D01E4">
        <w:rPr>
          <w:rFonts w:ascii="Times New Roman" w:hAnsi="Times New Roman" w:cs="Times New Roman"/>
          <w:sz w:val="28"/>
          <w:szCs w:val="28"/>
        </w:rPr>
        <w:t xml:space="preserve">9.5.1. Для оценки степени достижения целей и решения задач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52"/>
      <w:bookmarkEnd w:id="39"/>
      <w:r w:rsidRPr="006D01E4">
        <w:rPr>
          <w:rFonts w:ascii="Times New Roman" w:hAnsi="Times New Roman" w:cs="Times New Roman"/>
          <w:sz w:val="28"/>
          <w:szCs w:val="28"/>
        </w:rPr>
        <w:t>9.5.2. Степень достижения планового значения целевого показателя рассчитывается по следующим формулам:</w:t>
      </w:r>
    </w:p>
    <w:bookmarkEnd w:id="4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СДп/ппз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ЗПп/</w:t>
      </w:r>
      <w:r w:rsidR="003367A4">
        <w:rPr>
          <w:rFonts w:ascii="Times New Roman" w:hAnsi="Times New Roman" w:cs="Times New Roman"/>
          <w:sz w:val="28"/>
          <w:szCs w:val="28"/>
        </w:rPr>
        <w:pgNum/>
      </w:r>
      <w:r w:rsidR="003367A4">
        <w:rPr>
          <w:rFonts w:ascii="Times New Roman" w:hAnsi="Times New Roman" w:cs="Times New Roman"/>
          <w:sz w:val="28"/>
          <w:szCs w:val="28"/>
        </w:rPr>
        <w:t>д</w:t>
      </w:r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 основного мероприятия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ЗПп/пп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3"/>
      <w:r w:rsidRPr="006D01E4">
        <w:rPr>
          <w:rFonts w:ascii="Times New Roman" w:hAnsi="Times New Roman" w:cs="Times New Roman"/>
          <w:sz w:val="28"/>
          <w:szCs w:val="28"/>
        </w:rPr>
        <w:t>9.5.3. Степень реализации основного мероприятия рассчитывается по формуле:</w:t>
      </w:r>
      <w:bookmarkEnd w:id="41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СДп/ппз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N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число целевых показателей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СДп/ппз&gt;1, значение СДп/ппз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целевого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96"/>
      <w:r w:rsidRPr="006D01E4">
        <w:rPr>
          <w:rFonts w:ascii="Times New Roman" w:hAnsi="Times New Roman" w:cs="Times New Roman"/>
          <w:color w:val="auto"/>
          <w:sz w:val="28"/>
          <w:szCs w:val="28"/>
        </w:rPr>
        <w:t>9.6. Оценка эффективности реализации основного мероприятия</w:t>
      </w:r>
    </w:p>
    <w:bookmarkEnd w:id="4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61"/>
      <w:r w:rsidRPr="006D01E4">
        <w:rPr>
          <w:rFonts w:ascii="Times New Roman" w:hAnsi="Times New Roman" w:cs="Times New Roman"/>
          <w:sz w:val="28"/>
          <w:szCs w:val="28"/>
        </w:rPr>
        <w:t>9.6.1.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4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бюджетных средств (либо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по решению координатора муниципальной программы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62"/>
      <w:r w:rsidRPr="006D01E4">
        <w:rPr>
          <w:rFonts w:ascii="Times New Roman" w:hAnsi="Times New Roman" w:cs="Times New Roman"/>
          <w:sz w:val="28"/>
          <w:szCs w:val="28"/>
        </w:rPr>
        <w:t>9.6.2. Эффективность реализации основного мероприятия признается высокой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0,9.</w:t>
      </w:r>
    </w:p>
    <w:bookmarkEnd w:id="4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0,8.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0,7.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97"/>
      <w:r w:rsidRPr="006D01E4">
        <w:rPr>
          <w:rFonts w:ascii="Times New Roman" w:hAnsi="Times New Roman" w:cs="Times New Roman"/>
          <w:color w:val="auto"/>
          <w:sz w:val="28"/>
          <w:szCs w:val="28"/>
        </w:rPr>
        <w:t>9.7. Оценка степени достижения целей и решения задач муниципальной программы</w:t>
      </w:r>
    </w:p>
    <w:bookmarkEnd w:id="45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71"/>
      <w:r w:rsidRPr="006D01E4">
        <w:rPr>
          <w:rFonts w:ascii="Times New Roman" w:hAnsi="Times New Roman" w:cs="Times New Roman"/>
          <w:sz w:val="28"/>
          <w:szCs w:val="28"/>
        </w:rPr>
        <w:t xml:space="preserve">9.7.1. Для оценки степени достижения целей и решения задач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72"/>
      <w:bookmarkEnd w:id="46"/>
      <w:r w:rsidRPr="006D01E4">
        <w:rPr>
          <w:rFonts w:ascii="Times New Roman" w:hAnsi="Times New Roman" w:cs="Times New Roman"/>
          <w:sz w:val="28"/>
          <w:szCs w:val="28"/>
        </w:rPr>
        <w:t>9.7.2.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СДгппз = ЗПгпл / ЗПгпф,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СДгппз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ЗПГПф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ЗПГПП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73"/>
      <w:r w:rsidRPr="006D01E4">
        <w:rPr>
          <w:rFonts w:ascii="Times New Roman" w:hAnsi="Times New Roman" w:cs="Times New Roman"/>
          <w:sz w:val="28"/>
          <w:szCs w:val="28"/>
        </w:rPr>
        <w:t>9.7.3. Степень реализации муниципальной программы рассчитывается по формуле:</w:t>
      </w:r>
      <w:bookmarkEnd w:id="48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СДгппз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число целевых показателей, характеризующих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При использовании данной формулы в случаях, если СДгппз&gt;1, значение СДгппз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98"/>
      <w:r w:rsidRPr="006D01E4">
        <w:rPr>
          <w:rFonts w:ascii="Times New Roman" w:hAnsi="Times New Roman" w:cs="Times New Roman"/>
          <w:color w:val="auto"/>
          <w:sz w:val="28"/>
          <w:szCs w:val="28"/>
        </w:rPr>
        <w:t>9.8. Оценка эффективности реализации муниципальной программы</w:t>
      </w:r>
    </w:p>
    <w:bookmarkEnd w:id="4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9.8.1.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22"/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  <w:bookmarkEnd w:id="50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kj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умолчанию kj определяется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Фj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местного бюджета (кассового исполнения) на реализацию j-той подпрограммы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местного бюджета (кассового исполнения) на реализацию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82"/>
      <w:r w:rsidRPr="006D01E4">
        <w:rPr>
          <w:rFonts w:ascii="Times New Roman" w:hAnsi="Times New Roman" w:cs="Times New Roman"/>
          <w:sz w:val="28"/>
          <w:szCs w:val="28"/>
        </w:rPr>
        <w:t>9.8.2. Эффективность реализации муниципальной программы признается высокой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 составляет не менее 0,90.</w:t>
      </w:r>
    </w:p>
    <w:bookmarkEnd w:id="5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гп, составляет не менее 0,80.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 составляет не менее 0,70.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0"/>
      <w:bookmarkStart w:id="53" w:name="_GoBack"/>
      <w:r w:rsidRPr="006D01E4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52"/>
    <w:bookmarkEnd w:id="5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10"/>
      <w:r w:rsidRPr="006D01E4">
        <w:rPr>
          <w:rFonts w:ascii="Times New Roman" w:hAnsi="Times New Roman" w:cs="Times New Roman"/>
          <w:sz w:val="28"/>
          <w:szCs w:val="28"/>
        </w:rPr>
        <w:lastRenderedPageBreak/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54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6D01E4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04807"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E27A24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E27A2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</w:t>
      </w:r>
      <w:r w:rsidR="003367A4"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304807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BA7266" w:rsidRPr="006A2906" w:rsidRDefault="00BA7266" w:rsidP="00304807">
      <w:pPr>
        <w:rPr>
          <w:rFonts w:ascii="Times New Roman" w:hAnsi="Times New Roman" w:cs="Times New Roman"/>
          <w:sz w:val="28"/>
          <w:szCs w:val="28"/>
        </w:rPr>
      </w:pPr>
    </w:p>
    <w:p w:rsidR="00E27A24" w:rsidRPr="00BA7266" w:rsidRDefault="00E27A24" w:rsidP="00E27A2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A7266">
        <w:rPr>
          <w:rFonts w:ascii="Times New Roman" w:hAnsi="Times New Roman" w:cs="Times New Roman"/>
          <w:b w:val="0"/>
          <w:color w:val="auto"/>
          <w:sz w:val="28"/>
          <w:szCs w:val="28"/>
        </w:rPr>
        <w:t>Цели, задачи и целевые показатели</w:t>
      </w:r>
      <w:r w:rsidRPr="00BA726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538"/>
        <w:gridCol w:w="1135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E27A24" w:rsidRPr="00BA7266" w:rsidTr="00E27A2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изме-рения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BA72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E27A24" w:rsidRPr="00BA7266" w:rsidTr="00E27A24">
        <w:trPr>
          <w:trHeight w:val="114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E27A24" w:rsidRPr="00BA7266" w:rsidTr="00E27A24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E27A24" w:rsidRPr="00BA7266" w:rsidTr="00E27A2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 w:rsidRPr="00BA7266"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</w:t>
            </w:r>
            <w:r w:rsidR="000D3639" w:rsidRPr="00BA7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266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E27A24" w:rsidRPr="00BA7266" w:rsidTr="00E27A24">
        <w:trPr>
          <w:trHeight w:val="19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E27A24" w:rsidRPr="00BA7266" w:rsidRDefault="00E27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BA7266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BA7266"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E27A24" w:rsidRPr="00BA7266" w:rsidTr="00E27A24">
        <w:trPr>
          <w:trHeight w:val="7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BA7266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E27A24" w:rsidRPr="00BA7266" w:rsidTr="00E27A2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E27A24" w:rsidRPr="00BA7266" w:rsidTr="00E27A2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</w:t>
            </w:r>
            <w:r w:rsidRPr="00BA7266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E27A24" w:rsidRPr="00BA7266" w:rsidTr="00E27A2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E27A24" w:rsidRPr="00BA7266" w:rsidTr="00E27A2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E27A24" w:rsidRPr="00BA7266" w:rsidTr="00E27A24">
        <w:trPr>
          <w:trHeight w:val="10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E27A24" w:rsidRPr="00BA7266" w:rsidTr="00E27A24">
        <w:trPr>
          <w:trHeight w:val="15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E27A24" w:rsidRPr="00BA7266" w:rsidTr="00E27A2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E27A24" w:rsidRPr="00BA7266" w:rsidTr="00E27A24">
        <w:trPr>
          <w:trHeight w:val="2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E27A24" w:rsidRPr="00BA7266" w:rsidTr="00E27A24">
        <w:trPr>
          <w:trHeight w:val="1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E27A24" w:rsidRPr="00BA7266" w:rsidTr="00E27A24">
        <w:trPr>
          <w:trHeight w:val="11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E27A24" w:rsidRPr="00BA7266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  <w:vertAlign w:val="superscript"/>
        </w:rPr>
        <w:t>*</w:t>
      </w:r>
      <w:r w:rsidRPr="00BA7266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E27A24" w:rsidRPr="00BA7266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E27A24" w:rsidRPr="00BA7266" w:rsidRDefault="00E27A24" w:rsidP="00E27A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266">
        <w:rPr>
          <w:rFonts w:ascii="Times New Roman" w:hAnsi="Times New Roman" w:cs="Times New Roman"/>
          <w:sz w:val="28"/>
          <w:szCs w:val="28"/>
        </w:rPr>
        <w:t>Заместитель главы  муниципального</w:t>
      </w:r>
    </w:p>
    <w:p w:rsidR="00E27A24" w:rsidRPr="00BA7266" w:rsidRDefault="00E27A24" w:rsidP="00BA726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A7266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</w:p>
    <w:p w:rsidR="00E27A24" w:rsidRPr="00BA7266" w:rsidRDefault="00E27A24" w:rsidP="00BA7266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A7266">
        <w:rPr>
          <w:b w:val="0"/>
          <w:color w:val="auto"/>
          <w:sz w:val="28"/>
          <w:szCs w:val="28"/>
        </w:rPr>
        <w:t xml:space="preserve">            </w:t>
      </w:r>
    </w:p>
    <w:p w:rsidR="00304807" w:rsidRPr="00BA7266" w:rsidRDefault="00304807" w:rsidP="00A72358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04807" w:rsidRPr="00BA7266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A2906" w:rsidRPr="00BA726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D3639" w:rsidRPr="00BA7266" w:rsidRDefault="000D3639" w:rsidP="00FD763F">
      <w:pPr>
        <w:pStyle w:val="1"/>
        <w:jc w:val="right"/>
        <w:rPr>
          <w:rStyle w:val="affff7"/>
          <w:b w:val="0"/>
          <w:color w:val="auto"/>
          <w:szCs w:val="28"/>
        </w:rPr>
      </w:pPr>
    </w:p>
    <w:p w:rsidR="00D75BEA" w:rsidRDefault="00D75BEA" w:rsidP="004021DD">
      <w:pPr>
        <w:pStyle w:val="1"/>
        <w:rPr>
          <w:rStyle w:val="aff5"/>
          <w:b/>
          <w:color w:val="auto"/>
          <w:szCs w:val="28"/>
        </w:rPr>
      </w:pPr>
    </w:p>
    <w:p w:rsidR="00D75BEA" w:rsidRDefault="00D75BEA" w:rsidP="004021DD">
      <w:pPr>
        <w:pStyle w:val="1"/>
        <w:rPr>
          <w:rStyle w:val="aff5"/>
          <w:b/>
          <w:color w:val="auto"/>
          <w:szCs w:val="28"/>
        </w:rPr>
      </w:pPr>
    </w:p>
    <w:p w:rsidR="00D75BEA" w:rsidRPr="00D75BEA" w:rsidRDefault="00304807" w:rsidP="00D75BEA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  <w:r w:rsidR="00AE6E47"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t>№</w:t>
      </w:r>
      <w:r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t> 2</w:t>
      </w:r>
      <w:r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D75BEA">
          <w:rPr>
            <w:rFonts w:ascii="Times New Roman" w:hAnsi="Times New Roman" w:cs="Times New Roman"/>
            <w:sz w:val="28"/>
            <w:szCs w:val="28"/>
          </w:rPr>
          <w:t>муниципальной программе</w:t>
        </w:r>
      </w:hyperlink>
      <w:r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br/>
        <w:t xml:space="preserve">Кавказский район </w:t>
      </w:r>
      <w:r w:rsidR="003367A4"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t>«</w:t>
      </w:r>
      <w:r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t>Организация</w:t>
      </w:r>
      <w:r w:rsidRPr="00D75BEA">
        <w:rPr>
          <w:rStyle w:val="aff5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 занятости</w:t>
      </w:r>
      <w:r w:rsidR="00D75BEA"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детей и подростков»</w:t>
      </w:r>
    </w:p>
    <w:p w:rsidR="00D75BEA" w:rsidRDefault="00D75BEA" w:rsidP="00D75BE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D75BEA" w:rsidRDefault="00D75BEA" w:rsidP="00D75BE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D75BEA" w:rsidRDefault="004021DD" w:rsidP="00D75BE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D75BEA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D75BEA">
        <w:rPr>
          <w:rFonts w:ascii="Times New Roman" w:hAnsi="Times New Roman" w:cs="Times New Roman"/>
          <w:b w:val="0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D75BEA" w:rsidRPr="00D75BEA" w:rsidRDefault="00D75BEA" w:rsidP="00D75BE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4021DD" w:rsidRPr="00026496" w:rsidTr="00774E0B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5" w:type="dxa"/>
            <w:gridSpan w:val="7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021DD" w:rsidRPr="00026496" w:rsidTr="00774E0B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№1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каникулярное время с дневным пребыванием с обязательной организацией их питания»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  <w:r w:rsidRPr="002868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994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2868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992" w:type="dxa"/>
            <w:shd w:val="clear" w:color="auto" w:fill="auto"/>
          </w:tcPr>
          <w:p w:rsidR="004021DD" w:rsidRPr="00A91253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253">
              <w:rPr>
                <w:rFonts w:ascii="Times New Roman" w:hAnsi="Times New Roman"/>
                <w:b/>
                <w:sz w:val="24"/>
                <w:szCs w:val="24"/>
              </w:rPr>
              <w:t>2563,0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868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718,0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пребывания на базе муници-пальныхобразова-тельных органи-заций в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каникуляр-ное время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Управ-лениеобразо-вания администрации МО Кавказ-ский район </w:t>
            </w: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12 660,3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4 333,8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923,0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№ 1.1.</w:t>
            </w: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    «Приобретение про-дуктов питания для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780,4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2168,0</w:t>
            </w:r>
          </w:p>
        </w:tc>
        <w:tc>
          <w:tcPr>
            <w:tcW w:w="992" w:type="dxa"/>
            <w:vAlign w:val="center"/>
          </w:tcPr>
          <w:p w:rsidR="004021DD" w:rsidRPr="00CC4A8F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8F">
              <w:rPr>
                <w:rFonts w:ascii="Times New Roman" w:hAnsi="Times New Roman"/>
                <w:sz w:val="24"/>
                <w:szCs w:val="24"/>
              </w:rPr>
              <w:t>2 145,0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12 660,3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2 120,1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373,0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 1.2 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2 150,3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2 150,3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4021DD" w:rsidRPr="00A91253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 1.3. «Оплата разницы сто-имости между свежи-ми овощами и овощ-ной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№2 «Организация   рабо-ты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детей в лагерях труда и отдыха дневного  и кругло-суточного пребы-вания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2.1  «Организация пита-ния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 2.2  «Приобретение путе-вок в  «Лагерь труда и отдыха» круглосуточ-ного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№3 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564,4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480,9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Отдых детей в  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организа-цияхотды-ха и оздоров-ления детей, рас-положен-ных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Управ-лениеобра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зо-вания,Отдел молодеж-ной политики администрации МО Кавказс-кий район</w:t>
            </w: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3326,8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483,5</w:t>
            </w:r>
          </w:p>
        </w:tc>
        <w:tc>
          <w:tcPr>
            <w:tcW w:w="992" w:type="dxa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2666,8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323,5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2666,8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323,5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A91253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A91253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>Мероприятие № 3.3. «Приобретение турис-тической услуги для проведения муници-пальной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подростков  в муници-пальной профиль-ной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 Кавказ-кий район</w:t>
            </w: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A91253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A91253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9D630C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0C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9D630C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0C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9D630C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0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9D630C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0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4021DD" w:rsidRPr="009D630C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0C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A91253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253">
              <w:rPr>
                <w:rFonts w:ascii="Times New Roman" w:hAnsi="Times New Roman"/>
                <w:sz w:val="24"/>
                <w:szCs w:val="24"/>
              </w:rPr>
              <w:t xml:space="preserve">Мероприятие № 3.4. «Осуществление </w:t>
            </w:r>
            <w:r w:rsidRPr="00A912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государственных полномочий по оплате проезда </w:t>
            </w:r>
            <w:r w:rsidRPr="00A91253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A912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97">
              <w:rPr>
                <w:rFonts w:ascii="Times New Roman" w:hAnsi="Times New Roman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</w:tcPr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9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9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4021DD" w:rsidRPr="00E43A97" w:rsidRDefault="004021DD" w:rsidP="00774E0B">
            <w:pPr>
              <w:spacing w:line="240" w:lineRule="auto"/>
              <w:jc w:val="center"/>
            </w:pPr>
            <w:r w:rsidRPr="00E43A9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</w:t>
            </w: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подростков 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Управ-лениеобра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зо-вания администрации МО Кавказс-кий район </w:t>
            </w:r>
          </w:p>
        </w:tc>
      </w:tr>
      <w:tr w:rsidR="004021DD" w:rsidRPr="00026496" w:rsidTr="00774E0B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97">
              <w:rPr>
                <w:rFonts w:ascii="Times New Roman" w:hAnsi="Times New Roman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</w:tcPr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E43A97" w:rsidRDefault="004021DD" w:rsidP="0077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9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E43A9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9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4021DD" w:rsidRPr="00E43A9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E43A97" w:rsidRDefault="004021DD" w:rsidP="00774E0B">
            <w:pPr>
              <w:spacing w:line="240" w:lineRule="auto"/>
              <w:jc w:val="center"/>
            </w:pPr>
            <w:r w:rsidRPr="00E43A9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№4 «Организация мало-затратных форм отдыха: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туристиче-ских слётов, палаточных лагерей,  многодневных и одноднев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ных походов, много-дневных и одноднев-ных  экспедиций,  участие в соревнова-ниях, конкурсах и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ероприятиях турист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ско-краеведческой направленности 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(круглогодично)»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5 376,6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Много-кратный охват детей малозатратными формами отдыха и оздоров-ления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Управ-лениеобразо-вания, Отдел по  физиче-ской культуре и спорту, Отдел культуры администрации МО Кавказ-ский район</w:t>
            </w:r>
          </w:p>
        </w:tc>
      </w:tr>
      <w:tr w:rsidR="004021DD" w:rsidRPr="00026496" w:rsidTr="00774E0B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5376,6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 4.1. «Приобретение набо-ра продуктов питания для участия в  турис-тических слетах, пала-точных лагерях меро-приятиях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 4.2. «Оплата аренды авто-транспортных средств сторонним поставщи-кам за организацию доставки детей  к </w:t>
            </w:r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026496">
              <w:rPr>
                <w:rFonts w:ascii="Times New Roman" w:hAnsi="Times New Roman"/>
                <w:sz w:val="24"/>
                <w:szCs w:val="24"/>
              </w:rPr>
              <w:t>там отдыха и обратно, к места</w:t>
            </w:r>
            <w:r>
              <w:rPr>
                <w:rFonts w:ascii="Times New Roman" w:hAnsi="Times New Roman"/>
                <w:sz w:val="24"/>
                <w:szCs w:val="24"/>
              </w:rPr>
              <w:t>м проведения  массовых мероприя</w:t>
            </w:r>
            <w:r w:rsidRPr="00026496">
              <w:rPr>
                <w:rFonts w:ascii="Times New Roman" w:hAnsi="Times New Roman"/>
                <w:sz w:val="24"/>
                <w:szCs w:val="24"/>
              </w:rPr>
              <w:t>тий, приобретение билетов» (кругло-годично)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Мероприятие № 4.3. «Оплата ГСМ»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2 642,6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560,0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2 642,6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color w:val="FF0000"/>
                <w:sz w:val="24"/>
                <w:szCs w:val="24"/>
              </w:rPr>
              <w:t>560,0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Награж-дение победи-телейспортив-ныхсоревно-ваний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 по физиче-ской культуре и спорту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администрации МО Кавказ-ский район</w:t>
            </w:r>
          </w:p>
        </w:tc>
      </w:tr>
      <w:tr w:rsidR="004021DD" w:rsidRPr="00026496" w:rsidTr="00774E0B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Услуги аквапарка (приобретение билетов)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коллек-тивовучреж-дений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Прове-дение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экскур-сионныхмероп-риятий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8C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Отдых детей на дневных темати-ческих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4021DD" w:rsidRPr="002868C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8C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6.1 «Приобретение гра-мот, кубков, призов для  проведения куль-турно-массовых меро-приятий в период ор-ганизации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№7 </w:t>
            </w:r>
            <w:r w:rsidRPr="001D01E7">
              <w:rPr>
                <w:rFonts w:ascii="Times New Roman" w:hAnsi="Times New Roman"/>
                <w:b/>
                <w:sz w:val="24"/>
                <w:szCs w:val="24"/>
              </w:rPr>
              <w:t xml:space="preserve">«Оздоровление под-ростков в возрасте от 14 до 17 лет в про-фильных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</w:t>
            </w:r>
            <w:r w:rsidRPr="001D0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 подростков в профиль-ных сменах проводи-мыхдепарта-ментом молодеж-ной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4021DD" w:rsidRPr="00026496" w:rsidTr="00774E0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Кавказс-кий район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№9«Оздоровление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820,0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Амбула-торное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детей с хрониче-скими патало-гиями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здраво-хранения администрации МО Кавказ-ский район</w:t>
            </w:r>
          </w:p>
        </w:tc>
      </w:tr>
      <w:tr w:rsidR="004021DD" w:rsidRPr="00026496" w:rsidTr="00774E0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820,0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Мероприятие № 9.1.  «Приобретение медикаментов для индивидуального  лечения детей, состоя-щих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МБУ «Кропоткинская городская больница» </w:t>
            </w:r>
          </w:p>
        </w:tc>
      </w:tr>
      <w:tr w:rsidR="004021DD" w:rsidRPr="00026496" w:rsidTr="00774E0B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№9.2. «Приобретение меди-каментов для индиви-дуального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МБУ «Кавказ-ская районная больница» </w:t>
            </w:r>
          </w:p>
        </w:tc>
      </w:tr>
      <w:tr w:rsidR="004021DD" w:rsidRPr="00026496" w:rsidTr="00774E0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28 087,3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68E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68E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68E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993" w:type="dxa"/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4 488,9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3375,9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3379,4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3379,4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13 172,5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993" w:type="dxa"/>
            <w:vAlign w:val="center"/>
          </w:tcPr>
          <w:p w:rsidR="004021DD" w:rsidRPr="00C1268E" w:rsidRDefault="004021DD" w:rsidP="00774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1 879,4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1 879,4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DD" w:rsidRPr="00026496" w:rsidTr="00774E0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color w:val="FF0000"/>
                <w:sz w:val="24"/>
                <w:szCs w:val="24"/>
              </w:rPr>
              <w:t>14 914,8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2255,8</w:t>
            </w:r>
          </w:p>
        </w:tc>
        <w:tc>
          <w:tcPr>
            <w:tcW w:w="993" w:type="dxa"/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color w:val="FF0000"/>
                <w:sz w:val="24"/>
                <w:szCs w:val="24"/>
              </w:rPr>
              <w:t>2 613,0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1DD" w:rsidRDefault="004021DD" w:rsidP="004021D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DD" w:rsidRDefault="004021DD" w:rsidP="004021D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63F" w:rsidRPr="00BA7266" w:rsidRDefault="00FD763F" w:rsidP="00FD763F">
      <w:pPr>
        <w:pStyle w:val="1"/>
        <w:jc w:val="right"/>
        <w:rPr>
          <w:b w:val="0"/>
          <w:color w:val="auto"/>
          <w:sz w:val="28"/>
          <w:szCs w:val="28"/>
        </w:rPr>
      </w:pPr>
    </w:p>
    <w:p w:rsidR="00BA7266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639" w:rsidRPr="00BA7266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>З</w:t>
      </w:r>
      <w:r w:rsidR="000D3639" w:rsidRPr="00BA7266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0D3639" w:rsidRPr="00BA7266" w:rsidRDefault="000D3639" w:rsidP="000D3639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BA7266">
        <w:rPr>
          <w:rFonts w:ascii="Times New Roman" w:hAnsi="Times New Roman"/>
          <w:sz w:val="28"/>
          <w:szCs w:val="28"/>
        </w:rPr>
        <w:t xml:space="preserve">образования </w:t>
      </w:r>
      <w:r w:rsidRPr="00BA7266">
        <w:rPr>
          <w:rFonts w:ascii="Times New Roman" w:hAnsi="Times New Roman"/>
          <w:sz w:val="28"/>
        </w:rPr>
        <w:t>Кавказский район</w:t>
      </w:r>
      <w:r w:rsidRPr="00BA7266"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Филатова</w:t>
      </w:r>
    </w:p>
    <w:p w:rsidR="000D3639" w:rsidRPr="00BA7266" w:rsidRDefault="000D3639" w:rsidP="000D3639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BA7266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B6229" w:rsidRPr="00BA7266" w:rsidRDefault="00CB6229" w:rsidP="00CB6229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4807" w:rsidRPr="00D75BEA" w:rsidRDefault="00304807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5" w:name="sub_3000"/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3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D75BE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55"/>
    <w:p w:rsidR="00304807" w:rsidRPr="00D75BEA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D75BEA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D75BEA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D75BEA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D75BEA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D75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75BEA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D75BEA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D75BEA">
        <w:rPr>
          <w:rFonts w:ascii="Times New Roman" w:hAnsi="Times New Roman" w:cs="Times New Roman"/>
          <w:sz w:val="24"/>
          <w:szCs w:val="24"/>
        </w:rPr>
        <w:t>«</w:t>
      </w:r>
      <w:r w:rsidRPr="00D75BEA">
        <w:rPr>
          <w:rFonts w:ascii="Times New Roman" w:hAnsi="Times New Roman" w:cs="Times New Roman"/>
          <w:sz w:val="24"/>
          <w:szCs w:val="24"/>
        </w:rPr>
        <w:t>2</w:t>
      </w:r>
      <w:r w:rsidR="003367A4" w:rsidRPr="00D75BEA">
        <w:rPr>
          <w:rFonts w:ascii="Times New Roman" w:hAnsi="Times New Roman" w:cs="Times New Roman"/>
          <w:sz w:val="24"/>
          <w:szCs w:val="24"/>
        </w:rPr>
        <w:t>»</w:t>
      </w:r>
      <w:r w:rsidRPr="00D75BEA">
        <w:rPr>
          <w:rFonts w:ascii="Times New Roman" w:hAnsi="Times New Roman" w:cs="Times New Roman"/>
          <w:sz w:val="24"/>
          <w:szCs w:val="24"/>
        </w:rPr>
        <w:t>;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D75BEA">
        <w:rPr>
          <w:rFonts w:ascii="Times New Roman" w:hAnsi="Times New Roman" w:cs="Times New Roman"/>
          <w:sz w:val="24"/>
          <w:szCs w:val="24"/>
        </w:rPr>
        <w:t>«</w:t>
      </w:r>
      <w:r w:rsidRPr="00D75BEA">
        <w:rPr>
          <w:rFonts w:ascii="Times New Roman" w:hAnsi="Times New Roman" w:cs="Times New Roman"/>
          <w:sz w:val="24"/>
          <w:szCs w:val="24"/>
        </w:rPr>
        <w:t>3</w:t>
      </w:r>
      <w:r w:rsidR="003367A4" w:rsidRPr="00D75BEA">
        <w:rPr>
          <w:rFonts w:ascii="Times New Roman" w:hAnsi="Times New Roman" w:cs="Times New Roman"/>
          <w:sz w:val="24"/>
          <w:szCs w:val="24"/>
        </w:rPr>
        <w:t>»</w:t>
      </w:r>
      <w:r w:rsidRPr="00D75BEA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D75BEA">
        <w:rPr>
          <w:rFonts w:ascii="Times New Roman" w:hAnsi="Times New Roman" w:cs="Times New Roman"/>
          <w:sz w:val="24"/>
          <w:szCs w:val="24"/>
        </w:rPr>
        <w:t>«</w:t>
      </w:r>
      <w:r w:rsidRPr="00D75BEA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D75BEA">
        <w:rPr>
          <w:rFonts w:ascii="Times New Roman" w:hAnsi="Times New Roman" w:cs="Times New Roman"/>
          <w:sz w:val="24"/>
          <w:szCs w:val="24"/>
        </w:rPr>
        <w:t>»</w:t>
      </w:r>
      <w:r w:rsidRPr="00D75BEA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D75BEA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D75BEA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D75BEA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D75BEA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D75BEA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D75BEA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BEA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D75BEA">
        <w:rPr>
          <w:rFonts w:ascii="Times New Roman" w:hAnsi="Times New Roman" w:cs="Times New Roman"/>
          <w:sz w:val="28"/>
          <w:szCs w:val="28"/>
        </w:rPr>
        <w:tab/>
      </w:r>
    </w:p>
    <w:p w:rsidR="00304807" w:rsidRPr="00BA7266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D75BE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D75BEA">
        <w:rPr>
          <w:rFonts w:ascii="Times New Roman" w:hAnsi="Times New Roman" w:cs="Times New Roman"/>
          <w:sz w:val="28"/>
          <w:szCs w:val="28"/>
        </w:rPr>
        <w:tab/>
      </w:r>
      <w:r w:rsidR="00D75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75BEA" w:rsidRPr="00D75BEA">
        <w:rPr>
          <w:rFonts w:ascii="Times New Roman" w:hAnsi="Times New Roman" w:cs="Times New Roman"/>
          <w:sz w:val="28"/>
          <w:szCs w:val="28"/>
        </w:rPr>
        <w:t xml:space="preserve">С.В.Филатова                                                                                                                                                                           </w:t>
      </w:r>
      <w:r w:rsidRPr="00BA7266">
        <w:rPr>
          <w:rFonts w:ascii="Times New Roman" w:hAnsi="Times New Roman" w:cs="Times New Roman"/>
        </w:rPr>
        <w:tab/>
      </w:r>
      <w:r w:rsidRPr="00BA7266">
        <w:rPr>
          <w:rFonts w:ascii="Times New Roman" w:hAnsi="Times New Roman" w:cs="Times New Roman"/>
        </w:rPr>
        <w:tab/>
      </w:r>
      <w:r w:rsidRPr="00BA7266">
        <w:rPr>
          <w:rFonts w:ascii="Times New Roman" w:hAnsi="Times New Roman" w:cs="Times New Roman"/>
        </w:rPr>
        <w:tab/>
      </w:r>
      <w:r w:rsidRPr="00BA7266">
        <w:rPr>
          <w:rFonts w:ascii="Times New Roman" w:hAnsi="Times New Roman" w:cs="Times New Roman"/>
        </w:rPr>
        <w:tab/>
      </w:r>
    </w:p>
    <w:p w:rsidR="00304807" w:rsidRPr="00BA7266" w:rsidRDefault="00304807" w:rsidP="00304807">
      <w:pPr>
        <w:rPr>
          <w:rFonts w:ascii="Times New Roman" w:hAnsi="Times New Roman" w:cs="Times New Roman"/>
        </w:rPr>
      </w:pPr>
    </w:p>
    <w:p w:rsidR="00304807" w:rsidRPr="00BA7266" w:rsidRDefault="00304807" w:rsidP="00304807">
      <w:pPr>
        <w:rPr>
          <w:rFonts w:ascii="Times New Roman" w:hAnsi="Times New Roman" w:cs="Times New Roman"/>
        </w:rPr>
      </w:pPr>
    </w:p>
    <w:p w:rsidR="00304807" w:rsidRPr="00BA7266" w:rsidRDefault="00304807" w:rsidP="00304807">
      <w:pPr>
        <w:rPr>
          <w:rFonts w:ascii="Times New Roman" w:hAnsi="Times New Roman" w:cs="Times New Roman"/>
        </w:rPr>
      </w:pPr>
    </w:p>
    <w:p w:rsidR="00304807" w:rsidRPr="00BA7266" w:rsidRDefault="00304807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4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BA726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4021DD" w:rsidRPr="00026496" w:rsidRDefault="004021DD" w:rsidP="004021DD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496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 «Организация отдыха, оздоровления</w:t>
      </w:r>
    </w:p>
    <w:p w:rsidR="004021DD" w:rsidRPr="00026496" w:rsidRDefault="004021DD" w:rsidP="004021DD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496">
        <w:rPr>
          <w:rFonts w:ascii="Times New Roman" w:hAnsi="Times New Roman" w:cs="Times New Roman"/>
          <w:sz w:val="28"/>
          <w:szCs w:val="28"/>
        </w:rPr>
        <w:t xml:space="preserve">и занятости детей и подростков» </w:t>
      </w:r>
    </w:p>
    <w:p w:rsidR="004021DD" w:rsidRPr="00026496" w:rsidRDefault="004021DD" w:rsidP="004021DD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4021DD" w:rsidRPr="00026496" w:rsidTr="00774E0B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финан-сиро-вания,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тыс.руб.</w:t>
            </w:r>
          </w:p>
        </w:tc>
        <w:tc>
          <w:tcPr>
            <w:tcW w:w="7513" w:type="dxa"/>
            <w:gridSpan w:val="7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од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4021DD" w:rsidRPr="00026496" w:rsidTr="00774E0B">
        <w:tc>
          <w:tcPr>
            <w:tcW w:w="710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021DD" w:rsidRPr="00026496" w:rsidTr="00774E0B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№1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418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16994,1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2563,0</w:t>
            </w:r>
          </w:p>
        </w:tc>
        <w:tc>
          <w:tcPr>
            <w:tcW w:w="1134" w:type="dxa"/>
            <w:vAlign w:val="center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2718,0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12660,3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1823,0</w:t>
            </w:r>
          </w:p>
        </w:tc>
        <w:tc>
          <w:tcPr>
            <w:tcW w:w="1134" w:type="dxa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color w:val="FF0000"/>
                <w:sz w:val="28"/>
                <w:szCs w:val="28"/>
              </w:rPr>
              <w:t>4 333,8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  <w:tc>
          <w:tcPr>
            <w:tcW w:w="1134" w:type="dxa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color w:val="FF0000"/>
                <w:sz w:val="28"/>
                <w:szCs w:val="28"/>
              </w:rPr>
              <w:t>923,0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№2 «Организация   работы «Лагерей труда и отдыха дневного  и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№3 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3839,0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522,4</w:t>
            </w:r>
          </w:p>
        </w:tc>
        <w:tc>
          <w:tcPr>
            <w:tcW w:w="1134" w:type="dxa"/>
            <w:vAlign w:val="center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564,4</w:t>
            </w:r>
          </w:p>
        </w:tc>
        <w:tc>
          <w:tcPr>
            <w:tcW w:w="992" w:type="dxa"/>
            <w:vAlign w:val="center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960">
              <w:rPr>
                <w:rFonts w:ascii="Times New Roman" w:hAnsi="Times New Roman"/>
                <w:b/>
                <w:sz w:val="28"/>
                <w:szCs w:val="28"/>
              </w:rPr>
              <w:t>480,9</w:t>
            </w:r>
          </w:p>
        </w:tc>
        <w:tc>
          <w:tcPr>
            <w:tcW w:w="992" w:type="dxa"/>
            <w:vAlign w:val="center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960">
              <w:rPr>
                <w:rFonts w:ascii="Times New Roman" w:hAnsi="Times New Roman"/>
                <w:b/>
                <w:sz w:val="28"/>
                <w:szCs w:val="28"/>
              </w:rPr>
              <w:t>484,4</w:t>
            </w:r>
          </w:p>
        </w:tc>
        <w:tc>
          <w:tcPr>
            <w:tcW w:w="993" w:type="dxa"/>
            <w:vAlign w:val="center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960">
              <w:rPr>
                <w:rFonts w:ascii="Times New Roman" w:hAnsi="Times New Roman"/>
                <w:b/>
                <w:sz w:val="28"/>
                <w:szCs w:val="28"/>
              </w:rPr>
              <w:t>484,4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512,2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134" w:type="dxa"/>
            <w:vAlign w:val="center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992" w:type="dxa"/>
            <w:vAlign w:val="center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0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992" w:type="dxa"/>
            <w:vAlign w:val="center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0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  <w:tc>
          <w:tcPr>
            <w:tcW w:w="993" w:type="dxa"/>
            <w:vAlign w:val="center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0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</w:tr>
      <w:tr w:rsidR="004021DD" w:rsidRPr="00026496" w:rsidTr="00774E0B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3326,8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134" w:type="dxa"/>
          </w:tcPr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8D0037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483,5</w:t>
            </w:r>
          </w:p>
        </w:tc>
        <w:tc>
          <w:tcPr>
            <w:tcW w:w="992" w:type="dxa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</w:tcPr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F53960" w:rsidRDefault="004021DD" w:rsidP="0077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5376,6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4021DD" w:rsidRPr="008D003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jc w:val="center"/>
              <w:rPr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color w:val="FF0000"/>
                <w:sz w:val="28"/>
                <w:szCs w:val="28"/>
              </w:rPr>
              <w:t>5376,6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4021DD" w:rsidRPr="008D0037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color w:val="FF0000"/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4021DD" w:rsidRPr="00026496" w:rsidRDefault="004021DD" w:rsidP="00774E0B">
            <w:pPr>
              <w:jc w:val="center"/>
              <w:rPr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4021DD" w:rsidRPr="00026496" w:rsidRDefault="004021DD" w:rsidP="00774E0B">
            <w:pPr>
              <w:jc w:val="center"/>
              <w:rPr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037">
              <w:rPr>
                <w:rFonts w:ascii="Times New Roman" w:hAnsi="Times New Roman"/>
                <w:b/>
                <w:sz w:val="28"/>
                <w:szCs w:val="28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8D0037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037"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7B5">
              <w:rPr>
                <w:rFonts w:ascii="Times New Roman" w:hAnsi="Times New Roman"/>
                <w:sz w:val="28"/>
                <w:szCs w:val="28"/>
              </w:rPr>
              <w:t>Основное мероприятие №7</w:t>
            </w:r>
            <w:r w:rsidRPr="000B4F1E">
              <w:rPr>
                <w:rFonts w:ascii="Times New Roman" w:hAnsi="Times New Roman"/>
                <w:sz w:val="28"/>
                <w:szCs w:val="28"/>
              </w:rPr>
              <w:t xml:space="preserve">«Оздоровление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B4F1E">
              <w:rPr>
                <w:rFonts w:ascii="Times New Roman" w:hAnsi="Times New Roman"/>
                <w:sz w:val="28"/>
                <w:szCs w:val="28"/>
              </w:rPr>
              <w:t xml:space="preserve">ростков в </w:t>
            </w:r>
            <w:r w:rsidRPr="000B4F1E">
              <w:rPr>
                <w:rFonts w:ascii="Times New Roman" w:hAnsi="Times New Roman"/>
                <w:sz w:val="28"/>
                <w:szCs w:val="28"/>
              </w:rPr>
              <w:lastRenderedPageBreak/>
              <w:t>возрасте от 14 до 17 лет в про-фильных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D" w:rsidRPr="00026496" w:rsidRDefault="004021DD" w:rsidP="00774E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</w:tr>
      <w:tr w:rsidR="004021DD" w:rsidRPr="00026496" w:rsidTr="00774E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28 087,3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68E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4 488,9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8E">
              <w:rPr>
                <w:rFonts w:ascii="Times New Roman" w:hAnsi="Times New Roman"/>
                <w:b/>
                <w:sz w:val="28"/>
                <w:szCs w:val="28"/>
              </w:rPr>
              <w:t>3375,9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3379,4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3379,4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13 172,5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C1268E" w:rsidRDefault="004021DD" w:rsidP="00774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8E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C1268E" w:rsidRDefault="004021DD" w:rsidP="00774E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1875,9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1 879,4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1 879,4</w:t>
            </w:r>
          </w:p>
        </w:tc>
      </w:tr>
      <w:tr w:rsidR="004021DD" w:rsidRPr="00026496" w:rsidTr="00774E0B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026496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color w:val="FF0000"/>
                <w:sz w:val="24"/>
                <w:szCs w:val="24"/>
              </w:rPr>
              <w:t>14 914,8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DD" w:rsidRPr="00C1268E" w:rsidRDefault="004021DD" w:rsidP="00774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2255,8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8D0037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0037">
              <w:rPr>
                <w:rFonts w:ascii="Times New Roman" w:hAnsi="Times New Roman"/>
                <w:color w:val="FF0000"/>
                <w:sz w:val="24"/>
                <w:szCs w:val="24"/>
              </w:rPr>
              <w:t>2 613,0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C1268E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8E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DD" w:rsidRPr="00026496" w:rsidRDefault="004021DD" w:rsidP="00774E0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</w:tr>
    </w:tbl>
    <w:p w:rsidR="00BA7266" w:rsidRPr="00BA7266" w:rsidRDefault="00BA7266" w:rsidP="00BA7266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</w:p>
    <w:p w:rsidR="00BA7266" w:rsidRPr="00BA7266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Pr="00BA7266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Pr="00BA7266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BA7266" w:rsidRPr="00BA7266" w:rsidRDefault="00BA7266" w:rsidP="00BA7266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</w:p>
    <w:p w:rsidR="00BA7266" w:rsidRPr="00FD763F" w:rsidRDefault="00BA7266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sectPr w:rsidR="00BA7266" w:rsidRPr="00FD763F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9D" w:rsidRDefault="00D81E9D" w:rsidP="00A72358">
      <w:pPr>
        <w:spacing w:after="0" w:line="240" w:lineRule="auto"/>
      </w:pPr>
      <w:r>
        <w:separator/>
      </w:r>
    </w:p>
  </w:endnote>
  <w:endnote w:type="continuationSeparator" w:id="1">
    <w:p w:rsidR="00D81E9D" w:rsidRDefault="00D81E9D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9D" w:rsidRDefault="00D81E9D" w:rsidP="00A72358">
      <w:pPr>
        <w:spacing w:after="0" w:line="240" w:lineRule="auto"/>
      </w:pPr>
      <w:r>
        <w:separator/>
      </w:r>
    </w:p>
  </w:footnote>
  <w:footnote w:type="continuationSeparator" w:id="1">
    <w:p w:rsidR="00D81E9D" w:rsidRDefault="00D81E9D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"/>
  </w:num>
  <w:num w:numId="5">
    <w:abstractNumId w:val="11"/>
  </w:num>
  <w:num w:numId="6">
    <w:abstractNumId w:val="13"/>
  </w:num>
  <w:num w:numId="7">
    <w:abstractNumId w:val="16"/>
  </w:num>
  <w:num w:numId="8">
    <w:abstractNumId w:val="1"/>
  </w:num>
  <w:num w:numId="9">
    <w:abstractNumId w:val="6"/>
  </w:num>
  <w:num w:numId="10">
    <w:abstractNumId w:val="9"/>
  </w:num>
  <w:num w:numId="11">
    <w:abstractNumId w:val="17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7132C"/>
    <w:rsid w:val="000D3639"/>
    <w:rsid w:val="00175056"/>
    <w:rsid w:val="001E059A"/>
    <w:rsid w:val="00201A68"/>
    <w:rsid w:val="00213259"/>
    <w:rsid w:val="00234314"/>
    <w:rsid w:val="00244E4D"/>
    <w:rsid w:val="00263838"/>
    <w:rsid w:val="002834D7"/>
    <w:rsid w:val="002A5AD5"/>
    <w:rsid w:val="00304807"/>
    <w:rsid w:val="0032126A"/>
    <w:rsid w:val="003367A4"/>
    <w:rsid w:val="003434B8"/>
    <w:rsid w:val="00344111"/>
    <w:rsid w:val="00345282"/>
    <w:rsid w:val="003537ED"/>
    <w:rsid w:val="003B03F4"/>
    <w:rsid w:val="004021DD"/>
    <w:rsid w:val="00457DF6"/>
    <w:rsid w:val="00486629"/>
    <w:rsid w:val="00486BD7"/>
    <w:rsid w:val="00522CA0"/>
    <w:rsid w:val="005270A6"/>
    <w:rsid w:val="005C722A"/>
    <w:rsid w:val="00602704"/>
    <w:rsid w:val="0064106C"/>
    <w:rsid w:val="00652688"/>
    <w:rsid w:val="006A012E"/>
    <w:rsid w:val="006A2906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B7C5F"/>
    <w:rsid w:val="007E6E98"/>
    <w:rsid w:val="0080326C"/>
    <w:rsid w:val="00821428"/>
    <w:rsid w:val="00845749"/>
    <w:rsid w:val="008578E1"/>
    <w:rsid w:val="00857D5C"/>
    <w:rsid w:val="00897110"/>
    <w:rsid w:val="008E54BE"/>
    <w:rsid w:val="0094238D"/>
    <w:rsid w:val="00973DB8"/>
    <w:rsid w:val="00A26F20"/>
    <w:rsid w:val="00A70C7F"/>
    <w:rsid w:val="00A72358"/>
    <w:rsid w:val="00AE220E"/>
    <w:rsid w:val="00AE6E47"/>
    <w:rsid w:val="00B324FF"/>
    <w:rsid w:val="00BA7266"/>
    <w:rsid w:val="00BB2409"/>
    <w:rsid w:val="00C00C85"/>
    <w:rsid w:val="00CB1DB0"/>
    <w:rsid w:val="00CB6229"/>
    <w:rsid w:val="00CC3233"/>
    <w:rsid w:val="00CD5DBE"/>
    <w:rsid w:val="00D02BDC"/>
    <w:rsid w:val="00D30BDC"/>
    <w:rsid w:val="00D50294"/>
    <w:rsid w:val="00D75BEA"/>
    <w:rsid w:val="00D81E9D"/>
    <w:rsid w:val="00DA1635"/>
    <w:rsid w:val="00DB7808"/>
    <w:rsid w:val="00DC5C12"/>
    <w:rsid w:val="00E27A24"/>
    <w:rsid w:val="00E34473"/>
    <w:rsid w:val="00E7062A"/>
    <w:rsid w:val="00E825CE"/>
    <w:rsid w:val="00E83C9D"/>
    <w:rsid w:val="00EB2B65"/>
    <w:rsid w:val="00EB54E2"/>
    <w:rsid w:val="00ED1CD5"/>
    <w:rsid w:val="00EF12DE"/>
    <w:rsid w:val="00F03D73"/>
    <w:rsid w:val="00F56E56"/>
    <w:rsid w:val="00F716D7"/>
    <w:rsid w:val="00FA6AB5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fontTable" Target="fontTable.xm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CC9B-DF0E-4E0B-88F6-5C50A10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10965</Words>
  <Characters>62504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1111</cp:lastModifiedBy>
  <cp:revision>4</cp:revision>
  <dcterms:created xsi:type="dcterms:W3CDTF">2018-06-20T19:26:00Z</dcterms:created>
  <dcterms:modified xsi:type="dcterms:W3CDTF">2018-06-21T05:58:00Z</dcterms:modified>
</cp:coreProperties>
</file>