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</w:t>
      </w:r>
      <w:proofErr w:type="gramStart"/>
      <w:r w:rsidR="003C3B7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E40C3D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8F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бесплатных консультаций МБУ 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 w:rsidR="00345F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45903" w:rsidRPr="00A22C24" w:rsidRDefault="00345F71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платных услуг МБУ 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ИКЦ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МСП</w:t>
            </w:r>
            <w:r w:rsidR="00545903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3C3B78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B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16391,0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 </w:t>
            </w:r>
            <w:r w:rsidR="002105B8">
              <w:rPr>
                <w:rFonts w:ascii="Times New Roman" w:hAnsi="Times New Roman"/>
                <w:sz w:val="28"/>
                <w:szCs w:val="28"/>
                <w:lang w:val="ru-RU"/>
              </w:rPr>
              <w:t>год – 13966,5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2B7BC6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17342,7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3C3B7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16201,5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3C3B7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E5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16114,5</w:t>
            </w:r>
            <w:r w:rsidR="00151D6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дже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 – </w:t>
            </w:r>
            <w:r w:rsidR="00A638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77802,5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  <w:r w:rsidR="005B1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</w:t>
            </w:r>
          </w:p>
          <w:p w:rsidR="00B04E02" w:rsidRPr="00B04E02" w:rsidRDefault="002105B8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8642,5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F61B7B" w:rsidP="002B7BC6">
            <w:pPr>
              <w:widowControl w:val="0"/>
              <w:tabs>
                <w:tab w:val="left" w:pos="4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 год –   12857,2</w:t>
            </w:r>
            <w:r w:rsidR="00963F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  <w:r w:rsidR="002B7B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11544,5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="00A132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A638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3323,5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F61B7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 4485,5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 4657,0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638EB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-  4570,0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A1326E">
              <w:rPr>
                <w:rFonts w:ascii="Times New Roman" w:hAnsi="Times New Roman"/>
                <w:sz w:val="28"/>
                <w:szCs w:val="28"/>
                <w:lang w:val="ru-RU"/>
              </w:rPr>
              <w:t>ет  внебюджетных источников – 12</w:t>
            </w:r>
            <w:r w:rsidR="000A207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F5163D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60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A1326E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год -   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>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подпрограмме «Стимулирование и повышение эффективности труда в сельскохозяйственном производстве» за счет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1775" w:rsidRPr="00B04E02" w:rsidRDefault="00D71775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192B1E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3C3B78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6024D6" w:rsidP="00DD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  <w:r w:rsidR="00290632">
              <w:rPr>
                <w:rFonts w:ascii="Times New Roman" w:hAnsi="Times New Roman"/>
                <w:b/>
                <w:bCs/>
                <w:kern w:val="32"/>
                <w:lang w:val="ru-RU"/>
              </w:rPr>
              <w:t>16391,0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29063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77802,5</w:t>
            </w:r>
          </w:p>
        </w:tc>
        <w:tc>
          <w:tcPr>
            <w:tcW w:w="1134" w:type="dxa"/>
          </w:tcPr>
          <w:p w:rsidR="00505F40" w:rsidRPr="00E867E0" w:rsidRDefault="004F4B7D" w:rsidP="004F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290632">
              <w:rPr>
                <w:rFonts w:ascii="Times New Roman" w:hAnsi="Times New Roman"/>
                <w:b/>
                <w:bCs/>
                <w:kern w:val="32"/>
                <w:lang w:val="ru-RU"/>
              </w:rPr>
              <w:t>3323,5</w:t>
            </w:r>
          </w:p>
        </w:tc>
        <w:tc>
          <w:tcPr>
            <w:tcW w:w="992" w:type="dxa"/>
          </w:tcPr>
          <w:p w:rsidR="00505F40" w:rsidRPr="000C5CA8" w:rsidRDefault="004F4B7D" w:rsidP="004F4B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bCs/>
                <w:kern w:val="32"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F5163D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DF418A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E17229">
              <w:rPr>
                <w:rFonts w:ascii="Times New Roman" w:hAnsi="Times New Roman"/>
                <w:bCs/>
                <w:kern w:val="32"/>
                <w:lang w:val="ru-RU"/>
              </w:rPr>
              <w:t>642,</w:t>
            </w:r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F5163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6024D6">
              <w:rPr>
                <w:rFonts w:ascii="Times New Roman" w:hAnsi="Times New Roman"/>
                <w:lang w:val="ru-RU"/>
              </w:rPr>
              <w:t>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6024D6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12857,2</w:t>
            </w:r>
          </w:p>
        </w:tc>
        <w:tc>
          <w:tcPr>
            <w:tcW w:w="1134" w:type="dxa"/>
          </w:tcPr>
          <w:p w:rsidR="00505F40" w:rsidRPr="00E867E0" w:rsidRDefault="0089149F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505F40" w:rsidRDefault="00505F40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6201,5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657,0</w:t>
            </w:r>
          </w:p>
        </w:tc>
        <w:tc>
          <w:tcPr>
            <w:tcW w:w="992" w:type="dxa"/>
          </w:tcPr>
          <w:p w:rsidR="00A22C24" w:rsidRDefault="00A22C24" w:rsidP="00CE141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CE141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1E63BD">
              <w:rPr>
                <w:rFonts w:ascii="Times New Roman" w:hAnsi="Times New Roman"/>
                <w:lang w:val="ru-RU"/>
              </w:rPr>
              <w:t>6114,5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1E63BD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11544,5</w:t>
            </w:r>
          </w:p>
        </w:tc>
        <w:tc>
          <w:tcPr>
            <w:tcW w:w="1134" w:type="dxa"/>
          </w:tcPr>
          <w:p w:rsidR="00A22C24" w:rsidRPr="00E867E0" w:rsidRDefault="00A22C24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570,0</w:t>
            </w:r>
          </w:p>
        </w:tc>
        <w:tc>
          <w:tcPr>
            <w:tcW w:w="992" w:type="dxa"/>
          </w:tcPr>
          <w:p w:rsidR="00A22C24" w:rsidRDefault="00A22C24" w:rsidP="00DF418A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0A2071" w:rsidP="000A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6986,7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956,5</w:t>
            </w:r>
          </w:p>
        </w:tc>
        <w:tc>
          <w:tcPr>
            <w:tcW w:w="1134" w:type="dxa"/>
          </w:tcPr>
          <w:p w:rsidR="00505F40" w:rsidRPr="00E867E0" w:rsidRDefault="005622C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31</w:t>
            </w:r>
            <w:r w:rsidR="001E63BD">
              <w:rPr>
                <w:rFonts w:ascii="Times New Roman" w:hAnsi="Times New Roman"/>
                <w:b/>
                <w:bCs/>
                <w:kern w:val="32"/>
                <w:lang w:val="ru-RU"/>
              </w:rPr>
              <w:t>830,2</w:t>
            </w:r>
          </w:p>
        </w:tc>
        <w:tc>
          <w:tcPr>
            <w:tcW w:w="992" w:type="dxa"/>
          </w:tcPr>
          <w:p w:rsidR="00505F40" w:rsidRPr="000C5CA8" w:rsidRDefault="003D08A3" w:rsidP="00CE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="000A2071">
              <w:rPr>
                <w:rFonts w:ascii="Times New Roman" w:hAnsi="Times New Roman"/>
                <w:b/>
                <w:lang w:val="ru-RU"/>
              </w:rPr>
              <w:t>0</w:t>
            </w:r>
            <w:r w:rsidR="00505F40">
              <w:rPr>
                <w:rFonts w:ascii="Times New Roman" w:hAnsi="Times New Roman"/>
                <w:b/>
                <w:lang w:val="ru-RU"/>
              </w:rPr>
              <w:t>0</w:t>
            </w:r>
            <w:r w:rsidR="00505F40"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622C2">
              <w:rPr>
                <w:rFonts w:ascii="Times New Roman" w:hAnsi="Times New Roman"/>
                <w:bCs/>
                <w:kern w:val="32"/>
                <w:lang w:val="ru-RU"/>
              </w:rPr>
              <w:t>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0A207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60</w:t>
            </w:r>
            <w:r w:rsidR="00505F4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F13E5E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88,7</w:t>
            </w:r>
          </w:p>
        </w:tc>
        <w:tc>
          <w:tcPr>
            <w:tcW w:w="1134" w:type="dxa"/>
          </w:tcPr>
          <w:p w:rsidR="00505F40" w:rsidRPr="00E867E0" w:rsidRDefault="00505F40" w:rsidP="005C2519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  <w:r w:rsidR="003D08A3">
              <w:rPr>
                <w:rFonts w:ascii="Times New Roman" w:hAnsi="Times New Roman"/>
                <w:bCs/>
                <w:kern w:val="32"/>
                <w:lang w:val="ru-RU"/>
              </w:rPr>
              <w:t>5,</w:t>
            </w:r>
            <w:r w:rsidR="005C2519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5622C2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</w:t>
            </w:r>
            <w:r w:rsidR="001E63BD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562E89"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457,0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3D08A3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622C2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987,3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62E89" w:rsidP="00CE141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05F40" w:rsidRPr="00E867E0" w:rsidRDefault="00505F40" w:rsidP="00CE141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2E89">
              <w:rPr>
                <w:rFonts w:ascii="Times New Roman" w:hAnsi="Times New Roman"/>
                <w:bCs/>
                <w:kern w:val="32"/>
                <w:lang w:val="ru-RU"/>
              </w:rPr>
              <w:t>370,0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74582,0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62E89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70517,0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B553C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E1722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841,3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6024D6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Pr="009B251A" w:rsidRDefault="006024D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11743,7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B51D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B51D5" w:rsidRPr="000C5CA8" w:rsidRDefault="005B51D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51D5" w:rsidRPr="009B251A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B51D5" w:rsidRDefault="00562E89" w:rsidP="005B51D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10402,4</w:t>
            </w:r>
          </w:p>
        </w:tc>
        <w:tc>
          <w:tcPr>
            <w:tcW w:w="1134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B51D5" w:rsidRPr="000C5CA8" w:rsidRDefault="005B51D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3329,0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3329,0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F5163D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DD319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</w:t>
            </w:r>
            <w:r w:rsidR="00DC4875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B0F0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AB0F0E" w:rsidP="00CE141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B0F0E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B0F0E" w:rsidRPr="000C5CA8" w:rsidRDefault="00AB0F0E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F0E" w:rsidRDefault="00AB0F0E" w:rsidP="00AB0F0E">
            <w:pPr>
              <w:jc w:val="center"/>
            </w:pPr>
            <w:r w:rsidRPr="009B2FE9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B0F0E" w:rsidRDefault="00AB0F0E" w:rsidP="00AB0F0E">
            <w:pPr>
              <w:jc w:val="center"/>
            </w:pPr>
            <w:r w:rsidRPr="0023493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B0F0E" w:rsidRPr="000C5CA8" w:rsidRDefault="00AB0F0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</w:t>
      </w:r>
      <w:r w:rsidRPr="00A22C24">
        <w:rPr>
          <w:rFonts w:ascii="Times New Roman" w:eastAsia="Calibri" w:hAnsi="Times New Roman"/>
          <w:sz w:val="28"/>
          <w:szCs w:val="28"/>
          <w:lang w:val="ru-RU"/>
        </w:rPr>
        <w:lastRenderedPageBreak/>
        <w:t>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3C3B78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lastRenderedPageBreak/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 Кавказский район</w:t>
            </w:r>
          </w:p>
        </w:tc>
      </w:tr>
      <w:tr w:rsidR="00140E13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3C3B78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3C3B78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субсидий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5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4"/>
      <w:bookmarkEnd w:id="17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302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4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503"/>
      <w:bookmarkEnd w:id="26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2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703"/>
      <w:bookmarkEnd w:id="33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9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43337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="00433376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3C3B78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3C3B78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3C3B78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3C3B78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376F87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91C1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  <w:p w:rsidR="00591C16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91C1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 w:rsidR="00345F71"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E517A5" w:rsidRDefault="00047DD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345F71" w:rsidP="00345F71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="00563D73"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4E3B7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3C3B78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3C3B78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2C0EAA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433376" w:rsidRDefault="003A5AC7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4E3B75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350</w:t>
            </w:r>
          </w:p>
        </w:tc>
      </w:tr>
      <w:tr w:rsidR="00563D73" w:rsidRPr="003C3B78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3C3B78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3C3B78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3C3B78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3C3B78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3C3B78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3C3B78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2C0EAA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 w:rsidR="002C0EAA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2C0EA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573C5" w:rsidRPr="00A22C24" w:rsidRDefault="00E573C5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1217"/>
        <w:gridCol w:w="1134"/>
        <w:gridCol w:w="993"/>
        <w:gridCol w:w="1050"/>
        <w:gridCol w:w="1134"/>
        <w:gridCol w:w="1218"/>
        <w:gridCol w:w="1211"/>
      </w:tblGrid>
      <w:tr w:rsidR="00092B69" w:rsidRPr="003C3B78" w:rsidTr="0049190A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512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2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49190A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50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49190A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217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1050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2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</w:t>
            </w:r>
            <w:r w:rsidR="00DA6D1C">
              <w:rPr>
                <w:rFonts w:ascii="Times New Roman" w:hAnsi="Times New Roman"/>
                <w:lang w:val="ru-RU"/>
              </w:rPr>
              <w:t>6</w:t>
            </w:r>
            <w:r w:rsidR="00817C8C">
              <w:rPr>
                <w:rFonts w:ascii="Times New Roman" w:hAnsi="Times New Roman"/>
                <w:lang w:val="ru-RU"/>
              </w:rPr>
              <w:t>986,7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2F25F2">
              <w:rPr>
                <w:rFonts w:ascii="Times New Roman" w:hAnsi="Times New Roman"/>
                <w:lang w:val="ru-RU"/>
              </w:rPr>
              <w:t>629,3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48</w:t>
            </w:r>
            <w:r w:rsidR="005B4F07">
              <w:rPr>
                <w:rFonts w:ascii="Times New Roman" w:hAnsi="Times New Roman"/>
                <w:lang w:val="ru-RU"/>
              </w:rPr>
              <w:t>74,2</w:t>
            </w:r>
          </w:p>
        </w:tc>
        <w:tc>
          <w:tcPr>
            <w:tcW w:w="993" w:type="dxa"/>
          </w:tcPr>
          <w:p w:rsidR="00D97AFC" w:rsidRPr="00E867E0" w:rsidRDefault="00817C8C" w:rsidP="00CE1415">
            <w:r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050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987,3</w:t>
            </w:r>
          </w:p>
        </w:tc>
        <w:tc>
          <w:tcPr>
            <w:tcW w:w="1134" w:type="dxa"/>
          </w:tcPr>
          <w:p w:rsidR="00D97AFC" w:rsidRPr="00E867E0" w:rsidRDefault="00A9793D" w:rsidP="00CE1415"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987,3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17C8C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21C87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17C8C">
              <w:rPr>
                <w:rFonts w:ascii="Times New Roman" w:hAnsi="Times New Roman"/>
                <w:color w:val="000000"/>
                <w:lang w:val="ru-RU"/>
              </w:rPr>
              <w:t>830,2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1C87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591C1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965402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F21C8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</w:t>
            </w:r>
            <w:r w:rsidR="00345F71">
              <w:rPr>
                <w:rFonts w:ascii="Times New Roman" w:hAnsi="Times New Roman"/>
                <w:lang w:val="ru-RU"/>
              </w:rPr>
              <w:t xml:space="preserve"> обеспечение деятельности МБУ «</w:t>
            </w:r>
            <w:r w:rsidRPr="00A22C24">
              <w:rPr>
                <w:rFonts w:ascii="Times New Roman" w:hAnsi="Times New Roman"/>
                <w:lang w:val="ru-RU"/>
              </w:rPr>
              <w:t>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269</w:t>
            </w:r>
            <w:r w:rsidR="00965402">
              <w:rPr>
                <w:rFonts w:ascii="Times New Roman" w:hAnsi="Times New Roman"/>
                <w:color w:val="000000"/>
                <w:lang w:val="ru-RU"/>
              </w:rPr>
              <w:t>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1060</w:t>
            </w:r>
            <w:r w:rsidR="00D97AFC"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50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</w:tcPr>
          <w:p w:rsidR="00D97AFC" w:rsidRPr="00C31F2D" w:rsidRDefault="00C31F2D" w:rsidP="00C31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345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МБУ «ИКЦ</w:t>
            </w:r>
            <w:r w:rsidR="00345F71">
              <w:rPr>
                <w:rFonts w:ascii="Times New Roman" w:hAnsi="Times New Roman"/>
                <w:lang w:val="ru-RU"/>
              </w:rPr>
              <w:t xml:space="preserve"> МСП» </w:t>
            </w: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149</w:t>
            </w:r>
            <w:r w:rsidR="00D97AFC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D97AFC"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17" w:type="dxa"/>
          </w:tcPr>
          <w:p w:rsidR="00D97AFC" w:rsidRPr="000C5CA8" w:rsidRDefault="00D97AFC" w:rsidP="00F21C87">
            <w:pPr>
              <w:jc w:val="center"/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50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</w:tcPr>
          <w:p w:rsidR="00D97AFC" w:rsidRPr="00F21C87" w:rsidRDefault="00F21C87" w:rsidP="00F21C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31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31F2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17" w:type="dxa"/>
            <w:vAlign w:val="center"/>
          </w:tcPr>
          <w:p w:rsidR="00D97AFC" w:rsidRPr="000C5CA8" w:rsidRDefault="002F25F2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  <w:r w:rsidR="00D97AF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C31F2D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="00D97AFC" w:rsidRPr="000C5C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CE141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</w:tcPr>
          <w:p w:rsidR="00D97AFC" w:rsidRDefault="00D97AFC" w:rsidP="00CE141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A9793D">
              <w:rPr>
                <w:rFonts w:ascii="Times New Roman" w:hAnsi="Times New Roman"/>
                <w:lang w:val="ru-RU"/>
              </w:rPr>
              <w:t>2</w:t>
            </w:r>
            <w:r w:rsidR="005B4F07">
              <w:rPr>
                <w:rFonts w:ascii="Times New Roman" w:hAnsi="Times New Roman"/>
                <w:lang w:val="ru-RU"/>
              </w:rPr>
              <w:t>85,5</w:t>
            </w:r>
          </w:p>
        </w:tc>
        <w:tc>
          <w:tcPr>
            <w:tcW w:w="993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</w:tcPr>
          <w:p w:rsidR="00D97AFC" w:rsidRDefault="00D97AFC" w:rsidP="00A9793D"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817C8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30331,2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17" w:type="dxa"/>
            <w:vAlign w:val="center"/>
          </w:tcPr>
          <w:p w:rsidR="00D97AFC" w:rsidRDefault="00D97AFC" w:rsidP="00CE141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5B4F07">
              <w:rPr>
                <w:rFonts w:ascii="Times New Roman" w:hAnsi="Times New Roman"/>
                <w:lang w:val="ru-RU"/>
              </w:rPr>
              <w:t>285,5</w:t>
            </w:r>
          </w:p>
        </w:tc>
        <w:tc>
          <w:tcPr>
            <w:tcW w:w="993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Default="00D97AFC" w:rsidP="00A9793D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</w:t>
            </w:r>
            <w:r w:rsidR="00817C8C"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72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97255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617,6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C720D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897255">
              <w:rPr>
                <w:rFonts w:ascii="Times New Roman" w:hAnsi="Times New Roman"/>
                <w:lang w:val="ru-RU"/>
              </w:rPr>
              <w:t>956,5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C276B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993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050" w:type="dxa"/>
            <w:vAlign w:val="center"/>
          </w:tcPr>
          <w:p w:rsidR="00D97AFC" w:rsidRPr="00E867E0" w:rsidRDefault="0089725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134" w:type="dxa"/>
            <w:vAlign w:val="center"/>
          </w:tcPr>
          <w:p w:rsidR="00D97AFC" w:rsidRPr="00E867E0" w:rsidRDefault="00897255" w:rsidP="00C2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74582,0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906007" w:rsidRDefault="006024D6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  <w:sz w:val="22"/>
                <w:szCs w:val="22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  <w:sz w:val="22"/>
                <w:szCs w:val="22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906007" w:rsidRDefault="0049190A" w:rsidP="0077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49190A" w:rsidP="00E8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70517,0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6024D6" w:rsidP="00CE1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  <w:sz w:val="22"/>
                <w:szCs w:val="22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49190A" w:rsidRDefault="0049190A" w:rsidP="004919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867CDB" w:rsidRDefault="0049190A" w:rsidP="004919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</w:t>
            </w:r>
            <w:r w:rsidR="002F0F20">
              <w:rPr>
                <w:rFonts w:ascii="Times New Roman" w:hAnsi="Times New Roman"/>
                <w:lang w:val="ru-RU"/>
              </w:rPr>
              <w:t>я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217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F44F6" w:rsidRPr="003C3B78" w:rsidTr="0049190A">
        <w:tc>
          <w:tcPr>
            <w:tcW w:w="675" w:type="dxa"/>
            <w:vMerge w:val="restart"/>
          </w:tcPr>
          <w:p w:rsidR="008F44F6" w:rsidRPr="000C5CA8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8F44F6" w:rsidRPr="000C5CA8" w:rsidRDefault="008F44F6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8F44F6" w:rsidRPr="000C5CA8" w:rsidRDefault="0049190A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69841,0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8F44F6" w:rsidRPr="000C5CA8" w:rsidRDefault="008F44F6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134" w:type="dxa"/>
            <w:vAlign w:val="center"/>
          </w:tcPr>
          <w:p w:rsidR="008F44F6" w:rsidRPr="00E867E0" w:rsidRDefault="009E6335" w:rsidP="0086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8F44F6" w:rsidRPr="0049190A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190A"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8F44F6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8F44F6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 w:val="restart"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хозяйствования</w:t>
            </w:r>
          </w:p>
        </w:tc>
        <w:tc>
          <w:tcPr>
            <w:tcW w:w="1211" w:type="dxa"/>
            <w:vMerge/>
          </w:tcPr>
          <w:p w:rsidR="008F44F6" w:rsidRPr="00A22C24" w:rsidRDefault="008F44F6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69841,0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517A5">
              <w:rPr>
                <w:rFonts w:ascii="Times New Roman" w:hAnsi="Times New Roman"/>
                <w:lang w:val="ru-RU"/>
              </w:rPr>
              <w:t>841,3</w:t>
            </w:r>
          </w:p>
        </w:tc>
        <w:tc>
          <w:tcPr>
            <w:tcW w:w="1134" w:type="dxa"/>
            <w:vAlign w:val="center"/>
          </w:tcPr>
          <w:p w:rsidR="00D97AFC" w:rsidRPr="00E867E0" w:rsidRDefault="009E633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993" w:type="dxa"/>
            <w:vAlign w:val="center"/>
          </w:tcPr>
          <w:p w:rsidR="00D97AFC" w:rsidRPr="0049190A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10402,4</w:t>
            </w:r>
          </w:p>
        </w:tc>
        <w:tc>
          <w:tcPr>
            <w:tcW w:w="1050" w:type="dxa"/>
            <w:vAlign w:val="center"/>
          </w:tcPr>
          <w:p w:rsidR="00D97AFC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134" w:type="dxa"/>
            <w:vAlign w:val="center"/>
          </w:tcPr>
          <w:p w:rsidR="00D97AFC" w:rsidRPr="000C5CA8" w:rsidRDefault="0049190A" w:rsidP="00491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10402,4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3C3B7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5991" w:rsidRPr="003C3B78" w:rsidTr="0049190A">
        <w:tc>
          <w:tcPr>
            <w:tcW w:w="675" w:type="dxa"/>
            <w:vMerge w:val="restart"/>
          </w:tcPr>
          <w:p w:rsidR="003C5991" w:rsidRPr="000C5CA8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3C5991" w:rsidRPr="00A22C24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3C5991" w:rsidRPr="000C5CA8" w:rsidRDefault="003C599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3C5991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3C5991" w:rsidRPr="000C5CA8" w:rsidRDefault="003C599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3C5991" w:rsidRDefault="00D0083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050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134" w:type="dxa"/>
          </w:tcPr>
          <w:p w:rsidR="003C5991" w:rsidRDefault="0049190A" w:rsidP="003C599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18" w:type="dxa"/>
            <w:vMerge w:val="restart"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3C5991" w:rsidRPr="00D97AFC" w:rsidRDefault="003C599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D97AFC" w:rsidRPr="000C5CA8" w:rsidRDefault="004A39E6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  <w:vAlign w:val="center"/>
          </w:tcPr>
          <w:p w:rsidR="00D97AFC" w:rsidRPr="000C5CA8" w:rsidRDefault="0049190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CE40E7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69A7" w:rsidRPr="003C3B78" w:rsidTr="0049190A">
        <w:tc>
          <w:tcPr>
            <w:tcW w:w="675" w:type="dxa"/>
            <w:vMerge w:val="restart"/>
          </w:tcPr>
          <w:p w:rsidR="00F669A7" w:rsidRPr="000C5CA8" w:rsidRDefault="00F669A7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F669A7" w:rsidRPr="00A22C24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F669A7" w:rsidRPr="000C5CA8" w:rsidRDefault="00F669A7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F669A7" w:rsidRPr="000C5CA8" w:rsidRDefault="0049190A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F669A7" w:rsidRPr="000C5CA8" w:rsidRDefault="00F669A7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F669A7" w:rsidRDefault="00CE40E7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</w:tcPr>
          <w:p w:rsidR="00F669A7" w:rsidRDefault="0049190A" w:rsidP="00F669A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 w:val="restart"/>
          </w:tcPr>
          <w:p w:rsidR="00F669A7" w:rsidRPr="00D97AFC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F669A7" w:rsidRPr="00A22C24" w:rsidRDefault="00F669A7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F69B1" w:rsidRPr="000C5CA8" w:rsidTr="0049190A">
        <w:tc>
          <w:tcPr>
            <w:tcW w:w="675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69B1" w:rsidRPr="000C5CA8" w:rsidRDefault="00EF69B1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F69B1" w:rsidRPr="000C5CA8" w:rsidRDefault="0049190A" w:rsidP="00F6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3329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17" w:type="dxa"/>
            <w:vAlign w:val="center"/>
          </w:tcPr>
          <w:p w:rsidR="00EF69B1" w:rsidRPr="000C5CA8" w:rsidRDefault="00EF69B1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134" w:type="dxa"/>
          </w:tcPr>
          <w:p w:rsidR="00EF69B1" w:rsidRDefault="00CE40E7" w:rsidP="00CE40E7">
            <w:r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993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050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134" w:type="dxa"/>
          </w:tcPr>
          <w:p w:rsidR="00EF69B1" w:rsidRDefault="0049190A" w:rsidP="00867CD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52</w:t>
            </w:r>
            <w:r w:rsidR="00EF69B1">
              <w:rPr>
                <w:rFonts w:ascii="Times New Roman" w:hAnsi="Times New Roman"/>
                <w:lang w:val="ru-RU"/>
              </w:rPr>
              <w:t>4,8</w:t>
            </w:r>
          </w:p>
        </w:tc>
        <w:tc>
          <w:tcPr>
            <w:tcW w:w="1218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EF69B1" w:rsidRPr="000C5CA8" w:rsidRDefault="00EF69B1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7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57056D" w:rsidP="009B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11499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E573C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  <w:r w:rsidR="009B3E0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  <w:r w:rsidR="00E517A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66,5</w:t>
            </w:r>
          </w:p>
        </w:tc>
        <w:tc>
          <w:tcPr>
            <w:tcW w:w="1134" w:type="dxa"/>
          </w:tcPr>
          <w:p w:rsidR="00D97AFC" w:rsidRPr="00E867E0" w:rsidRDefault="006D0CA8" w:rsidP="00CF2D76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16761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7142,7</w:t>
            </w:r>
          </w:p>
        </w:tc>
        <w:tc>
          <w:tcPr>
            <w:tcW w:w="993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6001,5</w:t>
            </w:r>
          </w:p>
        </w:tc>
        <w:tc>
          <w:tcPr>
            <w:tcW w:w="1050" w:type="dxa"/>
          </w:tcPr>
          <w:p w:rsidR="00D97AFC" w:rsidRPr="00E867E0" w:rsidRDefault="00617EFE" w:rsidP="00617EFE"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5914,5</w:t>
            </w:r>
          </w:p>
        </w:tc>
        <w:tc>
          <w:tcPr>
            <w:tcW w:w="1134" w:type="dxa"/>
          </w:tcPr>
          <w:p w:rsidR="00D97AFC" w:rsidRPr="00E867E0" w:rsidRDefault="00D97AFC" w:rsidP="00617EFE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  <w:r w:rsidR="008611E5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5914,5</w:t>
            </w:r>
          </w:p>
        </w:tc>
        <w:tc>
          <w:tcPr>
            <w:tcW w:w="12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1217" w:type="dxa"/>
            <w:vAlign w:val="center"/>
          </w:tcPr>
          <w:p w:rsidR="00D97AFC" w:rsidRPr="00E867E0" w:rsidRDefault="007757AA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8611E5" w:rsidP="00E5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77802,5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1217" w:type="dxa"/>
            <w:vAlign w:val="center"/>
          </w:tcPr>
          <w:p w:rsidR="00D97AFC" w:rsidRPr="00E867E0" w:rsidRDefault="00E573C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E517A5">
              <w:rPr>
                <w:rFonts w:ascii="Times New Roman" w:hAnsi="Times New Roman"/>
                <w:sz w:val="23"/>
                <w:szCs w:val="23"/>
                <w:lang w:val="ru-RU"/>
              </w:rPr>
              <w:t>642,5</w:t>
            </w:r>
          </w:p>
        </w:tc>
        <w:tc>
          <w:tcPr>
            <w:tcW w:w="1134" w:type="dxa"/>
            <w:vAlign w:val="center"/>
          </w:tcPr>
          <w:p w:rsidR="00D97AFC" w:rsidRPr="00E867E0" w:rsidRDefault="0016761F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12857,2</w:t>
            </w:r>
          </w:p>
        </w:tc>
        <w:tc>
          <w:tcPr>
            <w:tcW w:w="993" w:type="dxa"/>
            <w:vAlign w:val="center"/>
          </w:tcPr>
          <w:p w:rsidR="00D97AFC" w:rsidRPr="00E867E0" w:rsidRDefault="008611E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050" w:type="dxa"/>
            <w:vAlign w:val="center"/>
          </w:tcPr>
          <w:p w:rsidR="00D97AFC" w:rsidRPr="00E867E0" w:rsidRDefault="008611E5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134" w:type="dxa"/>
            <w:vAlign w:val="center"/>
          </w:tcPr>
          <w:p w:rsidR="00D97AFC" w:rsidRPr="00E867E0" w:rsidRDefault="008611E5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11544,5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923,5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1217" w:type="dxa"/>
            <w:vAlign w:val="center"/>
          </w:tcPr>
          <w:p w:rsidR="00D97AFC" w:rsidRPr="00E867E0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  <w:r w:rsidR="003B7BB9">
              <w:rPr>
                <w:rFonts w:ascii="Times New Roman" w:hAnsi="Times New Roman"/>
                <w:sz w:val="23"/>
                <w:szCs w:val="23"/>
                <w:lang w:val="ru-RU"/>
              </w:rPr>
              <w:t>85,5</w:t>
            </w:r>
          </w:p>
        </w:tc>
        <w:tc>
          <w:tcPr>
            <w:tcW w:w="993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457,0</w:t>
            </w:r>
          </w:p>
        </w:tc>
        <w:tc>
          <w:tcPr>
            <w:tcW w:w="1050" w:type="dxa"/>
            <w:vAlign w:val="center"/>
          </w:tcPr>
          <w:p w:rsidR="00D97AFC" w:rsidRPr="00E867E0" w:rsidRDefault="00D97AFC" w:rsidP="00617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97AFC" w:rsidRPr="00E867E0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8611E5">
              <w:rPr>
                <w:rFonts w:ascii="Times New Roman" w:hAnsi="Times New Roman"/>
                <w:sz w:val="23"/>
                <w:szCs w:val="23"/>
                <w:lang w:val="ru-RU"/>
              </w:rPr>
              <w:t>370,0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49190A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B54F4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1200</w:t>
            </w:r>
            <w:r w:rsidR="00965402">
              <w:rPr>
                <w:rFonts w:ascii="Times New Roman" w:hAnsi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217" w:type="dxa"/>
            <w:vAlign w:val="center"/>
          </w:tcPr>
          <w:p w:rsidR="00D97AFC" w:rsidRPr="000C5CA8" w:rsidRDefault="0004621C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050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617EFE" w:rsidP="00CE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2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0" w:name="_GoBack"/>
      <w:bookmarkEnd w:id="40"/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C3B7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C3B7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3C3B7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C3B78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C3B78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3C3B78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C3B78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1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2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3C3B7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3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4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5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6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3C3B78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6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8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sub_510"/>
      <w:bookmarkEnd w:id="49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5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12"/>
      <w:bookmarkEnd w:id="51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3C3B78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3C3B78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3C3B78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2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3C3B78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3C3B78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3C3B78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29EB" w:rsidRPr="00F529EB" w:rsidRDefault="00F529EB" w:rsidP="00A6322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3C3B78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3C3B78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6322F"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.5</w:t>
            </w:r>
          </w:p>
        </w:tc>
        <w:tc>
          <w:tcPr>
            <w:tcW w:w="850" w:type="dxa"/>
          </w:tcPr>
          <w:p w:rsidR="00A6322F" w:rsidRPr="00A6322F" w:rsidRDefault="00A6322F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  <w:r w:rsidR="00F529EB">
              <w:rPr>
                <w:rFonts w:ascii="Times New Roman" w:hAnsi="Times New Roman"/>
                <w:lang w:val="ru-RU"/>
              </w:rPr>
              <w:t>0</w:t>
            </w:r>
            <w:r w:rsidRPr="00A6322F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3C3B78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A6322F" w:rsidRPr="00A6322F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3C3B78" w:rsidTr="00BF321F">
        <w:tc>
          <w:tcPr>
            <w:tcW w:w="675" w:type="dxa"/>
          </w:tcPr>
          <w:p w:rsidR="00A6322F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113" w:type="dxa"/>
          </w:tcPr>
          <w:p w:rsidR="00A6322F" w:rsidRPr="00F529EB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F529EB" w:rsidRDefault="00F529EB" w:rsidP="00F529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60.0</w:t>
            </w:r>
          </w:p>
        </w:tc>
        <w:tc>
          <w:tcPr>
            <w:tcW w:w="992" w:type="dxa"/>
            <w:gridSpan w:val="2"/>
          </w:tcPr>
          <w:p w:rsidR="00A6322F" w:rsidRPr="00A6322F" w:rsidRDefault="00F529EB" w:rsidP="00F529EB">
            <w:pPr>
              <w:tabs>
                <w:tab w:val="center" w:pos="3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6322F" w:rsidRPr="00A6322F" w:rsidRDefault="00F529EB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A6322F" w:rsidRPr="00A632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.0</w:t>
            </w:r>
          </w:p>
        </w:tc>
        <w:tc>
          <w:tcPr>
            <w:tcW w:w="850" w:type="dxa"/>
          </w:tcPr>
          <w:p w:rsidR="00A6322F" w:rsidRPr="00A6322F" w:rsidRDefault="00E200C2" w:rsidP="00A6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A6322F" w:rsidRPr="00A6322F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A6322F" w:rsidRPr="00E200C2" w:rsidRDefault="00E200C2" w:rsidP="00A632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276" w:type="dxa"/>
          </w:tcPr>
          <w:p w:rsidR="00A6322F" w:rsidRPr="00A73B77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29EB" w:rsidRPr="00A6322F" w:rsidTr="00BF321F">
        <w:tc>
          <w:tcPr>
            <w:tcW w:w="675" w:type="dxa"/>
          </w:tcPr>
          <w:p w:rsidR="00F529EB" w:rsidRPr="00A22C24" w:rsidRDefault="00F529EB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F529EB" w:rsidRPr="00A6322F" w:rsidRDefault="00F529EB" w:rsidP="00F529E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F529EB" w:rsidRPr="00A6322F" w:rsidRDefault="00F529EB" w:rsidP="00F529EB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29EB" w:rsidRPr="00A6322F" w:rsidRDefault="00F529EB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67A6"/>
    <w:rsid w:val="00092B69"/>
    <w:rsid w:val="000955CA"/>
    <w:rsid w:val="000970F5"/>
    <w:rsid w:val="000A19BC"/>
    <w:rsid w:val="000A2071"/>
    <w:rsid w:val="000B6AB2"/>
    <w:rsid w:val="000C0BB4"/>
    <w:rsid w:val="000F3DC1"/>
    <w:rsid w:val="000F7B19"/>
    <w:rsid w:val="000F7FBD"/>
    <w:rsid w:val="0013419D"/>
    <w:rsid w:val="0013724E"/>
    <w:rsid w:val="00140E13"/>
    <w:rsid w:val="00150D25"/>
    <w:rsid w:val="00151D6C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201F4C"/>
    <w:rsid w:val="00206C8A"/>
    <w:rsid w:val="002105B8"/>
    <w:rsid w:val="00213E03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45903"/>
    <w:rsid w:val="00546900"/>
    <w:rsid w:val="005555FE"/>
    <w:rsid w:val="005622C2"/>
    <w:rsid w:val="00562E89"/>
    <w:rsid w:val="00563D73"/>
    <w:rsid w:val="0056407D"/>
    <w:rsid w:val="00564116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F0625"/>
    <w:rsid w:val="006024D6"/>
    <w:rsid w:val="00605633"/>
    <w:rsid w:val="00612D4F"/>
    <w:rsid w:val="00617EFE"/>
    <w:rsid w:val="00632153"/>
    <w:rsid w:val="006450F0"/>
    <w:rsid w:val="006455F5"/>
    <w:rsid w:val="0066207F"/>
    <w:rsid w:val="006828B5"/>
    <w:rsid w:val="00697FCA"/>
    <w:rsid w:val="006A12AF"/>
    <w:rsid w:val="006B1C38"/>
    <w:rsid w:val="006B6457"/>
    <w:rsid w:val="006B710A"/>
    <w:rsid w:val="006D0CA8"/>
    <w:rsid w:val="006E1A26"/>
    <w:rsid w:val="006F51C4"/>
    <w:rsid w:val="0071008E"/>
    <w:rsid w:val="0073769B"/>
    <w:rsid w:val="00747F6A"/>
    <w:rsid w:val="007620DC"/>
    <w:rsid w:val="00763FAB"/>
    <w:rsid w:val="0076571B"/>
    <w:rsid w:val="0077279F"/>
    <w:rsid w:val="007757AA"/>
    <w:rsid w:val="00797EA6"/>
    <w:rsid w:val="007F4027"/>
    <w:rsid w:val="00817C8C"/>
    <w:rsid w:val="008535F6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D09F1"/>
    <w:rsid w:val="008D1238"/>
    <w:rsid w:val="008E4247"/>
    <w:rsid w:val="008F44F6"/>
    <w:rsid w:val="00916840"/>
    <w:rsid w:val="0091739D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6335"/>
    <w:rsid w:val="009F1B00"/>
    <w:rsid w:val="00A0200A"/>
    <w:rsid w:val="00A1326E"/>
    <w:rsid w:val="00A22C24"/>
    <w:rsid w:val="00A27964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350CA"/>
    <w:rsid w:val="00B538E5"/>
    <w:rsid w:val="00B54F4C"/>
    <w:rsid w:val="00B553C7"/>
    <w:rsid w:val="00B75E9D"/>
    <w:rsid w:val="00B83F3A"/>
    <w:rsid w:val="00B8625A"/>
    <w:rsid w:val="00B9730C"/>
    <w:rsid w:val="00BA425A"/>
    <w:rsid w:val="00BC74B9"/>
    <w:rsid w:val="00BD018D"/>
    <w:rsid w:val="00BF321F"/>
    <w:rsid w:val="00C175C0"/>
    <w:rsid w:val="00C27336"/>
    <w:rsid w:val="00C276BC"/>
    <w:rsid w:val="00C31F2D"/>
    <w:rsid w:val="00C62337"/>
    <w:rsid w:val="00C720DA"/>
    <w:rsid w:val="00C75D7B"/>
    <w:rsid w:val="00C90E4B"/>
    <w:rsid w:val="00CA78F0"/>
    <w:rsid w:val="00CC0417"/>
    <w:rsid w:val="00CC649D"/>
    <w:rsid w:val="00CE05BF"/>
    <w:rsid w:val="00CE1415"/>
    <w:rsid w:val="00CE40E7"/>
    <w:rsid w:val="00CF29FC"/>
    <w:rsid w:val="00CF2D76"/>
    <w:rsid w:val="00D0083A"/>
    <w:rsid w:val="00D045E0"/>
    <w:rsid w:val="00D2664E"/>
    <w:rsid w:val="00D30A7B"/>
    <w:rsid w:val="00D37C61"/>
    <w:rsid w:val="00D71775"/>
    <w:rsid w:val="00D97AFC"/>
    <w:rsid w:val="00DA3053"/>
    <w:rsid w:val="00DA6D1C"/>
    <w:rsid w:val="00DB1F38"/>
    <w:rsid w:val="00DC002E"/>
    <w:rsid w:val="00DC4875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4984"/>
    <w:rsid w:val="00FE56C5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0.0" TargetMode="External"/><Relationship Id="rId13" Type="http://schemas.openxmlformats.org/officeDocument/2006/relationships/hyperlink" Target="garantF1://23841690.0" TargetMode="External"/><Relationship Id="rId18" Type="http://schemas.openxmlformats.org/officeDocument/2006/relationships/hyperlink" Target="garantF1://36892200.0" TargetMode="External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hyperlink" Target="garantF1://12051309.0" TargetMode="External"/><Relationship Id="rId7" Type="http://schemas.openxmlformats.org/officeDocument/2006/relationships/hyperlink" Target="garantF1://12051309.0" TargetMode="External"/><Relationship Id="rId12" Type="http://schemas.openxmlformats.org/officeDocument/2006/relationships/hyperlink" Target="garantF1://23840884.0" TargetMode="External"/><Relationship Id="rId17" Type="http://schemas.openxmlformats.org/officeDocument/2006/relationships/hyperlink" Target="garantF1://36891691.0" TargetMode="Externa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6891601.0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garantF1://10008787.0" TargetMode="External"/><Relationship Id="rId11" Type="http://schemas.openxmlformats.org/officeDocument/2006/relationships/hyperlink" Target="garantF1://23840725.0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37" Type="http://schemas.openxmlformats.org/officeDocument/2006/relationships/hyperlink" Target="garantF1://70273192.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garantF1://12017177.0" TargetMode="External"/><Relationship Id="rId15" Type="http://schemas.openxmlformats.org/officeDocument/2006/relationships/hyperlink" Target="garantF1://36804984.0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36" Type="http://schemas.openxmlformats.org/officeDocument/2006/relationships/hyperlink" Target="garantF1://23841354.0" TargetMode="External"/><Relationship Id="rId10" Type="http://schemas.openxmlformats.org/officeDocument/2006/relationships/hyperlink" Target="garantF1://23840721.0" TargetMode="External"/><Relationship Id="rId19" Type="http://schemas.openxmlformats.org/officeDocument/2006/relationships/image" Target="media/image1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hyperlink" Target="garantF1://23801142.0" TargetMode="External"/><Relationship Id="rId14" Type="http://schemas.openxmlformats.org/officeDocument/2006/relationships/hyperlink" Target="garantF1://36802400.0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D2C5-D6F3-4A73-AE89-7726BF2C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43</Pages>
  <Words>11420</Words>
  <Characters>65095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14</cp:revision>
  <cp:lastPrinted>2018-06-28T05:22:00Z</cp:lastPrinted>
  <dcterms:created xsi:type="dcterms:W3CDTF">2018-11-08T04:48:00Z</dcterms:created>
  <dcterms:modified xsi:type="dcterms:W3CDTF">2018-11-28T08:27:00Z</dcterms:modified>
</cp:coreProperties>
</file>