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5D40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05.12.2018</w:t>
      </w:r>
      <w:proofErr w:type="gramEnd"/>
      <w:r w:rsidR="005D40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17.12.2018г.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bookmarkStart w:id="0" w:name="_GoBack"/>
      <w:bookmarkEnd w:id="0"/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Default="009E0958" w:rsidP="00D31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715AAB" w:rsidRPr="00715AAB" w:rsidRDefault="00715AAB" w:rsidP="00D3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715AAB">
              <w:rPr>
                <w:rFonts w:ascii="Times New Roman" w:hAnsi="Times New Roman" w:cs="Times New Roman"/>
                <w:sz w:val="28"/>
                <w:szCs w:val="28"/>
              </w:rPr>
              <w:t>дорожного-транспортного</w:t>
            </w:r>
            <w:proofErr w:type="gramEnd"/>
            <w:r w:rsidRPr="00715AAB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D31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дополнительных мест в детских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Pr="00CA725B" w:rsidRDefault="00305F57" w:rsidP="0003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 отдельных категорий граждан, зарегистрированных в качестве нуждающихся в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3E1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7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715AAB" w:rsidRPr="00CA725B">
              <w:rPr>
                <w:rFonts w:ascii="Times New Roman" w:hAnsi="Times New Roman" w:cs="Times New Roman"/>
                <w:sz w:val="28"/>
                <w:szCs w:val="28"/>
              </w:rPr>
              <w:t>582 843,0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6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527,9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19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998,4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134 500,8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2019 год – 257 340,8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3730,8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BF09ED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15AAB" w:rsidRPr="00CA725B">
              <w:rPr>
                <w:rFonts w:ascii="Times New Roman" w:hAnsi="Times New Roman" w:cs="Times New Roman"/>
                <w:sz w:val="28"/>
                <w:szCs w:val="28"/>
              </w:rPr>
              <w:t>– 3758,1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средств федерального бюджета – 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CA725B" w:rsidRPr="00CA725B">
              <w:rPr>
                <w:rFonts w:ascii="Times New Roman" w:hAnsi="Times New Roman"/>
                <w:sz w:val="28"/>
                <w:szCs w:val="28"/>
              </w:rPr>
              <w:t>91,1</w:t>
            </w:r>
            <w:r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2020 год –0,0 тыс. рублей</w:t>
            </w:r>
            <w:proofErr w:type="gramStart"/>
            <w:r w:rsidRPr="00CA725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жета – 507969,8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8369,1 тыс. рублей,</w:t>
            </w:r>
          </w:p>
          <w:p w:rsidR="00661BD9" w:rsidRPr="00CA725B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112526,2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661BD9" w:rsidRPr="00A15770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240597,1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617,1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2021 го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д – 617,1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74702,8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21883,5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2019 год – 16743,7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3113,7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3141,0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ем фи</w:t>
            </w:r>
            <w:r w:rsidR="00CA725B">
              <w:rPr>
                <w:rFonts w:ascii="Times New Roman" w:hAnsi="Times New Roman"/>
                <w:sz w:val="28"/>
                <w:szCs w:val="28"/>
              </w:rPr>
              <w:t>нансирования составляет 535352,9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118 942,8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253 610,6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д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="009B2A94" w:rsidRPr="00A15770">
              <w:rPr>
                <w:rFonts w:ascii="Times New Roman" w:hAnsi="Times New Roman"/>
                <w:sz w:val="28"/>
                <w:szCs w:val="28"/>
              </w:rPr>
              <w:t>аевого бюджета – 482 171,7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- 0,0 тыс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15770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-3840,0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100400,4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A725B">
              <w:rPr>
                <w:rFonts w:ascii="Times New Roman" w:hAnsi="Times New Roman"/>
                <w:sz w:val="28"/>
                <w:szCs w:val="28"/>
              </w:rPr>
              <w:t>239980,0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з средств </w:t>
            </w:r>
            <w:r w:rsidR="00CA725B">
              <w:rPr>
                <w:rFonts w:ascii="Times New Roman" w:hAnsi="Times New Roman"/>
                <w:sz w:val="28"/>
                <w:szCs w:val="28"/>
              </w:rPr>
              <w:t>местного бюджета – 53181,2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CA725B">
              <w:rPr>
                <w:rFonts w:ascii="Times New Roman" w:hAnsi="Times New Roman"/>
                <w:sz w:val="28"/>
                <w:szCs w:val="28"/>
              </w:rPr>
              <w:t>18542,4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13630,6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2. подпрограмма "Повышение безопасности дорожного движения в муниципальном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объем финансирования с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о</w:t>
            </w:r>
            <w:r w:rsidR="00CA725B">
              <w:rPr>
                <w:rFonts w:ascii="Times New Roman" w:hAnsi="Times New Roman"/>
                <w:sz w:val="28"/>
                <w:szCs w:val="28"/>
              </w:rPr>
              <w:t>ставляет                 36498,9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13700,4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2019 год – 2041,1 тыс. рублей, 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в том числе из сре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15770">
              <w:rPr>
                <w:rFonts w:ascii="Times New Roman" w:hAnsi="Times New Roman"/>
                <w:sz w:val="28"/>
                <w:szCs w:val="28"/>
              </w:rPr>
              <w:t xml:space="preserve">аевого бюджета –  </w:t>
            </w:r>
            <w:r w:rsidR="00CA725B">
              <w:rPr>
                <w:rFonts w:ascii="Times New Roman" w:hAnsi="Times New Roman"/>
                <w:sz w:val="28"/>
                <w:szCs w:val="28"/>
              </w:rPr>
              <w:t xml:space="preserve">                   21442,7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11361,3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в том числе из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с</w:t>
            </w:r>
            <w:r w:rsidR="00CA725B">
              <w:rPr>
                <w:rFonts w:ascii="Times New Roman" w:hAnsi="Times New Roman"/>
                <w:sz w:val="28"/>
                <w:szCs w:val="28"/>
              </w:rPr>
              <w:t>редств местного бюджета –15056,2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1978,7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7545C2">
              <w:rPr>
                <w:rFonts w:ascii="Times New Roman" w:hAnsi="Times New Roman"/>
                <w:sz w:val="28"/>
                <w:szCs w:val="28"/>
              </w:rPr>
              <w:t>2792,3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A15770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629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483,9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7545C2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ср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едств федерального бюджета- 170,4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lastRenderedPageBreak/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–91,1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з сре</w:t>
            </w:r>
            <w:proofErr w:type="gramStart"/>
            <w:r w:rsidR="00A15770" w:rsidRPr="00A157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A15770" w:rsidRPr="00A15770">
              <w:rPr>
                <w:rFonts w:ascii="Times New Roman" w:hAnsi="Times New Roman"/>
                <w:sz w:val="28"/>
                <w:szCs w:val="28"/>
              </w:rPr>
              <w:t>аев</w:t>
            </w:r>
            <w:r w:rsidR="007545C2">
              <w:rPr>
                <w:rFonts w:ascii="Times New Roman" w:hAnsi="Times New Roman"/>
                <w:sz w:val="28"/>
                <w:szCs w:val="28"/>
              </w:rPr>
              <w:t>ого бюджета – 397,0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–176,0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7545C2">
              <w:rPr>
                <w:rFonts w:ascii="Times New Roman" w:hAnsi="Times New Roman"/>
                <w:sz w:val="28"/>
                <w:szCs w:val="28"/>
              </w:rPr>
              <w:t>средств местного бюджета – 2224,9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483,9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661BD9" w:rsidRPr="00472BE3" w:rsidRDefault="00661BD9" w:rsidP="003E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законом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N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этим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возникла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необходимость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в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>ежегодном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 xml:space="preserve">транспортировании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район.</w:t>
      </w:r>
      <w:r w:rsidR="007545C2">
        <w:rPr>
          <w:rFonts w:ascii="Times New Roman" w:hAnsi="Times New Roman"/>
          <w:color w:val="000000" w:themeColor="text1"/>
          <w:sz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</w:rPr>
        <w:t xml:space="preserve">Строительство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Транспортирование твердых коммунальных отходов с мусороперегрузочной станции в муниципальном образовании Кавказский район на лицензированный </w:t>
      </w:r>
      <w:r w:rsidRPr="00ED41E6">
        <w:rPr>
          <w:rFonts w:ascii="Times New Roman" w:hAnsi="Times New Roman"/>
          <w:color w:val="000000" w:themeColor="text1"/>
          <w:sz w:val="28"/>
        </w:rPr>
        <w:lastRenderedPageBreak/>
        <w:t>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1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Строительство объектов социальной инфраструктуры в муниципальном образовании Кавказский </w:t>
        </w:r>
        <w:proofErr w:type="spell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014C50">
        <w:fldChar w:fldCharType="begin"/>
      </w:r>
      <w:r w:rsidR="00AE26AF">
        <w:instrText>HYPERLINK \l "sub_1800"</w:instrText>
      </w:r>
      <w:r w:rsidR="00014C50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</w:t>
      </w:r>
      <w:proofErr w:type="spellEnd"/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безопасности дорожного движения в муниципальном образовании Кавказский район</w:t>
      </w:r>
      <w:r w:rsidR="00014C50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частие общеобразовательных учреждений в осуществлении мероприятий по </w:t>
      </w:r>
      <w:r w:rsidR="00DE11AA" w:rsidRPr="00ED41E6">
        <w:rPr>
          <w:rFonts w:ascii="Times New Roman" w:hAnsi="Times New Roman"/>
          <w:color w:val="000000" w:themeColor="text1"/>
          <w:sz w:val="28"/>
        </w:rPr>
        <w:lastRenderedPageBreak/>
        <w:t>предупреждению детского дорожно-транспортного травматизма на территории муниципального образования Кавказский район.</w:t>
      </w:r>
    </w:p>
    <w:bookmarkEnd w:id="11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2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</w:t>
      </w:r>
      <w:r w:rsidR="003D0BF2" w:rsidRPr="006757D3">
        <w:rPr>
          <w:rFonts w:ascii="Times New Roman" w:hAnsi="Times New Roman"/>
          <w:sz w:val="28"/>
          <w:szCs w:val="28"/>
        </w:rPr>
        <w:lastRenderedPageBreak/>
        <w:t xml:space="preserve">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5D4073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75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5D4073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5D4073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8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45D2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5D4073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9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BF09ED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 w:rsidR="00D73279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="00D73279"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 w:rsidR="00D73279">
              <w:rPr>
                <w:rFonts w:ascii="Times New Roman" w:hAnsi="Times New Roman" w:cs="Times New Roman"/>
              </w:rPr>
              <w:t>элемонтов</w:t>
            </w:r>
            <w:proofErr w:type="spellEnd"/>
            <w:r w:rsidR="00D73279"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5D407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21539C">
            <w:pPr>
              <w:pStyle w:val="a6"/>
              <w:tabs>
                <w:tab w:val="left" w:pos="44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  <w:r w:rsidR="00215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282DED" w:rsidRPr="00ED41E6" w:rsidTr="00282DED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2 730,0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8198,9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 w:firstRow="1" w:lastRow="0" w:firstColumn="1" w:lastColumn="0" w:noHBand="0" w:noVBand="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11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253610,6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482 171,7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239980,0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81.2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8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«Повышение безопасности дорожного движения в муниципальном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36 498,9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21 442,7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15 056,2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2792,3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1510,5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1 510,5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3 958,4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3 958,4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58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19 998,4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134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00,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257340,8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3730,8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3758,1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507 969,8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8 369,1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112526,2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240597,1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747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16743,7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3113,7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3141,0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20" w:name="Par29"/>
      <w:bookmarkStart w:id="21" w:name="Par30"/>
      <w:bookmarkEnd w:id="20"/>
      <w:bookmarkEnd w:id="21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2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6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7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535352,9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 xml:space="preserve">18 год –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118942,8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253610,6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482171,7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100400,4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282DED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239980,0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дств местного бюджета – 53181,2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18542,4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13630,6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8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1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DED">
        <w:rPr>
          <w:rFonts w:ascii="Times New Roman" w:hAnsi="Times New Roman"/>
          <w:color w:val="000000"/>
          <w:sz w:val="28"/>
          <w:szCs w:val="28"/>
        </w:rPr>
        <w:t>535352,9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2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4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4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2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59262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190572,2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31009,7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166532,6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24039,6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6268,4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5C6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техприсоединение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к сетям, приемо-сдаточная документация, строительство инженерных сетей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10505,8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4966,2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60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управление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10505,8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4966,2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30085,7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4042,6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26043,5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28581,3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1504,4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1302,2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344780,7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87933,1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253610,6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 мест в обще-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образовательныхуч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реждениях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315639,1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75659,1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239980,0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29141,6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12274,0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13630,6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ропоткин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1- 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12528,9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8291,9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проектно- сметной 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имущественных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12528,9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8291,9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ропоткин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1- 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332251,8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79641,2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252610,6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315639,1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75659,1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239980,0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16612,7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3982,1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12630,6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535352,9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1F52">
              <w:rPr>
                <w:rFonts w:ascii="Times New Roman" w:hAnsi="Times New Roman"/>
                <w:sz w:val="24"/>
                <w:szCs w:val="24"/>
                <w:lang w:eastAsia="ar-SA"/>
              </w:rPr>
              <w:t>11894</w:t>
            </w:r>
            <w:r w:rsidRPr="00641F52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641F52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253610,6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482171,7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239980,0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181,2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18542,4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13630,6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5D407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</w:t>
            </w:r>
            <w:r w:rsidR="00095E3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592621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535352,9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118942,8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253610,6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482171,7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239980,0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53181,2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18542,4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13630,6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F76FFB">
        <w:rPr>
          <w:rStyle w:val="a3"/>
          <w:rFonts w:ascii="Times New Roman" w:hAnsi="Times New Roman" w:cs="Times New Roman"/>
          <w:b w:val="0"/>
          <w:bCs/>
        </w:rPr>
        <w:lastRenderedPageBreak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lastRenderedPageBreak/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lastRenderedPageBreak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проектной документации и проведение инженерных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5852B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11 с увеличением вместимости и выделением блока начального образования на 400 мест(</w:t>
            </w:r>
            <w:r w:rsidR="005852BD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344780,7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253610,6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315639,1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239980,0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29141,6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13630,6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11528,9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8291,9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11528,9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8291,9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344780,7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253610,6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315639,1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239980,0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29141,6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13630,6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11528,9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8291,9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11528,9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8291,9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5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5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5D4073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587F62">
              <w:rPr>
                <w:rFonts w:ascii="Times New Roman" w:hAnsi="Times New Roman"/>
                <w:sz w:val="28"/>
                <w:szCs w:val="28"/>
              </w:rPr>
              <w:t>дорожного-транспортного</w:t>
            </w:r>
            <w:proofErr w:type="gramEnd"/>
            <w:r w:rsidRPr="00587F62">
              <w:rPr>
                <w:rFonts w:ascii="Times New Roman" w:hAnsi="Times New Roman"/>
                <w:sz w:val="28"/>
                <w:szCs w:val="28"/>
              </w:rPr>
              <w:t xml:space="preserve">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5D4073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bookmarkEnd w:id="4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составляет                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3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6</w:t>
            </w:r>
            <w:r w:rsidR="005852B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498.9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lastRenderedPageBreak/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1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3700.4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1978.7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05.5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2 03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</w:t>
            </w:r>
            <w:r w:rsidR="005852BD">
              <w:rPr>
                <w:rFonts w:ascii="Times New Roman" w:hAnsi="Times New Roman"/>
                <w:sz w:val="28"/>
                <w:szCs w:val="28"/>
              </w:rPr>
              <w:t>,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8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21442</w:t>
            </w:r>
            <w:r w:rsidR="00A9468B">
              <w:rPr>
                <w:rFonts w:ascii="Times New Roman" w:hAnsi="Times New Roman"/>
                <w:sz w:val="28"/>
                <w:szCs w:val="28"/>
              </w:rPr>
              <w:t>,2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5852BD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5D4073">
              <w:rPr>
                <w:rFonts w:ascii="Times New Roman" w:hAnsi="Times New Roman"/>
                <w:sz w:val="28"/>
                <w:szCs w:val="28"/>
              </w:rPr>
              <w:t>11361.3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5852BD">
              <w:rPr>
                <w:rFonts w:ascii="Times New Roman" w:hAnsi="Times New Roman"/>
                <w:sz w:val="28"/>
                <w:szCs w:val="28"/>
              </w:rPr>
              <w:t>5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056.2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1978.7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5852BD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 0</w:t>
            </w:r>
            <w:r w:rsidRPr="005852BD">
              <w:rPr>
                <w:rFonts w:ascii="Times New Roman" w:hAnsi="Times New Roman"/>
                <w:sz w:val="28"/>
                <w:szCs w:val="28"/>
              </w:rPr>
              <w:t>05.5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24D56"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D56"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852BD">
              <w:rPr>
                <w:rFonts w:ascii="Times New Roman" w:hAnsi="Times New Roman" w:cs="Times New Roman"/>
                <w:sz w:val="28"/>
                <w:szCs w:val="28"/>
              </w:rPr>
              <w:t xml:space="preserve"> – 2 03</w:t>
            </w:r>
            <w:r w:rsidR="005852BD" w:rsidRPr="005852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5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2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2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lastRenderedPageBreak/>
        <w:t>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>- п.им.М.Горького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lastRenderedPageBreak/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4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765816" w:rsidRPr="00765816">
        <w:rPr>
          <w:rFonts w:ascii="Times New Roman" w:hAnsi="Times New Roman" w:cs="Times New Roman"/>
          <w:sz w:val="28"/>
          <w:szCs w:val="28"/>
        </w:rPr>
        <w:t>36</w:t>
      </w:r>
      <w:r w:rsidR="007658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5816">
        <w:rPr>
          <w:rFonts w:ascii="Times New Roman" w:hAnsi="Times New Roman" w:cs="Times New Roman"/>
          <w:sz w:val="28"/>
          <w:szCs w:val="28"/>
        </w:rPr>
        <w:t>498,</w:t>
      </w:r>
      <w:r w:rsidR="00765816" w:rsidRPr="00765816">
        <w:rPr>
          <w:rFonts w:ascii="Times New Roman" w:hAnsi="Times New Roman" w:cs="Times New Roman"/>
          <w:sz w:val="28"/>
          <w:szCs w:val="28"/>
        </w:rPr>
        <w:t xml:space="preserve">9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12"/>
      <w:bookmarkEnd w:id="45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6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</w:t>
      </w:r>
      <w:r w:rsidRPr="00F934B8">
        <w:rPr>
          <w:rFonts w:ascii="Times New Roman" w:hAnsi="Times New Roman"/>
          <w:sz w:val="28"/>
          <w:szCs w:val="28"/>
        </w:rPr>
        <w:lastRenderedPageBreak/>
        <w:t xml:space="preserve">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7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7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3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9C750C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281" w:type="dxa"/>
          </w:tcPr>
          <w:p w:rsidR="00560838" w:rsidRPr="00587F62" w:rsidRDefault="00560838" w:rsidP="00456A69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1440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24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81" w:type="dxa"/>
          </w:tcPr>
          <w:p w:rsidR="00560838" w:rsidRPr="00587F62" w:rsidRDefault="00560838" w:rsidP="00456A69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560838" w:rsidRPr="00587F62" w:rsidRDefault="00560838" w:rsidP="00456A69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1440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24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</w:tr>
      <w:tr w:rsidR="00560838" w:rsidRPr="00ED41E6" w:rsidTr="00274310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3" w:type="dxa"/>
            <w:gridSpan w:val="15"/>
          </w:tcPr>
          <w:p w:rsidR="00560838" w:rsidRPr="00ED41E6" w:rsidRDefault="00560838" w:rsidP="00456A6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560838" w:rsidRPr="00ED41E6" w:rsidTr="00B077C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456A6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560838" w:rsidRPr="00ED41E6" w:rsidTr="005F7FE6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456A6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>
              <w:rPr>
                <w:rFonts w:ascii="Times New Roman" w:hAnsi="Times New Roman" w:cs="Times New Roman"/>
              </w:rPr>
              <w:t>элемонтов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1" w:type="dxa"/>
          </w:tcPr>
          <w:p w:rsidR="00560838" w:rsidRPr="00ED41E6" w:rsidRDefault="00560838" w:rsidP="00456A6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1440" w:type="dxa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456A6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-ник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2 334,0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Управ-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лениеобразо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ванияадминист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-рации МО Кавказский район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2 334,0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674381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№2 «Капитальный ре-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мест-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-приятий в отношении автомобильных 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32113,5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13350,4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1678,7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1732,8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11950,3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1 695,6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1989,1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1678,7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1732,8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20163,2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15961,5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11959,5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74381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798,3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598,2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15163,2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ED41E6" w:rsidRDefault="00674381" w:rsidP="00456A6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ED41E6" w:rsidRDefault="00674381" w:rsidP="00456A6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456A6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456A6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456A6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ED41E6" w:rsidRDefault="00674381" w:rsidP="00456A6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456A6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ED41E6" w:rsidRDefault="00674381" w:rsidP="00456A6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мест-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-приятий в отношении автомобильных </w:t>
            </w:r>
          </w:p>
          <w:p w:rsidR="00880F04" w:rsidRPr="00ED41E6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880F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5A3D9F" w:rsidRDefault="00880F04" w:rsidP="0021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674381">
        <w:trPr>
          <w:cantSplit/>
          <w:trHeight w:val="277"/>
        </w:trPr>
        <w:tc>
          <w:tcPr>
            <w:tcW w:w="710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674381" w:rsidRPr="00390F44" w:rsidRDefault="00674381" w:rsidP="00456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587F62">
              <w:rPr>
                <w:rFonts w:ascii="Times New Roman" w:hAnsi="Times New Roman"/>
                <w:sz w:val="24"/>
                <w:szCs w:val="24"/>
              </w:rPr>
              <w:t>дорожного-транспортного</w:t>
            </w:r>
            <w:proofErr w:type="gramEnd"/>
            <w:r w:rsidRPr="00587F62">
              <w:rPr>
                <w:rFonts w:ascii="Times New Roman" w:hAnsi="Times New Roman"/>
                <w:sz w:val="24"/>
                <w:szCs w:val="24"/>
              </w:rPr>
              <w:t xml:space="preserve"> травматизма</w:t>
            </w:r>
          </w:p>
        </w:tc>
      </w:tr>
      <w:tr w:rsidR="00674381" w:rsidRPr="00ED41E6" w:rsidTr="00674381">
        <w:trPr>
          <w:cantSplit/>
          <w:trHeight w:val="268"/>
        </w:trPr>
        <w:tc>
          <w:tcPr>
            <w:tcW w:w="710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2551" w:type="dxa"/>
            <w:shd w:val="clear" w:color="auto" w:fill="auto"/>
          </w:tcPr>
          <w:p w:rsidR="00674381" w:rsidRPr="00390F44" w:rsidRDefault="00674381" w:rsidP="00456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674381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нистра-цииМО</w:t>
            </w:r>
            <w:proofErr w:type="spellEnd"/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74381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221,9</w:t>
            </w:r>
          </w:p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674381" w:rsidRPr="00587F62" w:rsidRDefault="00674381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674381" w:rsidRPr="00587F62" w:rsidRDefault="00674381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4381" w:rsidRPr="00587F62" w:rsidRDefault="00674381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381" w:rsidRPr="00587F62" w:rsidRDefault="00674381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674381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AE5CF7" w:rsidRPr="00390F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 xml:space="preserve">Замена электрооборудования стелы расположенной на границе Кавказского и </w:t>
            </w:r>
            <w:proofErr w:type="spellStart"/>
            <w:r w:rsidRPr="00E60EE9">
              <w:rPr>
                <w:rFonts w:ascii="Times New Roman" w:eastAsiaTheme="minorHAnsi" w:hAnsi="Times New Roman"/>
              </w:rPr>
              <w:t>Тбилиского</w:t>
            </w:r>
            <w:proofErr w:type="spellEnd"/>
            <w:r w:rsidRPr="00E60EE9">
              <w:rPr>
                <w:rFonts w:ascii="Times New Roman" w:eastAsiaTheme="minorHAnsi" w:hAnsi="Times New Roman"/>
              </w:rPr>
              <w:t xml:space="preserve">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</w:t>
            </w:r>
            <w:proofErr w:type="gram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связи и </w:t>
            </w: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 36498,9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13700,4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2029,8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15056,2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2 429,6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2029,8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21442,7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456A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921"/>
        <w:gridCol w:w="2478"/>
        <w:gridCol w:w="1805"/>
        <w:gridCol w:w="1065"/>
        <w:gridCol w:w="1070"/>
        <w:gridCol w:w="927"/>
        <w:gridCol w:w="9"/>
        <w:gridCol w:w="986"/>
        <w:gridCol w:w="10"/>
        <w:gridCol w:w="10"/>
        <w:gridCol w:w="936"/>
        <w:gridCol w:w="936"/>
        <w:gridCol w:w="936"/>
      </w:tblGrid>
      <w:tr w:rsidR="008D4E82" w:rsidRPr="00ED41E6" w:rsidTr="00880F04">
        <w:tc>
          <w:tcPr>
            <w:tcW w:w="697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26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8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77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880F04">
        <w:tc>
          <w:tcPr>
            <w:tcW w:w="697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C4398" w:rsidRPr="00ED41E6" w:rsidTr="00880F04">
        <w:trPr>
          <w:trHeight w:val="302"/>
        </w:trPr>
        <w:tc>
          <w:tcPr>
            <w:tcW w:w="697" w:type="dxa"/>
            <w:vMerge w:val="restart"/>
            <w:vAlign w:val="center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2C4398" w:rsidRPr="00ED41E6" w:rsidRDefault="002C4398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36498,8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996" w:type="dxa"/>
            <w:gridSpan w:val="3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13700,4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C4398" w:rsidRPr="00ED41E6" w:rsidTr="00880F04">
        <w:trPr>
          <w:trHeight w:val="292"/>
        </w:trPr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21442,7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86" w:type="dxa"/>
            <w:gridSpan w:val="2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46" w:type="dxa"/>
            <w:gridSpan w:val="2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4398" w:rsidRPr="00ED41E6" w:rsidTr="00880F04">
        <w:trPr>
          <w:trHeight w:val="345"/>
        </w:trPr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gridSpan w:val="2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6" w:type="dxa"/>
            <w:gridSpan w:val="2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4398" w:rsidRPr="00ED41E6" w:rsidTr="00880F04"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15056,2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986" w:type="dxa"/>
            <w:gridSpan w:val="2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946" w:type="dxa"/>
            <w:gridSpan w:val="2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456A6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C4398" w:rsidRPr="00ED41E6" w:rsidTr="00880F04"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6" w:type="dxa"/>
            <w:gridSpan w:val="3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456A69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2792,3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629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483,9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170,4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91,1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397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176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2224,9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483,9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2792,3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397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86802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176</w:t>
            </w:r>
            <w:r w:rsidR="000C2A9A"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A8518F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район № 407 от 30 марта 2018 года «Об утверждении Правил предоставления молодым семьям социальных выплат на приобретение (строительство) жилья и их использования.</w:t>
      </w:r>
      <w:proofErr w:type="gramEnd"/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D77A72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-венный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никподпрог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-рам</w:t>
            </w:r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D77A72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D77A72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2792,3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2115</w:t>
            </w:r>
            <w:r w:rsidR="000C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</w:t>
            </w:r>
            <w:r w:rsidR="000C2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vAlign w:val="center"/>
          </w:tcPr>
          <w:p w:rsidR="000C2A9A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6E8D"/>
    <w:rsid w:val="00010149"/>
    <w:rsid w:val="00010C37"/>
    <w:rsid w:val="00014C50"/>
    <w:rsid w:val="00027FDA"/>
    <w:rsid w:val="00033E1E"/>
    <w:rsid w:val="00036D1B"/>
    <w:rsid w:val="00040C5B"/>
    <w:rsid w:val="0005304F"/>
    <w:rsid w:val="000621C3"/>
    <w:rsid w:val="000635AA"/>
    <w:rsid w:val="00063EEC"/>
    <w:rsid w:val="00067C98"/>
    <w:rsid w:val="00073DA1"/>
    <w:rsid w:val="00094E4E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4F1B"/>
    <w:rsid w:val="001303D3"/>
    <w:rsid w:val="00151839"/>
    <w:rsid w:val="00154B9B"/>
    <w:rsid w:val="0016114A"/>
    <w:rsid w:val="0016331A"/>
    <w:rsid w:val="00184BF1"/>
    <w:rsid w:val="001974FA"/>
    <w:rsid w:val="001B1D61"/>
    <w:rsid w:val="001C0112"/>
    <w:rsid w:val="001C0CE0"/>
    <w:rsid w:val="001C3CF9"/>
    <w:rsid w:val="001E724A"/>
    <w:rsid w:val="001F22D1"/>
    <w:rsid w:val="001F2525"/>
    <w:rsid w:val="001F59D4"/>
    <w:rsid w:val="0021539C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65C26"/>
    <w:rsid w:val="003711F2"/>
    <w:rsid w:val="00373CA0"/>
    <w:rsid w:val="00386976"/>
    <w:rsid w:val="00392188"/>
    <w:rsid w:val="003A51C9"/>
    <w:rsid w:val="003D0BF2"/>
    <w:rsid w:val="003D4BE7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3F10"/>
    <w:rsid w:val="004B6B7A"/>
    <w:rsid w:val="004C674E"/>
    <w:rsid w:val="004C6D0E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71CF"/>
    <w:rsid w:val="00540463"/>
    <w:rsid w:val="00544CDB"/>
    <w:rsid w:val="00555176"/>
    <w:rsid w:val="00560838"/>
    <w:rsid w:val="005659F9"/>
    <w:rsid w:val="00582800"/>
    <w:rsid w:val="005828AE"/>
    <w:rsid w:val="005846C7"/>
    <w:rsid w:val="005852BD"/>
    <w:rsid w:val="00592621"/>
    <w:rsid w:val="005A3D9F"/>
    <w:rsid w:val="005A413C"/>
    <w:rsid w:val="005C1A7B"/>
    <w:rsid w:val="005C250B"/>
    <w:rsid w:val="005C4C15"/>
    <w:rsid w:val="005C6E1E"/>
    <w:rsid w:val="005D4073"/>
    <w:rsid w:val="005D64ED"/>
    <w:rsid w:val="005D76EB"/>
    <w:rsid w:val="005E01EF"/>
    <w:rsid w:val="005E542E"/>
    <w:rsid w:val="005F31D5"/>
    <w:rsid w:val="00610369"/>
    <w:rsid w:val="00613561"/>
    <w:rsid w:val="00631019"/>
    <w:rsid w:val="00632446"/>
    <w:rsid w:val="00634432"/>
    <w:rsid w:val="00635497"/>
    <w:rsid w:val="00635807"/>
    <w:rsid w:val="00655E7D"/>
    <w:rsid w:val="00661BD9"/>
    <w:rsid w:val="0066629E"/>
    <w:rsid w:val="006666A0"/>
    <w:rsid w:val="0067130A"/>
    <w:rsid w:val="00674381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6F0"/>
    <w:rsid w:val="00700E25"/>
    <w:rsid w:val="00710FCB"/>
    <w:rsid w:val="00715AAB"/>
    <w:rsid w:val="00720E03"/>
    <w:rsid w:val="00725B94"/>
    <w:rsid w:val="00730CB4"/>
    <w:rsid w:val="0073248A"/>
    <w:rsid w:val="007335EC"/>
    <w:rsid w:val="00733DB9"/>
    <w:rsid w:val="007367F9"/>
    <w:rsid w:val="00743BFB"/>
    <w:rsid w:val="007545C2"/>
    <w:rsid w:val="00765816"/>
    <w:rsid w:val="0077459F"/>
    <w:rsid w:val="00775663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2E89"/>
    <w:rsid w:val="008153ED"/>
    <w:rsid w:val="008159B6"/>
    <w:rsid w:val="008169BB"/>
    <w:rsid w:val="00836233"/>
    <w:rsid w:val="00843AE7"/>
    <w:rsid w:val="008562EB"/>
    <w:rsid w:val="00871AF4"/>
    <w:rsid w:val="008748C3"/>
    <w:rsid w:val="00875948"/>
    <w:rsid w:val="00880F04"/>
    <w:rsid w:val="00890805"/>
    <w:rsid w:val="00897FBF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20609"/>
    <w:rsid w:val="00921FCC"/>
    <w:rsid w:val="00924E78"/>
    <w:rsid w:val="00927412"/>
    <w:rsid w:val="00932FDD"/>
    <w:rsid w:val="00944DC1"/>
    <w:rsid w:val="00983381"/>
    <w:rsid w:val="00985502"/>
    <w:rsid w:val="00996827"/>
    <w:rsid w:val="009A1C01"/>
    <w:rsid w:val="009A4663"/>
    <w:rsid w:val="009B08E2"/>
    <w:rsid w:val="009B2A94"/>
    <w:rsid w:val="009B3670"/>
    <w:rsid w:val="009B7028"/>
    <w:rsid w:val="009C750C"/>
    <w:rsid w:val="009E0958"/>
    <w:rsid w:val="009E263C"/>
    <w:rsid w:val="00A15770"/>
    <w:rsid w:val="00A17FE5"/>
    <w:rsid w:val="00A20457"/>
    <w:rsid w:val="00A21EC5"/>
    <w:rsid w:val="00A24BFE"/>
    <w:rsid w:val="00A27FEA"/>
    <w:rsid w:val="00A36131"/>
    <w:rsid w:val="00A42C24"/>
    <w:rsid w:val="00A5586E"/>
    <w:rsid w:val="00A60450"/>
    <w:rsid w:val="00A6494B"/>
    <w:rsid w:val="00A709EF"/>
    <w:rsid w:val="00A733AD"/>
    <w:rsid w:val="00A758EA"/>
    <w:rsid w:val="00A8068B"/>
    <w:rsid w:val="00A8518F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F547D"/>
    <w:rsid w:val="00B22925"/>
    <w:rsid w:val="00B373D8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943E9"/>
    <w:rsid w:val="00BA237E"/>
    <w:rsid w:val="00BA5A8C"/>
    <w:rsid w:val="00BB5AD0"/>
    <w:rsid w:val="00BC10DD"/>
    <w:rsid w:val="00BC19D2"/>
    <w:rsid w:val="00BC6A88"/>
    <w:rsid w:val="00BE5E57"/>
    <w:rsid w:val="00BF09ED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579AC"/>
    <w:rsid w:val="00C61282"/>
    <w:rsid w:val="00C71EC1"/>
    <w:rsid w:val="00C75088"/>
    <w:rsid w:val="00C81012"/>
    <w:rsid w:val="00C815F7"/>
    <w:rsid w:val="00C82513"/>
    <w:rsid w:val="00C927F0"/>
    <w:rsid w:val="00CA632D"/>
    <w:rsid w:val="00CA725B"/>
    <w:rsid w:val="00CB0D4E"/>
    <w:rsid w:val="00CB48C8"/>
    <w:rsid w:val="00CC1835"/>
    <w:rsid w:val="00CC76C1"/>
    <w:rsid w:val="00CE4BF2"/>
    <w:rsid w:val="00CF144D"/>
    <w:rsid w:val="00D0402A"/>
    <w:rsid w:val="00D12D53"/>
    <w:rsid w:val="00D246CB"/>
    <w:rsid w:val="00D313C6"/>
    <w:rsid w:val="00D31DFA"/>
    <w:rsid w:val="00D32604"/>
    <w:rsid w:val="00D3445B"/>
    <w:rsid w:val="00D40447"/>
    <w:rsid w:val="00D412DE"/>
    <w:rsid w:val="00D56D27"/>
    <w:rsid w:val="00D61CD6"/>
    <w:rsid w:val="00D67441"/>
    <w:rsid w:val="00D72B11"/>
    <w:rsid w:val="00D73279"/>
    <w:rsid w:val="00D77A72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C0157"/>
    <w:rsid w:val="00ED1E9E"/>
    <w:rsid w:val="00ED2680"/>
    <w:rsid w:val="00ED33C0"/>
    <w:rsid w:val="00ED5F48"/>
    <w:rsid w:val="00ED69F4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71D2"/>
    <w:rsid w:val="00F47A06"/>
    <w:rsid w:val="00F5568E"/>
    <w:rsid w:val="00F64357"/>
    <w:rsid w:val="00F76312"/>
    <w:rsid w:val="00F76FFB"/>
    <w:rsid w:val="00F8348F"/>
    <w:rsid w:val="00F8582A"/>
    <w:rsid w:val="00F86802"/>
    <w:rsid w:val="00F87324"/>
    <w:rsid w:val="00F96909"/>
    <w:rsid w:val="00FA063F"/>
    <w:rsid w:val="00FA1956"/>
    <w:rsid w:val="00FA226F"/>
    <w:rsid w:val="00FB4347"/>
    <w:rsid w:val="00FC2371"/>
    <w:rsid w:val="00FD0CEC"/>
    <w:rsid w:val="00FD11C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81407.10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FEC1CF392269781086977CCAEF2A04DFE7000A8ED17F431E1EC1D8B4A3AEFBD4BBAA2076909A5C6F185A3z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80094.1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FB7B-8F20-4AFD-86E2-E47C227A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85</Pages>
  <Words>21084</Words>
  <Characters>120183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6</cp:revision>
  <cp:lastPrinted>2016-12-07T06:30:00Z</cp:lastPrinted>
  <dcterms:created xsi:type="dcterms:W3CDTF">2018-12-27T09:50:00Z</dcterms:created>
  <dcterms:modified xsi:type="dcterms:W3CDTF">2018-12-27T14:39:00Z</dcterms:modified>
</cp:coreProperties>
</file>