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033E1E" w:rsidRDefault="00305F57" w:rsidP="00033E1E">
            <w:pPr>
              <w:spacing w:after="0" w:line="240" w:lineRule="auto"/>
            </w:pPr>
            <w:r w:rsidRP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отремонтированных стел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3E1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2015 - 2021 годы,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B943E9">
              <w:rPr>
                <w:rFonts w:ascii="Times New Roman" w:hAnsi="Times New Roman" w:cs="Times New Roman"/>
                <w:sz w:val="28"/>
                <w:szCs w:val="28"/>
              </w:rPr>
              <w:t xml:space="preserve">582 384,6 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6</w:t>
            </w:r>
            <w:r w:rsidR="00B9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527,9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19</w:t>
            </w:r>
            <w:r w:rsidR="00B9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998,4 тыс. рублей,</w:t>
            </w:r>
          </w:p>
          <w:p w:rsidR="00661BD9" w:rsidRPr="00D67006" w:rsidRDefault="00B943E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186 088,3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B943E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206 231,0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3457,4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2021 год – 3195,4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федерального бюджета – 79,3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>
              <w:rPr>
                <w:rFonts w:ascii="Times New Roman" w:hAnsi="Times New Roman" w:cs="Times New Roman"/>
                <w:sz w:val="28"/>
                <w:szCs w:val="28"/>
              </w:rPr>
              <w:t>аевого бюджета – 505377,5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D67006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B2A94">
              <w:rPr>
                <w:rFonts w:ascii="Times New Roman" w:hAnsi="Times New Roman" w:cs="Times New Roman"/>
                <w:sz w:val="28"/>
                <w:szCs w:val="28"/>
              </w:rPr>
              <w:t>157368,8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D67006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193219,4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588,5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2021 год – 588,5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9B2A94">
              <w:rPr>
                <w:rFonts w:ascii="Times New Roman" w:hAnsi="Times New Roman" w:cs="Times New Roman"/>
                <w:sz w:val="28"/>
                <w:szCs w:val="28"/>
              </w:rPr>
              <w:t>76927,8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D67006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287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13011,6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2868,9 тыс. рублей,</w:t>
            </w:r>
          </w:p>
          <w:p w:rsidR="00661BD9" w:rsidRPr="00D67006" w:rsidRDefault="009B2A94" w:rsidP="003E1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2868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,9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B2A94">
              <w:rPr>
                <w:rFonts w:ascii="Times New Roman" w:hAnsi="Times New Roman"/>
                <w:sz w:val="28"/>
                <w:szCs w:val="28"/>
              </w:rPr>
              <w:t>ем финансирования составляет 538766,8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173197,9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202769,4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0,0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</w:t>
            </w:r>
            <w:r w:rsidR="009B2A94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="009B2A94">
              <w:rPr>
                <w:rFonts w:ascii="Times New Roman" w:hAnsi="Times New Roman"/>
                <w:sz w:val="28"/>
                <w:szCs w:val="28"/>
              </w:rPr>
              <w:t>аевого бюджета – 482 171,7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B2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-3840,0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147749,5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192630,9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</w:t>
            </w:r>
            <w:r w:rsidR="009B2A94">
              <w:rPr>
                <w:rFonts w:ascii="Times New Roman" w:hAnsi="Times New Roman"/>
                <w:sz w:val="28"/>
                <w:szCs w:val="28"/>
              </w:rPr>
              <w:t>з средств местного бюджета – 56595,1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25</w:t>
            </w:r>
            <w:r w:rsidR="009B2A94">
              <w:rPr>
                <w:rFonts w:ascii="Times New Roman" w:hAnsi="Times New Roman"/>
                <w:sz w:val="28"/>
                <w:szCs w:val="28"/>
              </w:rPr>
              <w:t>4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48,4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10138,5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9C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21539C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>
              <w:rPr>
                <w:rFonts w:ascii="Times New Roman" w:hAnsi="Times New Roman"/>
                <w:sz w:val="28"/>
                <w:szCs w:val="28"/>
              </w:rPr>
              <w:t>оставляет                 33999,3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11102,9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2019 год – 2041,1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2021 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аевого бюджета –  </w:t>
            </w:r>
            <w:r w:rsidR="00245D2A">
              <w:rPr>
                <w:rFonts w:ascii="Times New Roman" w:hAnsi="Times New Roman"/>
                <w:sz w:val="28"/>
                <w:szCs w:val="28"/>
              </w:rPr>
              <w:t xml:space="preserve">                   18845,2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8763,8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>
              <w:rPr>
                <w:rFonts w:ascii="Times New Roman" w:hAnsi="Times New Roman"/>
                <w:sz w:val="28"/>
                <w:szCs w:val="28"/>
              </w:rPr>
              <w:t>средств местного бюджета –15154,1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2041,1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2021год – 2036,9 тыс. рублей;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373CA0">
              <w:rPr>
                <w:rFonts w:ascii="Times New Roman" w:hAnsi="Times New Roman"/>
                <w:sz w:val="28"/>
                <w:szCs w:val="28"/>
              </w:rPr>
              <w:t>2115,9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D67006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629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2020 год –362,0 тыс. рублей, 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средств федерального бюджета- 79,3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</w:t>
            </w:r>
            <w:r w:rsidR="00373CA0">
              <w:rPr>
                <w:rFonts w:ascii="Times New Roman" w:hAnsi="Times New Roman"/>
                <w:sz w:val="28"/>
                <w:szCs w:val="28"/>
              </w:rPr>
              <w:t>з сре</w:t>
            </w:r>
            <w:proofErr w:type="gramStart"/>
            <w:r w:rsidR="00373CA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373CA0">
              <w:rPr>
                <w:rFonts w:ascii="Times New Roman" w:hAnsi="Times New Roman"/>
                <w:sz w:val="28"/>
                <w:szCs w:val="28"/>
              </w:rPr>
              <w:t>аевого бюджета – 488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>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D67006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–267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1548,6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этимвозникланеобходимостьвежегодномтранспортировании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8C5C9B">
        <w:fldChar w:fldCharType="begin"/>
      </w:r>
      <w:r w:rsidR="00AE26AF">
        <w:instrText>HYPERLINK \l "sub_1800"</w:instrText>
      </w:r>
      <w:r w:rsidR="008C5C9B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8C5C9B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8C5C9B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C5C9B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C5C9B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C5C9B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8C5C9B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21539C">
            <w:pPr>
              <w:pStyle w:val="a6"/>
              <w:tabs>
                <w:tab w:val="left" w:pos="44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  <w:r w:rsidR="00215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308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7 502,6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680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A649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64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373CA0" w:rsidP="005D7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538 766,8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482 171,7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56 595,1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293D03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373CA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«Повышение безопасности дорожного движения в муниципальном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33 999,3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293D03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18 845,2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700E2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293D03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D56D27" w:rsidRDefault="00373CA0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293D03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373CA0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2115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629</w:t>
            </w:r>
            <w:r w:rsidR="00A6494B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373CA0" w:rsidP="00373CA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488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267</w:t>
            </w:r>
            <w:r w:rsidR="00A6494B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582 384,6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ED5F48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186088,3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206231,0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3457,4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3457,4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505 377,5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157368,8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193219,4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76 927,8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11 550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293D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373CA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87</w:t>
            </w:r>
            <w:r w:rsidR="00293D0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2868,9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2868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 xml:space="preserve">538766,8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 xml:space="preserve">18 год –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173197,9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202769,4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482171,7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147749,5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192630,9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 – 56595,1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62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10138,5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538766,8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7A73B0" w:rsidRPr="00ED41E6" w:rsidRDefault="0021539C" w:rsidP="007A73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189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952,2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E80D2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1539C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389,7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166532,6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21539C" w:rsidP="00CA63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419,6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1B1D6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1539C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5C6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F379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д/с№ 21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 сетям, приемо-сдаточная документация</w:t>
            </w:r>
            <w:r w:rsidR="0044641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строительство инженерных сетей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FA063F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98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44641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60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управление образования</w:t>
            </w:r>
            <w:r w:rsidR="00544CD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FA063F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98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6324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44641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A42C2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743BFB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4042,6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44641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260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28581,3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FA063F" w:rsidP="003A51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04,4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44641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02,2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348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814,6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142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808,2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5E542E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spell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реждениях</w:t>
            </w:r>
            <w:proofErr w:type="spell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315639,1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123008,2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33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175,5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562,8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325,8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562,8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325,8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332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251,8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129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gram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315639,1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123008,2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D3445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612,7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D344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538766,8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40463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173197,9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482171,7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63101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147749,5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56595,1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977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</w:t>
            </w:r>
            <w:r w:rsidR="009A466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C5C9B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ED41E6" w:rsidRDefault="00F33791" w:rsidP="00F337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538766,8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F33791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173197,9</w:t>
            </w:r>
          </w:p>
        </w:tc>
        <w:tc>
          <w:tcPr>
            <w:tcW w:w="1134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482171,7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147749,5</w:t>
            </w:r>
          </w:p>
        </w:tc>
        <w:tc>
          <w:tcPr>
            <w:tcW w:w="1134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56595,1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25448,4</w:t>
            </w:r>
          </w:p>
        </w:tc>
        <w:tc>
          <w:tcPr>
            <w:tcW w:w="1134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F76FFB">
        <w:rPr>
          <w:rStyle w:val="a3"/>
          <w:rFonts w:ascii="Times New Roman" w:hAnsi="Times New Roman" w:cs="Times New Roman"/>
          <w:b w:val="0"/>
          <w:bCs/>
        </w:rPr>
        <w:lastRenderedPageBreak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lastRenderedPageBreak/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21</w:t>
            </w:r>
            <w:r w:rsidR="00836233" w:rsidRPr="00ED41E6">
              <w:rPr>
                <w:rFonts w:ascii="Times New Roman" w:hAnsi="Times New Roman"/>
                <w:color w:val="000000" w:themeColor="text1"/>
                <w:szCs w:val="28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21</w:t>
            </w:r>
            <w:r w:rsidR="00836233" w:rsidRPr="00ED41E6">
              <w:rPr>
                <w:rFonts w:ascii="Times New Roman" w:hAnsi="Times New Roman"/>
                <w:color w:val="000000" w:themeColor="text1"/>
                <w:szCs w:val="28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21</w:t>
            </w:r>
            <w:r w:rsidR="00836233" w:rsidRPr="00ED41E6">
              <w:rPr>
                <w:rFonts w:ascii="Times New Roman" w:hAnsi="Times New Roman"/>
                <w:color w:val="000000" w:themeColor="text1"/>
                <w:szCs w:val="28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21</w:t>
            </w:r>
            <w:r w:rsidR="00836233" w:rsidRPr="00ED41E6">
              <w:rPr>
                <w:rFonts w:ascii="Times New Roman" w:hAnsi="Times New Roman"/>
                <w:color w:val="000000" w:themeColor="text1"/>
                <w:szCs w:val="28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21</w:t>
            </w:r>
            <w:r w:rsidR="00836233" w:rsidRPr="00ED41E6">
              <w:rPr>
                <w:rFonts w:ascii="Times New Roman" w:hAnsi="Times New Roman"/>
                <w:color w:val="000000" w:themeColor="text1"/>
                <w:szCs w:val="28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21</w:t>
            </w:r>
            <w:r w:rsidR="00836233" w:rsidRPr="00ED41E6">
              <w:rPr>
                <w:rFonts w:ascii="Times New Roman" w:hAnsi="Times New Roman"/>
                <w:color w:val="000000" w:themeColor="text1"/>
                <w:szCs w:val="28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lastRenderedPageBreak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FA063F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A063F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A063F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11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A063F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проведение инженерных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6785,8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6785,8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A063F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A063F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A063F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11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A063F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6785,8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6785,8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AC62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с увеличением вместимости и выделением блока начального образования на 400 мест(1 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A063F" w:rsidP="00FA06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348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814,6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808,2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F35D09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202769,4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315639,1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123008,2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192630,9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175,5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10138,5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FA063F" w:rsidP="00FA06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348</w:t>
            </w:r>
            <w:r w:rsidR="00880F04">
              <w:rPr>
                <w:rFonts w:ascii="Times New Roman" w:hAnsi="Times New Roman" w:cs="Times New Roman"/>
                <w:color w:val="000000" w:themeColor="text1"/>
              </w:rPr>
              <w:t>814,6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FA06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A063F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808,2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F35D09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202769,4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315639,1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123008,2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192630,9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80F04">
              <w:rPr>
                <w:rFonts w:ascii="Times New Roman" w:hAnsi="Times New Roman" w:cs="Times New Roman"/>
                <w:color w:val="000000" w:themeColor="text1"/>
              </w:rPr>
              <w:t>175,5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880F0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80F04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10138,5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0F04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80F04">
              <w:rPr>
                <w:rFonts w:ascii="Times New Roman" w:hAnsi="Times New Roman" w:cs="Times New Roman"/>
                <w:color w:val="000000" w:themeColor="text1"/>
              </w:rPr>
              <w:t>562,8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80F04">
              <w:rPr>
                <w:rFonts w:ascii="Times New Roman" w:hAnsi="Times New Roman" w:cs="Times New Roman"/>
                <w:color w:val="000000" w:themeColor="text1"/>
              </w:rPr>
              <w:t>562,8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FA063F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EC1" w:rsidRPr="00C71EC1" w:rsidRDefault="00C71EC1" w:rsidP="00C71EC1"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33 999,3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11102,9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204</w:t>
            </w:r>
            <w:r w:rsidR="008C0C3C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18845,2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A9468B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8763,8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A9468B">
              <w:rPr>
                <w:rFonts w:ascii="Times New Roman" w:hAnsi="Times New Roman"/>
                <w:sz w:val="28"/>
                <w:szCs w:val="28"/>
              </w:rPr>
              <w:t>5154,1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0A13C9">
              <w:rPr>
                <w:rFonts w:ascii="Times New Roman" w:hAnsi="Times New Roman"/>
                <w:sz w:val="28"/>
                <w:szCs w:val="28"/>
              </w:rPr>
              <w:t>04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0A13C9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2 036,9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A13C9">
              <w:rPr>
                <w:rFonts w:ascii="Times New Roman" w:hAnsi="Times New Roman" w:cs="Times New Roman"/>
                <w:sz w:val="28"/>
                <w:szCs w:val="28"/>
              </w:rPr>
              <w:t xml:space="preserve"> – 2 036,9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>я подпрограммы составляет 24 840,8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0A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</w:t>
            </w:r>
            <w:r w:rsidR="00AE5C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A9468B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20 533,0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0752,9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A9468B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5C250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11 731,1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1985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3F15AF" w:rsidP="003F15A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1974F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80F04" w:rsidRPr="00ED41E6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80F04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5A3D9F" w:rsidRDefault="00880F04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19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5A3D9F" w:rsidRDefault="00880F04" w:rsidP="0021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</w:p>
        </w:tc>
        <w:tc>
          <w:tcPr>
            <w:tcW w:w="1985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A9468B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880F04" w:rsidRPr="00ED41E6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880F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5A3D9F" w:rsidRDefault="00880F04" w:rsidP="0021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68B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24 716,0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AE5C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1985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9468B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14 634,6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1985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E01E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562E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A9468B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94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26"/>
        <w:gridCol w:w="2481"/>
        <w:gridCol w:w="1805"/>
        <w:gridCol w:w="1066"/>
        <w:gridCol w:w="1071"/>
        <w:gridCol w:w="927"/>
        <w:gridCol w:w="9"/>
        <w:gridCol w:w="976"/>
        <w:gridCol w:w="10"/>
        <w:gridCol w:w="10"/>
        <w:gridCol w:w="936"/>
        <w:gridCol w:w="936"/>
        <w:gridCol w:w="936"/>
      </w:tblGrid>
      <w:tr w:rsidR="008D4E82" w:rsidRPr="00ED41E6" w:rsidTr="00880F04">
        <w:tc>
          <w:tcPr>
            <w:tcW w:w="697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26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8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77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880F04">
        <w:tc>
          <w:tcPr>
            <w:tcW w:w="697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80F04" w:rsidRPr="00ED41E6" w:rsidTr="00880F04">
        <w:trPr>
          <w:trHeight w:val="302"/>
        </w:trPr>
        <w:tc>
          <w:tcPr>
            <w:tcW w:w="697" w:type="dxa"/>
            <w:vMerge w:val="restart"/>
            <w:vAlign w:val="center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880F04" w:rsidRPr="00ED41E6" w:rsidRDefault="00880F04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80F04" w:rsidRPr="00ED41E6" w:rsidRDefault="00880F04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24 716,0</w:t>
            </w:r>
          </w:p>
        </w:tc>
        <w:tc>
          <w:tcPr>
            <w:tcW w:w="106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1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80F04" w:rsidRPr="00ED41E6" w:rsidRDefault="00880F04" w:rsidP="005E01E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6 231,5</w:t>
            </w:r>
          </w:p>
        </w:tc>
        <w:tc>
          <w:tcPr>
            <w:tcW w:w="996" w:type="dxa"/>
            <w:gridSpan w:val="3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11102,9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880F04" w:rsidRPr="00ED41E6" w:rsidTr="00880F04">
        <w:trPr>
          <w:trHeight w:val="292"/>
        </w:trPr>
        <w:tc>
          <w:tcPr>
            <w:tcW w:w="697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80F04" w:rsidRPr="00ED41E6" w:rsidRDefault="00880F04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06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1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8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4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80F04" w:rsidRPr="00ED41E6" w:rsidTr="00880F04">
        <w:trPr>
          <w:trHeight w:val="345"/>
        </w:trPr>
        <w:tc>
          <w:tcPr>
            <w:tcW w:w="697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gridSpan w:val="2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gridSpan w:val="2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80F04" w:rsidRPr="00ED41E6" w:rsidRDefault="00880F04" w:rsidP="0021539C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80F04" w:rsidRPr="00ED41E6" w:rsidTr="00880F04">
        <w:tc>
          <w:tcPr>
            <w:tcW w:w="697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80F04" w:rsidRPr="00ED41E6" w:rsidRDefault="00880F04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80F04" w:rsidRPr="00E24612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634,6</w:t>
            </w:r>
          </w:p>
        </w:tc>
        <w:tc>
          <w:tcPr>
            <w:tcW w:w="1066" w:type="dxa"/>
            <w:vAlign w:val="center"/>
          </w:tcPr>
          <w:p w:rsidR="00880F04" w:rsidRPr="00E24612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1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80F04" w:rsidRPr="00ED41E6" w:rsidRDefault="00880F04" w:rsidP="002E1A6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2 429</w:t>
            </w:r>
            <w:bookmarkStart w:id="47" w:name="_GoBack"/>
            <w:bookmarkEnd w:id="47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946" w:type="dxa"/>
            <w:gridSpan w:val="2"/>
            <w:vAlign w:val="center"/>
          </w:tcPr>
          <w:p w:rsidR="00880F04" w:rsidRPr="00ED41E6" w:rsidRDefault="00880F04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8D4E82" w:rsidRPr="00ED41E6" w:rsidTr="00880F04">
        <w:tc>
          <w:tcPr>
            <w:tcW w:w="697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6" w:type="dxa"/>
            <w:gridSpan w:val="3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2115,9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629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362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федерального бюджета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488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267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1548,6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D77A7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2115</w:t>
            </w:r>
            <w:r w:rsidR="000C2A9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488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0C2A9A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1548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D77A7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267</w:t>
            </w:r>
            <w:r w:rsidR="000C2A9A"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A8518F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A8518F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A8518F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район № 407 от 30 марта 2018 года «Об утверждении Правил предоставления молодым семьям социальных выплат на приобретение (строительство) жилья и их использования.</w:t>
      </w:r>
      <w:proofErr w:type="gramEnd"/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D77A72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D77A72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D77A72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2115</w:t>
            </w:r>
            <w:r w:rsidR="000C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2115</w:t>
            </w:r>
            <w:r w:rsidR="000C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  <w:r w:rsidR="000C2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vAlign w:val="center"/>
          </w:tcPr>
          <w:p w:rsidR="000C2A9A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27FDA"/>
    <w:rsid w:val="00033E1E"/>
    <w:rsid w:val="00036D1B"/>
    <w:rsid w:val="00040C5B"/>
    <w:rsid w:val="0005304F"/>
    <w:rsid w:val="000621C3"/>
    <w:rsid w:val="000635AA"/>
    <w:rsid w:val="00063EEC"/>
    <w:rsid w:val="00067C98"/>
    <w:rsid w:val="00073DA1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4F1B"/>
    <w:rsid w:val="001303D3"/>
    <w:rsid w:val="00151839"/>
    <w:rsid w:val="00154B9B"/>
    <w:rsid w:val="0016114A"/>
    <w:rsid w:val="0016331A"/>
    <w:rsid w:val="001974FA"/>
    <w:rsid w:val="001B1D61"/>
    <w:rsid w:val="001C0112"/>
    <w:rsid w:val="001C0CE0"/>
    <w:rsid w:val="001C3CF9"/>
    <w:rsid w:val="001E724A"/>
    <w:rsid w:val="001F2525"/>
    <w:rsid w:val="001F59D4"/>
    <w:rsid w:val="0021539C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108B"/>
    <w:rsid w:val="00282687"/>
    <w:rsid w:val="002869DD"/>
    <w:rsid w:val="00293D03"/>
    <w:rsid w:val="002B1DC2"/>
    <w:rsid w:val="002C2CB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65C26"/>
    <w:rsid w:val="003711F2"/>
    <w:rsid w:val="00373CA0"/>
    <w:rsid w:val="00386976"/>
    <w:rsid w:val="00392188"/>
    <w:rsid w:val="003A51C9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674E"/>
    <w:rsid w:val="004C6D0E"/>
    <w:rsid w:val="004E5131"/>
    <w:rsid w:val="004E5242"/>
    <w:rsid w:val="004F5C35"/>
    <w:rsid w:val="004F74D2"/>
    <w:rsid w:val="00501CE3"/>
    <w:rsid w:val="005064F6"/>
    <w:rsid w:val="00512FE6"/>
    <w:rsid w:val="00515086"/>
    <w:rsid w:val="00517C47"/>
    <w:rsid w:val="00540463"/>
    <w:rsid w:val="00544CDB"/>
    <w:rsid w:val="00555176"/>
    <w:rsid w:val="005659F9"/>
    <w:rsid w:val="00582800"/>
    <w:rsid w:val="005828AE"/>
    <w:rsid w:val="005846C7"/>
    <w:rsid w:val="005A3D9F"/>
    <w:rsid w:val="005A413C"/>
    <w:rsid w:val="005C1A7B"/>
    <w:rsid w:val="005C250B"/>
    <w:rsid w:val="005C4C15"/>
    <w:rsid w:val="005C6E1E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1BD9"/>
    <w:rsid w:val="0066629E"/>
    <w:rsid w:val="006666A0"/>
    <w:rsid w:val="0067130A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6F0"/>
    <w:rsid w:val="00700E25"/>
    <w:rsid w:val="00710FCB"/>
    <w:rsid w:val="00725B94"/>
    <w:rsid w:val="00730CB4"/>
    <w:rsid w:val="0073248A"/>
    <w:rsid w:val="007335EC"/>
    <w:rsid w:val="00733DB9"/>
    <w:rsid w:val="007367F9"/>
    <w:rsid w:val="00743BFB"/>
    <w:rsid w:val="0077459F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2E89"/>
    <w:rsid w:val="008159B6"/>
    <w:rsid w:val="008169BB"/>
    <w:rsid w:val="00836233"/>
    <w:rsid w:val="00843AE7"/>
    <w:rsid w:val="008562EB"/>
    <w:rsid w:val="00871AF4"/>
    <w:rsid w:val="008748C3"/>
    <w:rsid w:val="00875948"/>
    <w:rsid w:val="00880F04"/>
    <w:rsid w:val="00890805"/>
    <w:rsid w:val="00897FBF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920609"/>
    <w:rsid w:val="00921FCC"/>
    <w:rsid w:val="00924E78"/>
    <w:rsid w:val="00927412"/>
    <w:rsid w:val="00932FDD"/>
    <w:rsid w:val="00944DC1"/>
    <w:rsid w:val="00983381"/>
    <w:rsid w:val="00996827"/>
    <w:rsid w:val="009A1C01"/>
    <w:rsid w:val="009A4663"/>
    <w:rsid w:val="009B08E2"/>
    <w:rsid w:val="009B2A94"/>
    <w:rsid w:val="009B3670"/>
    <w:rsid w:val="009B7028"/>
    <w:rsid w:val="009E0958"/>
    <w:rsid w:val="009E263C"/>
    <w:rsid w:val="00A17FE5"/>
    <w:rsid w:val="00A20457"/>
    <w:rsid w:val="00A21EC5"/>
    <w:rsid w:val="00A24BFE"/>
    <w:rsid w:val="00A27FEA"/>
    <w:rsid w:val="00A36131"/>
    <w:rsid w:val="00A42C24"/>
    <w:rsid w:val="00A5586E"/>
    <w:rsid w:val="00A60450"/>
    <w:rsid w:val="00A6494B"/>
    <w:rsid w:val="00A709EF"/>
    <w:rsid w:val="00A733AD"/>
    <w:rsid w:val="00A758EA"/>
    <w:rsid w:val="00A8068B"/>
    <w:rsid w:val="00A8518F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F547D"/>
    <w:rsid w:val="00B22925"/>
    <w:rsid w:val="00B373D8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943E9"/>
    <w:rsid w:val="00BA237E"/>
    <w:rsid w:val="00BA5A8C"/>
    <w:rsid w:val="00BC10DD"/>
    <w:rsid w:val="00BC19D2"/>
    <w:rsid w:val="00BC6A88"/>
    <w:rsid w:val="00BE5E57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61282"/>
    <w:rsid w:val="00C71EC1"/>
    <w:rsid w:val="00C75088"/>
    <w:rsid w:val="00C81012"/>
    <w:rsid w:val="00C815F7"/>
    <w:rsid w:val="00C82513"/>
    <w:rsid w:val="00C927F0"/>
    <w:rsid w:val="00CA632D"/>
    <w:rsid w:val="00CB0D4E"/>
    <w:rsid w:val="00CC1835"/>
    <w:rsid w:val="00CC76C1"/>
    <w:rsid w:val="00CE4BF2"/>
    <w:rsid w:val="00CF144D"/>
    <w:rsid w:val="00D0402A"/>
    <w:rsid w:val="00D12D53"/>
    <w:rsid w:val="00D246CB"/>
    <w:rsid w:val="00D32604"/>
    <w:rsid w:val="00D3445B"/>
    <w:rsid w:val="00D40447"/>
    <w:rsid w:val="00D412DE"/>
    <w:rsid w:val="00D56D27"/>
    <w:rsid w:val="00D61CD6"/>
    <w:rsid w:val="00D67441"/>
    <w:rsid w:val="00D72B11"/>
    <w:rsid w:val="00D73279"/>
    <w:rsid w:val="00D77A72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71D2"/>
    <w:rsid w:val="00F5568E"/>
    <w:rsid w:val="00F64357"/>
    <w:rsid w:val="00F76312"/>
    <w:rsid w:val="00F76FFB"/>
    <w:rsid w:val="00F8348F"/>
    <w:rsid w:val="00F8582A"/>
    <w:rsid w:val="00F87324"/>
    <w:rsid w:val="00F96909"/>
    <w:rsid w:val="00FA063F"/>
    <w:rsid w:val="00FA1956"/>
    <w:rsid w:val="00FA226F"/>
    <w:rsid w:val="00FB4347"/>
    <w:rsid w:val="00FC2371"/>
    <w:rsid w:val="00FD0CEC"/>
    <w:rsid w:val="00FD11C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BDBA-A912-467A-84DF-D670172B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20765</Words>
  <Characters>118365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2</cp:revision>
  <cp:lastPrinted>2016-12-07T06:30:00Z</cp:lastPrinted>
  <dcterms:created xsi:type="dcterms:W3CDTF">2018-06-28T13:47:00Z</dcterms:created>
  <dcterms:modified xsi:type="dcterms:W3CDTF">2018-06-28T13:47:00Z</dcterms:modified>
</cp:coreProperties>
</file>