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D9" w:rsidRPr="001A095A" w:rsidRDefault="009A76D9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5977ED" w:rsidRDefault="009A76D9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5977ED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5977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77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, с изменениями и дополнениями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 xml:space="preserve">от27 февраля, 29 апреля, 23 июня, 27 августа, 30 октября,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14 декабря, </w:t>
      </w:r>
      <w:r w:rsidRPr="00967E8A">
        <w:rPr>
          <w:rFonts w:ascii="Times New Roman" w:hAnsi="Times New Roman" w:cs="Times New Roman"/>
          <w:color w:val="26282F"/>
          <w:sz w:val="28"/>
          <w:szCs w:val="28"/>
        </w:rPr>
        <w:t>29 декабря 2015 г</w:t>
      </w:r>
      <w:r>
        <w:rPr>
          <w:rFonts w:ascii="Times New Roman" w:hAnsi="Times New Roman" w:cs="Times New Roman"/>
          <w:color w:val="26282F"/>
          <w:sz w:val="28"/>
          <w:szCs w:val="28"/>
        </w:rPr>
        <w:t>,20 февраля,20 апреля 2016г,23 июня 2016г,02 сентября 2016 г.,24 ноября 2016г,20 февраля 2017г,20 апреля 2017г,22 июня 2017г</w:t>
      </w:r>
      <w:r w:rsidRPr="005977ED">
        <w:rPr>
          <w:rFonts w:ascii="Times New Roman" w:hAnsi="Times New Roman" w:cs="Times New Roman"/>
          <w:color w:val="26282F"/>
          <w:sz w:val="28"/>
          <w:szCs w:val="28"/>
        </w:rPr>
        <w:t>)</w:t>
      </w:r>
    </w:p>
    <w:p w:rsidR="009A76D9" w:rsidRPr="005977ED" w:rsidRDefault="009A76D9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9A76D9" w:rsidRPr="001A095A" w:rsidRDefault="009A76D9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445F31" w:rsidRDefault="009A76D9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9A76D9" w:rsidRPr="00445F31" w:rsidRDefault="009A76D9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9A76D9" w:rsidRPr="00445F31" w:rsidRDefault="009A76D9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9A76D9" w:rsidRPr="00445F31" w:rsidRDefault="009A76D9" w:rsidP="00723837">
            <w:pPr>
              <w:pStyle w:val="a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31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район;</w:t>
            </w:r>
          </w:p>
          <w:p w:rsidR="009A76D9" w:rsidRPr="001D174D" w:rsidRDefault="009A76D9" w:rsidP="0072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район»;</w:t>
            </w:r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9A76D9" w:rsidRPr="001D174D" w:rsidRDefault="009A76D9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</w:p>
        </w:tc>
      </w:tr>
      <w:tr w:rsidR="009A76D9" w:rsidRPr="001D174D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6"/>
          </w:p>
          <w:p w:rsidR="009A76D9" w:rsidRPr="001D174D" w:rsidRDefault="009A76D9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</w:p>
          <w:p w:rsidR="009A76D9" w:rsidRPr="001D174D" w:rsidRDefault="009A76D9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9A76D9" w:rsidRPr="001D174D" w:rsidRDefault="009A76D9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A76D9" w:rsidRPr="001D174D" w:rsidRDefault="009A76D9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9A76D9" w:rsidRPr="001D174D" w:rsidRDefault="009A76D9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 составляет 5316595,7 тыс. рублей, в том числе по годам: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  -745081,1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  -762947,1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 - 772477,0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 - 758648,6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 - 758751,5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 - 758751,5тыс.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 - 758751,5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  780354,2 тыс. руб., в том числе по годам: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  - 95880,3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 - 122841,0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 - 112561,8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 - 112561,8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 - 112561,8тыс.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 - 112561,8тыс.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6106,2 тыс.руб., в том числе по годам: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-6106,2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4643,1 тыс. руб., в том числе: 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 -233,7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  -349,1 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– 2363,6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 - 347,0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 - 449,9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- 449,9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 - 449,9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 4525492,2 тыс. руб., в том числе по годам: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  -642860,9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  -652399,7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 - 647272,4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 - 645739,8тыс.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 - 645739,8 тыс. руб.;</w:t>
            </w:r>
          </w:p>
          <w:p w:rsidR="009A76D9" w:rsidRPr="006E2D64" w:rsidRDefault="009A76D9" w:rsidP="005C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 - 645739,8тыс. руб.;</w:t>
            </w:r>
          </w:p>
          <w:p w:rsidR="009A76D9" w:rsidRPr="001D174D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 - 645739,8тыс. руб.».</w:t>
            </w:r>
          </w:p>
        </w:tc>
      </w:tr>
    </w:tbl>
    <w:p w:rsidR="009A76D9" w:rsidRDefault="009A76D9" w:rsidP="00193940"/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Как и в предыдущие годы, наиболее распространенными причинами смерти в 2013 году остались болезни системы кровообращения (61,0 процента в общем числе умерших), новообразования (11,2 процента) и внешние причины (8,6 процента).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1A095A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1A095A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2 ст. Темижбекская на 30 коек с поликлиникой на 50 посещений в смену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- 3 амбулатории - х. Лосево на 25 посещений в смену п. М. Горького на 30 посещений в смену ст. Дмитриевская на 45 посещений в смену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1A095A">
        <w:rPr>
          <w:rFonts w:ascii="Times New Roman" w:hAnsi="Times New Roman" w:cs="Times New Roman"/>
          <w:sz w:val="28"/>
          <w:szCs w:val="28"/>
        </w:rPr>
        <w:t>III. МБУЗ "Станция скорой медицинской помощи" относится к III категории (от 25 до 50 тыс. выездов в год). Имеет 14 круглосуточных выездных бригад, в т.ч. 1 врачебная и 13 фельдшерских.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1A095A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1A095A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 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95A">
        <w:rPr>
          <w:rFonts w:ascii="Times New Roman" w:hAnsi="Times New Roman" w:cs="Times New Roman"/>
          <w:sz w:val="28"/>
          <w:szCs w:val="28"/>
        </w:rPr>
        <w:t>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1A095A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1A095A">
        <w:rPr>
          <w:rFonts w:ascii="Times New Roman" w:hAnsi="Times New Roman" w:cs="Times New Roman"/>
          <w:sz w:val="28"/>
          <w:szCs w:val="28"/>
        </w:rPr>
        <w:t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социально-бытовыми условиям и приводят к оттоку квалифицированных медицинских кадров.</w:t>
      </w:r>
    </w:p>
    <w:bookmarkEnd w:id="13"/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среднекраевым показателем (62,1 процента).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Коэффициент совместительства у врачей, работающих в указанных муниципальных образованиях, составляет в среднем от 1,5 до 2,0 (при среднекраевом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r w:rsidRPr="005101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9A76D9" w:rsidRPr="001A095A" w:rsidRDefault="009A76D9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9A76D9" w:rsidRPr="001A095A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510151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</w:t>
      </w:r>
      <w:r w:rsidRPr="005101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51015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A76D9" w:rsidRPr="00510151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9A76D9" w:rsidRPr="001A095A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9A76D9" w:rsidRPr="001A095A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9A76D9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к программе.</w:t>
      </w:r>
    </w:p>
    <w:p w:rsidR="009A76D9" w:rsidRPr="001A095A" w:rsidRDefault="009A76D9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9A76D9" w:rsidRPr="001A095A" w:rsidRDefault="009A76D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краевого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9A76D9" w:rsidRPr="001A095A" w:rsidRDefault="009A76D9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A76D9" w:rsidRPr="00510151" w:rsidRDefault="009A76D9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510151" w:rsidRDefault="009A76D9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510151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9A76D9" w:rsidRPr="00510151" w:rsidRDefault="009A76D9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15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510151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9A76D9" w:rsidRPr="001A095A" w:rsidRDefault="009A76D9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9A76D9" w:rsidRPr="00445F31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9A76D9" w:rsidRDefault="009A76D9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445F31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9A76D9" w:rsidRPr="001A095A" w:rsidRDefault="009A76D9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9A76D9" w:rsidRPr="001A095A" w:rsidRDefault="009A76D9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991">
        <w:rPr>
          <w:rFonts w:ascii="Times New Roman" w:hAnsi="Times New Roman" w:cs="Times New Roman"/>
          <w:b/>
          <w:bCs/>
          <w:sz w:val="28"/>
          <w:szCs w:val="28"/>
        </w:rPr>
        <w:t>8. Методика</w:t>
      </w:r>
      <w:r w:rsidRPr="007E7991">
        <w:rPr>
          <w:rFonts w:ascii="Times New Roman" w:hAnsi="Times New Roman" w:cs="Times New Roman"/>
          <w:b/>
          <w:bCs/>
          <w:sz w:val="28"/>
          <w:szCs w:val="28"/>
        </w:rPr>
        <w:br/>
        <w:t>оценки эффективности реализации муниципальной программы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10"/>
      <w:r w:rsidRPr="007E799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 w:rsidRPr="007E7991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7E7991">
        <w:rPr>
          <w:rFonts w:ascii="Times New Roman" w:hAnsi="Times New Roman" w:cs="Times New Roman"/>
          <w:sz w:val="28"/>
          <w:szCs w:val="28"/>
        </w:rPr>
        <w:t>1.2. Оценка эффективности реализации муниципальной программы рассчитывается на основании:</w:t>
      </w:r>
    </w:p>
    <w:bookmarkEnd w:id="22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реализации мероприятий подпрограмм, ведомственных целевых программ, основных мероприятий, включенных в муниципальную программу;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соответствия запланированному уровню расходов;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финансовых ресурсов;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 оценки степени достижения целей и решения задач подпрограмм, ведомственных целевых программ, включенных в муниципальную программу (далее - оценка степени реализации подпрограммы (ведомственной целевой программы).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10720"/>
      <w:r w:rsidRPr="007E7991">
        <w:rPr>
          <w:rFonts w:ascii="Times New Roman" w:hAnsi="Times New Roman" w:cs="Times New Roman"/>
          <w:b/>
          <w:bCs/>
          <w:sz w:val="28"/>
          <w:szCs w:val="28"/>
        </w:rPr>
        <w:t xml:space="preserve">2. Оценка степени реализации мероприятий </w:t>
      </w:r>
    </w:p>
    <w:bookmarkEnd w:id="23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721"/>
      <w:r w:rsidRPr="007E7991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каждой подпрограммы, ведомственной целевой программы и перечня основных мероприятий муниципальной программы, как доля мероприятий выполненных в полном объеме по следующей формуле:</w:t>
      </w:r>
    </w:p>
    <w:bookmarkEnd w:id="24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F664BA">
        <w:rPr>
          <w:rFonts w:ascii="Times New Roman" w:hAnsi="Times New Roman" w:cs="Times New Roman"/>
          <w:sz w:val="28"/>
          <w:szCs w:val="28"/>
        </w:rPr>
        <w:pict>
          <v:group id="_x0000_s1026" editas="canvas" style="width:69.4pt;height:32.2pt;mso-position-horizontal-relative:char;mso-position-vertical-relative:line" coordsize="1388,6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88;height:644" o:preferrelative="f">
              <v:fill o:detectmouseclick="t"/>
              <v:path o:extrusionok="t" o:connecttype="none"/>
              <o:lock v:ext="edit" text="t"/>
            </v:shape>
            <v:rect id="_x0000_s1028" style="position:absolute;width:1320;height:360" filled="f" stroked="f"/>
            <v:rect id="_x0000_s1029" style="position:absolute;left:15;top:15;width:229;height:818;mso-wrap-style:none" filled="f" stroked="f">
              <v:textbox style="mso-next-textbox:#_x0000_s1029;mso-rotate-with-shape:t;mso-fit-shape-to-text:t" inset="0,0,0,0">
                <w:txbxContent>
                  <w:p w:rsidR="009A76D9" w:rsidRDefault="009A76D9" w:rsidP="003F0B68">
                    <w:r>
                      <w:rPr>
                        <w:i/>
                        <w:iCs/>
                        <w:color w:val="000000"/>
                        <w:lang w:val="en-US"/>
                      </w:rPr>
                      <w:t>CP</w:t>
                    </w:r>
                  </w:p>
                </w:txbxContent>
              </v:textbox>
            </v:rect>
            <v:rect id="_x0000_s1030" style="position:absolute;left:300;top:135;width:175;height:425;mso-wrap-style:none" filled="f" stroked="f">
              <v:textbox style="mso-next-textbox:#_x0000_s1030;mso-rotate-with-shape:t;mso-fit-shape-to-text:t" inset="0,0,0,0">
                <w:txbxContent>
                  <w:p w:rsidR="009A76D9" w:rsidRPr="00CB5FF4" w:rsidRDefault="009A76D9" w:rsidP="003F0B6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CB5FF4">
                      <w:rPr>
                        <w:i/>
                        <w:iCs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31" style="position:absolute;left:465;top:15;width:110;height:509;mso-wrap-style:none" filled="f" stroked="f">
              <v:textbox style="mso-next-textbox:#_x0000_s103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630;top:15;width:189;height:509;mso-wrap-style:none" filled="f" stroked="f">
              <v:textbox style="mso-next-textbox:#_x0000_s1032;mso-rotate-with-shape:t;mso-fit-shape-to-text:t" inset="0,0,0,0">
                <w:txbxContent>
                  <w:p w:rsidR="009A76D9" w:rsidRPr="004F1C6F" w:rsidRDefault="009A76D9" w:rsidP="003F0B68">
                    <w:r w:rsidRPr="004F1C6F">
                      <w:rPr>
                        <w:i/>
                        <w:iCs/>
                        <w:color w:val="000000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33" style="position:absolute;left:825;top:135;width:126;height:425;mso-wrap-style:none" filled="f" stroked="f">
              <v:textbox style="mso-next-textbox:#_x0000_s1033;mso-rotate-with-shape:t;mso-fit-shape-to-text:t" inset="0,0,0,0">
                <w:txbxContent>
                  <w:p w:rsidR="009A76D9" w:rsidRPr="004F1C6F" w:rsidRDefault="009A76D9" w:rsidP="003F0B6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4F1C6F">
                      <w:rPr>
                        <w:i/>
                        <w:iCs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rect>
            <v:rect id="_x0000_s1034" style="position:absolute;left:945;top:15;width:85;height:509;mso-wrap-style:none" filled="f" stroked="f">
              <v:textbox style="mso-next-textbox:#_x0000_s103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5" style="position:absolute;left:1035;top:15;width:309;height:509;mso-wrap-style:none" filled="f" stroked="f">
              <v:textbox style="mso-next-textbox:#_x0000_s1035;mso-rotate-with-shape:t;mso-fit-shape-to-text:t" inset="0,0,0,0">
                <w:txbxContent>
                  <w:p w:rsidR="009A76D9" w:rsidRPr="00CB5FF4" w:rsidRDefault="009A76D9" w:rsidP="003F0B68">
                    <w:pPr>
                      <w:rPr>
                        <w:vertAlign w:val="subscript"/>
                      </w:rPr>
                    </w:pPr>
                    <w:r w:rsidRPr="003869BF">
                      <w:rPr>
                        <w:i/>
                        <w:iCs/>
                        <w:color w:val="000000"/>
                        <w:lang w:val="en-US"/>
                      </w:rPr>
                      <w:t>M</w:t>
                    </w:r>
                    <w:r w:rsidRPr="00CB5FF4">
                      <w:rPr>
                        <w:i/>
                        <w:iCs/>
                        <w:color w:val="000000"/>
                        <w:vertAlign w:val="subscript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Мв</w:t>
      </w:r>
      <w:r w:rsidRPr="007E79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7991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периоде;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Мп - общее количество мероприятий, запланированных к реализации в отчетном периоде.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722"/>
      <w:r w:rsidRPr="007E7991">
        <w:rPr>
          <w:rFonts w:ascii="Times New Roman" w:hAnsi="Times New Roman" w:cs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7221"/>
      <w:bookmarkEnd w:id="25"/>
      <w:r w:rsidRPr="007E7991">
        <w:rPr>
          <w:rFonts w:ascii="Times New Roman" w:hAnsi="Times New Roman" w:cs="Times New Roman"/>
          <w:sz w:val="28"/>
          <w:szCs w:val="28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7223"/>
      <w:bookmarkEnd w:id="26"/>
      <w:r w:rsidRPr="007E7991">
        <w:rPr>
          <w:rFonts w:ascii="Times New Roman" w:hAnsi="Times New Roman" w:cs="Times New Roman"/>
          <w:sz w:val="28"/>
          <w:szCs w:val="28"/>
        </w:rPr>
        <w:t>2.2.2.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bookmarkEnd w:id="27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730"/>
      <w:r w:rsidRPr="007E7991">
        <w:rPr>
          <w:rFonts w:ascii="Times New Roman" w:hAnsi="Times New Roman" w:cs="Times New Roman"/>
          <w:b/>
          <w:bCs/>
          <w:sz w:val="28"/>
          <w:szCs w:val="28"/>
        </w:rPr>
        <w:t>3. Оценка степени соответствия запланированному уровню расходов</w:t>
      </w:r>
    </w:p>
    <w:bookmarkEnd w:id="28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731"/>
      <w:r w:rsidRPr="007E7991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подпрограммы, ведомственной целевой программы и перечня основных мероприятий муниципальной программы,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9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A8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6" type="#_x0000_t75" style="width:283.5pt;height:21pt;visibility:visible">
            <v:imagedata r:id="rId6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732"/>
      <w:r w:rsidRPr="007E7991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Зфкб - фактические расходы на реализацию подпрограммы (ведомственной целевой программы, перечня основных мероприятий) из средств краевого бюджета, в том числе источником финансирования которых являются межбюджетные трансферты из федерального бюджета, в отчетном периоде;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Зпкб - плановые расходы на реализацию подпрограммы (ведомственной целевой программы, перечня основных мероприятий) из средств краевого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Зфмб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Зпмб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Зфви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Зпви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зб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зб = 0,6);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- весовой коэффициент значимости расходов из средств внебюджетных источников (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= 0,4).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 xml:space="preserve">зб = 1, </w:t>
      </w:r>
      <w:r w:rsidRPr="007E79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991">
        <w:rPr>
          <w:rFonts w:ascii="Times New Roman" w:hAnsi="Times New Roman" w:cs="Times New Roman"/>
          <w:sz w:val="28"/>
          <w:szCs w:val="28"/>
        </w:rPr>
        <w:t>зви не применяется.</w:t>
      </w:r>
    </w:p>
    <w:bookmarkEnd w:id="30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sub_10740"/>
      <w:r w:rsidRPr="007E7991">
        <w:rPr>
          <w:rFonts w:ascii="Times New Roman" w:hAnsi="Times New Roman" w:cs="Times New Roman"/>
          <w:b/>
          <w:bCs/>
          <w:sz w:val="28"/>
          <w:szCs w:val="28"/>
        </w:rPr>
        <w:t>4. Оценка эффективности использования финансовых ресурсов</w:t>
      </w:r>
    </w:p>
    <w:bookmarkEnd w:id="31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рассчитывается для каждой подпрограммы, ведомственной целевой программы и перечня основных мероприятий,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3458A8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78.75pt;height:18pt;visibility:visible">
            <v:imagedata r:id="rId7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0750"/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991">
        <w:rPr>
          <w:rFonts w:ascii="Times New Roman" w:hAnsi="Times New Roman" w:cs="Times New Roman"/>
          <w:b/>
          <w:bCs/>
          <w:sz w:val="28"/>
          <w:szCs w:val="28"/>
        </w:rPr>
        <w:t>5. Оценка степени реализации подпрограммы (ведомственной целевой программы)</w:t>
      </w:r>
    </w:p>
    <w:bookmarkEnd w:id="32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751"/>
      <w:r w:rsidRPr="007E7991">
        <w:rPr>
          <w:rFonts w:ascii="Times New Roman" w:hAnsi="Times New Roman" w:cs="Times New Roman"/>
          <w:sz w:val="28"/>
          <w:szCs w:val="28"/>
        </w:rPr>
        <w:t>5.1. Для оценки степени реализации подпрограммы, ведомственной целевой программы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52"/>
      <w:bookmarkEnd w:id="33"/>
      <w:r w:rsidRPr="007E7991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34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A8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8" type="#_x0000_t75" style="width:110.25pt;height:18pt;visibility:visible">
            <v:imagedata r:id="rId8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9A76D9" w:rsidRPr="007E7991" w:rsidRDefault="009A76D9" w:rsidP="003F0B68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3458A8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29" type="#_x0000_t75" style="width:110.25pt;height:18pt;visibility:visible">
            <v:imagedata r:id="rId9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СДп/пз - степень достижения планового значения целевого показателя подпрограммы (ведомственной целевой программы);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 (ведомственной целевой программы) фактически достигнутое на конец отчетного периода;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программы).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53"/>
      <w:r w:rsidRPr="007E7991">
        <w:rPr>
          <w:rFonts w:ascii="Times New Roman" w:hAnsi="Times New Roman" w:cs="Times New Roman"/>
          <w:sz w:val="28"/>
          <w:szCs w:val="28"/>
        </w:rPr>
        <w:t>5.3. Степень реализации подпрограммы (ведомственной целевой программы) рассчитывается по формуле:</w:t>
      </w:r>
    </w:p>
    <w:bookmarkEnd w:id="35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F664BA">
        <w:rPr>
          <w:rFonts w:ascii="Times New Roman" w:hAnsi="Times New Roman" w:cs="Times New Roman"/>
          <w:sz w:val="28"/>
          <w:szCs w:val="28"/>
        </w:rPr>
        <w:pict>
          <v:group id="_x0000_s1036" editas="canvas" style="width:136pt;height:57.7pt;mso-position-horizontal-relative:char;mso-position-vertical-relative:line" coordsize="2720,1154">
            <o:lock v:ext="edit" aspectratio="t"/>
            <v:shape id="_x0000_s1037" type="#_x0000_t75" style="position:absolute;width:2720;height:1154" o:preferrelative="f">
              <v:fill o:detectmouseclick="t"/>
              <v:path o:extrusionok="t" o:connecttype="none"/>
              <o:lock v:ext="edit" text="t"/>
            </v:shape>
            <v:rect id="_x0000_s1038" style="position:absolute;width:2720;height:1000" filled="f" stroked="f"/>
            <v:rect id="_x0000_s1039" style="position:absolute;left:45;top:364;width:231;height:818;mso-wrap-style:none" filled="f" stroked="f">
              <v:textbox style="mso-next-textbox:#_x0000_s103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40" style="position:absolute;left:346;top:500;width:84;height:425;mso-wrap-style:none" filled="f" stroked="f">
              <v:textbox style="mso-next-textbox:#_x0000_s104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1" style="position:absolute;left:466;top:500;width:62;height:425;mso-wrap-style:none" filled="f" stroked="f">
              <v:textbox style="mso-next-textbox:#_x0000_s104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2" style="position:absolute;left:541;top:500;width:84;height:425;mso-wrap-style:none" filled="f" stroked="f">
              <v:textbox style="mso-next-textbox:#_x0000_s104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3" style="position:absolute;left:661;top:364;width:110;height:509;mso-wrap-style:none" filled="f" stroked="f">
              <v:textbox style="mso-next-textbox:#_x0000_s104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4" style="position:absolute;left:992;top:61;width:84;height:425;mso-wrap-style:none" filled="f" stroked="f">
              <v:textbox style="mso-next-textbox:#_x0000_s104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5" style="position:absolute;left:992;top:742;width:82;height:425;mso-wrap-style:none" filled="f" stroked="f">
              <v:textbox style="mso-next-textbox:#_x0000_s104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6" style="position:absolute;left:857;top:167;width:226;height:874;mso-wrap-style:none" filled="f" stroked="f">
              <v:textbox style="mso-next-textbox:#_x0000_s1046;mso-rotate-with-shape:t;mso-fit-shape-to-text:t" inset="0,0,0,0">
                <w:txbxContent>
                  <w:p w:rsidR="009A76D9" w:rsidRPr="00E81CC3" w:rsidRDefault="009A76D9" w:rsidP="003F0B68">
                    <w:pPr>
                      <w:rPr>
                        <w:sz w:val="48"/>
                        <w:szCs w:val="48"/>
                      </w:rPr>
                    </w:pPr>
                    <w:r w:rsidRPr="00E81CC3">
                      <w:rPr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>Σ</w:t>
                    </w:r>
                  </w:p>
                </w:txbxContent>
              </v:textbox>
            </v:rect>
            <v:rect id="_x0000_s1047" style="position:absolute;left:1262;top:364;width:259;height:818;mso-wrap-style:none" filled="f" stroked="f">
              <v:textbox style="mso-next-textbox:#_x0000_s104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48" style="position:absolute;left:1593;top:500;width:84;height:425;mso-wrap-style:none" filled="f" stroked="f">
              <v:textbox style="mso-next-textbox:#_x0000_s1048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9" style="position:absolute;left:1713;top:500;width:62;height:425;mso-wrap-style:none" filled="f" stroked="f">
              <v:textbox style="mso-next-textbox:#_x0000_s104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0" style="position:absolute;left:1788;top:500;width:151;height:649;mso-wrap-style:none" filled="f" stroked="f">
              <v:textbox style="mso-next-textbox:#_x0000_s105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51" style="position:absolute;left:2059;top:364;width:85;height:509;mso-wrap-style:none" filled="f" stroked="f">
              <v:textbox style="mso-next-textbox:#_x0000_s105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2" style="position:absolute;left:2149;top:364;width:120;height:509;mso-wrap-style:none" filled="f" stroked="f">
              <v:textbox style="mso-next-textbox:#_x0000_s105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3" style="position:absolute;left:2314;top:485;width:229;height:649;mso-wrap-style:none" filled="f" stroked="f">
              <v:textbox style="mso-next-textbox:#_x0000_s105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СРп/п - степень реализации подпрограммы (ведомственной целевой программы);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СДп/пз - степень достижения планового значения целевого показателя подпрограммы (ведомственной целевой программы);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Кп/п - число целевых показателей подпрограммы (ведомственной целевой программы).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СДп/пз &gt; 1, значение СДп/пз принимается равным 1.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sub_10760"/>
      <w:r w:rsidRPr="007E7991">
        <w:rPr>
          <w:rFonts w:ascii="Times New Roman" w:hAnsi="Times New Roman" w:cs="Times New Roman"/>
          <w:b/>
          <w:bCs/>
          <w:sz w:val="28"/>
          <w:szCs w:val="28"/>
        </w:rPr>
        <w:t>6. Оценка эффективности реализации подпрограммы, (ведомственной целевой программы)</w:t>
      </w:r>
    </w:p>
    <w:bookmarkEnd w:id="36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761"/>
      <w:r w:rsidRPr="007E7991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(ведомственной целевой программы) оценивается в зависимости от значений оценки степени реализации подпрограммы (ведомственной целевой программы) и оценки эффективности использования финансовых ресурсов по следующей формуле:</w:t>
      </w:r>
    </w:p>
    <w:bookmarkEnd w:id="37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58A8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1" type="#_x0000_t75" style="width:91.5pt;height:18pt;visibility:visible">
            <v:imagedata r:id="rId10" o:title=""/>
          </v:shape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(ведомственной целевой программы);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СРп/п - степень реализации подпрограммы (ведомственной целевой программы);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 (ведомственной целевой программы).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762"/>
      <w:r w:rsidRPr="007E7991">
        <w:rPr>
          <w:rFonts w:ascii="Times New Roman" w:hAnsi="Times New Roman" w:cs="Times New Roman"/>
          <w:sz w:val="28"/>
          <w:szCs w:val="28"/>
        </w:rPr>
        <w:t>6.2. Эффективность реализации подпрограммы (ведомственной целевой программы) признается высокой в случае, если значение ЭРп/п составляет не менее 0,9.</w:t>
      </w:r>
    </w:p>
    <w:bookmarkEnd w:id="38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программы) признается средней в случае, если значение ЭРп/п составляет не менее 0,8.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программы) признается удовлетворительной в случае, если значение ЭРп/п составляет не менее 0,7.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(ведомственной целевой программы) признается неудовлетворительной.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sub_10770"/>
      <w:r w:rsidRPr="007E7991">
        <w:rPr>
          <w:rFonts w:ascii="Times New Roman" w:hAnsi="Times New Roman" w:cs="Times New Roman"/>
          <w:b/>
          <w:bCs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39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771"/>
      <w:r w:rsidRPr="007E7991">
        <w:rPr>
          <w:rFonts w:ascii="Times New Roman" w:hAnsi="Times New Roman" w:cs="Times New Roman"/>
          <w:sz w:val="28"/>
          <w:szCs w:val="28"/>
        </w:rPr>
        <w:t>7.1.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72"/>
      <w:bookmarkEnd w:id="40"/>
      <w:r w:rsidRPr="007E7991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41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F664BA">
        <w:rPr>
          <w:rFonts w:ascii="Times New Roman" w:hAnsi="Times New Roman" w:cs="Times New Roman"/>
          <w:sz w:val="28"/>
          <w:szCs w:val="28"/>
        </w:rPr>
        <w:pict>
          <v:group id="_x0000_s1054" editas="canvas" style="width:132.45pt;height:28.3pt;mso-position-horizontal-relative:char;mso-position-vertical-relative:line" coordsize="2649,566">
            <o:lock v:ext="edit" aspectratio="t"/>
            <v:shape id="_x0000_s1055" type="#_x0000_t75" style="position:absolute;width:2649;height:566" o:preferrelative="f">
              <v:fill o:detectmouseclick="t"/>
              <v:path o:extrusionok="t" o:connecttype="none"/>
              <o:lock v:ext="edit" text="t"/>
            </v:shape>
            <v:rect id="_x0000_s1056" style="position:absolute;width:2620;height:400" filled="f" stroked="f"/>
            <v:rect id="_x0000_s1057" style="position:absolute;left:15;top:15;width:259;height:818;mso-wrap-style:none" filled="f" stroked="f">
              <v:textbox style="mso-next-textbox:#_x0000_s105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8" style="position:absolute;left:344;top:154;width:192;height:649;mso-wrap-style:none" filled="f" stroked="f">
              <v:textbox style="mso-next-textbox:#_x0000_s1058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9" style="position:absolute;left:539;top:154;width:62;height:425;mso-wrap-style:none" filled="f" stroked="f">
              <v:textbox style="mso-next-textbox:#_x0000_s105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0" style="position:absolute;left:614;top:154;width:151;height:649;mso-wrap-style:none" filled="f" stroked="f">
              <v:textbox style="mso-next-textbox:#_x0000_s106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61" style="position:absolute;left:793;top:15;width:110;height:509;mso-wrap-style:none" filled="f" stroked="f">
              <v:textbox style="mso-next-textbox:#_x0000_s106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2" style="position:absolute;left:958;top:15;width:241;height:818;mso-wrap-style:none" filled="f" stroked="f">
              <v:textbox style="mso-next-textbox:#_x0000_s106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3" style="position:absolute;left:1243;top:154;width:192;height:649;mso-wrap-style:none" filled="f" stroked="f">
              <v:textbox style="mso-next-textbox:#_x0000_s106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4" style="position:absolute;left:1437;top:154;width:62;height:425;mso-wrap-style:none" filled="f" stroked="f">
              <v:textbox style="mso-next-textbox:#_x0000_s106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5" style="position:absolute;left:1512;top:154;width:184;height:649;mso-wrap-style:none" filled="f" stroked="f">
              <v:textbox style="mso-next-textbox:#_x0000_s106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пф</w:t>
                    </w:r>
                  </w:p>
                </w:txbxContent>
              </v:textbox>
            </v:rect>
            <v:rect id="_x0000_s1066" style="position:absolute;left:1737;top:15;width:85;height:509;mso-wrap-style:none" filled="f" stroked="f">
              <v:textbox style="mso-next-textbox:#_x0000_s1066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7" style="position:absolute;left:1826;top:15;width:241;height:818;mso-wrap-style:none" filled="f" stroked="f">
              <v:textbox style="mso-next-textbox:#_x0000_s106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8" style="position:absolute;left:2111;top:154;width:192;height:649;mso-wrap-style:none" filled="f" stroked="f">
              <v:textbox style="mso-next-textbox:#_x0000_s1068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9" style="position:absolute;left:2305;top:154;width:62;height:425;mso-wrap-style:none" filled="f" stroked="f">
              <v:textbox style="mso-next-textbox:#_x0000_s106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70" style="position:absolute;left:2380;top:154;width:167;height:649;mso-wrap-style:none" filled="f" stroked="f">
              <v:textbox style="mso-next-textbox:#_x0000_s107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F664BA">
        <w:rPr>
          <w:rFonts w:ascii="Times New Roman" w:hAnsi="Times New Roman" w:cs="Times New Roman"/>
          <w:sz w:val="28"/>
          <w:szCs w:val="28"/>
        </w:rPr>
        <w:pict>
          <v:group id="_x0000_s1071" editas="canvas" style="width:132.45pt;height:28.3pt;mso-position-horizontal-relative:char;mso-position-vertical-relative:line" coordsize="2649,566">
            <o:lock v:ext="edit" aspectratio="t"/>
            <v:shape id="_x0000_s1072" type="#_x0000_t75" style="position:absolute;width:2649;height:566" o:preferrelative="f">
              <v:fill o:detectmouseclick="t"/>
              <v:path o:extrusionok="t" o:connecttype="none"/>
              <o:lock v:ext="edit" text="t"/>
            </v:shape>
            <v:rect id="_x0000_s1073" style="position:absolute;width:2620;height:400" filled="f" stroked="f"/>
            <v:rect id="_x0000_s1074" style="position:absolute;left:15;top:15;width:259;height:818;mso-wrap-style:none" filled="f" stroked="f">
              <v:textbox style="mso-next-textbox:#_x0000_s107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75" style="position:absolute;left:344;top:154;width:192;height:649;mso-wrap-style:none" filled="f" stroked="f">
              <v:textbox style="mso-next-textbox:#_x0000_s107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76" style="position:absolute;left:539;top:154;width:62;height:425;mso-wrap-style:none" filled="f" stroked="f">
              <v:textbox style="mso-next-textbox:#_x0000_s1076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77" style="position:absolute;left:614;top:154;width:151;height:649;mso-wrap-style:none" filled="f" stroked="f">
              <v:textbox style="mso-next-textbox:#_x0000_s107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078" style="position:absolute;left:793;top:15;width:110;height:509;mso-wrap-style:none" filled="f" stroked="f">
              <v:textbox style="mso-next-textbox:#_x0000_s1078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9" style="position:absolute;left:958;top:15;width:241;height:818;mso-wrap-style:none" filled="f" stroked="f">
              <v:textbox style="mso-next-textbox:#_x0000_s107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80" style="position:absolute;left:1243;top:154;width:192;height:649;mso-wrap-style:none" filled="f" stroked="f">
              <v:textbox style="mso-next-textbox:#_x0000_s108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1" style="position:absolute;left:1437;top:154;width:62;height:425;mso-wrap-style:none" filled="f" stroked="f">
              <v:textbox style="mso-next-textbox:#_x0000_s108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2" style="position:absolute;left:1512;top:154;width:167;height:649;mso-wrap-style:none" filled="f" stroked="f">
              <v:textbox style="mso-next-textbox:#_x0000_s108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пп</w:t>
                    </w:r>
                  </w:p>
                </w:txbxContent>
              </v:textbox>
            </v:rect>
            <v:rect id="_x0000_s1083" style="position:absolute;left:1722;top:15;width:85;height:509;mso-wrap-style:none" filled="f" stroked="f">
              <v:textbox style="mso-next-textbox:#_x0000_s108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4" style="position:absolute;left:1811;top:15;width:241;height:818;mso-wrap-style:none" filled="f" stroked="f">
              <v:textbox style="mso-next-textbox:#_x0000_s108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85" style="position:absolute;left:2096;top:154;width:192;height:649;mso-wrap-style:none" filled="f" stroked="f">
              <v:textbox style="mso-next-textbox:#_x0000_s108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6" style="position:absolute;left:2291;top:154;width:62;height:425;mso-wrap-style:none" filled="f" stroked="f">
              <v:textbox style="mso-next-textbox:#_x0000_s1086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7" style="position:absolute;left:2365;top:154;width:184;height:649;mso-wrap-style:none" filled="f" stroked="f">
              <v:textbox style="mso-next-textbox:#_x0000_s108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пф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СДмп/пз - степень достижения планового значения целевого показателя, характеризующего цели и задачи муниципальной программы;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ЗПмп/пф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ЗПмп/пп - плановое значение целевого показателя, характеризующего цели и задачи муниципальной программы.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СДмп/пз &gt; 1, значение СДмп/пз принимается равным 1.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73"/>
      <w:r w:rsidRPr="007E7991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42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F664BA">
        <w:rPr>
          <w:rFonts w:ascii="Times New Roman" w:hAnsi="Times New Roman" w:cs="Times New Roman"/>
          <w:sz w:val="28"/>
          <w:szCs w:val="28"/>
        </w:rPr>
        <w:pict>
          <v:group id="_x0000_s1088" editas="canvas" style="width:136pt;height:57.7pt;mso-position-horizontal-relative:char;mso-position-vertical-relative:line" coordsize="2720,1154">
            <o:lock v:ext="edit" aspectratio="t"/>
            <v:shape id="_x0000_s1089" type="#_x0000_t75" style="position:absolute;width:2720;height:1154" o:preferrelative="f">
              <v:fill o:detectmouseclick="t"/>
              <v:path o:extrusionok="t" o:connecttype="none"/>
              <o:lock v:ext="edit" text="t"/>
            </v:shape>
            <v:rect id="_x0000_s1090" style="position:absolute;width:2720;height:1000" filled="f" stroked="f"/>
            <v:rect id="_x0000_s1091" style="position:absolute;left:45;top:364;width:231;height:818;mso-wrap-style:none" filled="f" stroked="f">
              <v:textbox style="mso-next-textbox:#_x0000_s109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92" style="position:absolute;left:346;top:485;width:192;height:649;mso-wrap-style:none" filled="f" stroked="f">
              <v:textbox style="mso-next-textbox:#_x0000_s109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93" style="position:absolute;left:541;top:364;width:110;height:509;mso-wrap-style:none" filled="f" stroked="f">
              <v:textbox style="mso-next-textbox:#_x0000_s109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4" style="position:absolute;left:872;top:61;width:87;height:425;mso-wrap-style:none" filled="f" stroked="f">
              <v:textbox style="mso-next-textbox:#_x0000_s109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95" style="position:absolute;left:872;top:742;width:82;height:425;mso-wrap-style:none" filled="f" stroked="f">
              <v:textbox style="mso-next-textbox:#_x0000_s109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6" style="position:absolute;left:736;top:167;width:226;height:874;mso-wrap-style:none" filled="f" stroked="f">
              <v:textbox style="mso-next-textbox:#_x0000_s1096;mso-rotate-with-shape:t;mso-fit-shape-to-text:t" inset="0,0,0,0">
                <w:txbxContent>
                  <w:p w:rsidR="009A76D9" w:rsidRPr="00471B9D" w:rsidRDefault="009A76D9" w:rsidP="003F0B68">
                    <w:pPr>
                      <w:rPr>
                        <w:sz w:val="48"/>
                        <w:szCs w:val="48"/>
                      </w:rPr>
                    </w:pPr>
                    <w:r w:rsidRPr="00471B9D">
                      <w:rPr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>Σ</w:t>
                    </w:r>
                  </w:p>
                </w:txbxContent>
              </v:textbox>
            </v:rect>
            <v:rect id="_x0000_s1097" style="position:absolute;left:1142;top:364;width:259;height:818;mso-wrap-style:none" filled="f" stroked="f">
              <v:textbox style="mso-next-textbox:#_x0000_s1097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98" style="position:absolute;left:1473;top:500;width:192;height:649;mso-wrap-style:none" filled="f" stroked="f">
              <v:textbox style="mso-next-textbox:#_x0000_s1098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99" style="position:absolute;left:1668;top:500;width:62;height:425;mso-wrap-style:none" filled="f" stroked="f">
              <v:textbox style="mso-next-textbox:#_x0000_s1099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0" style="position:absolute;left:1743;top:500;width:151;height:649;mso-wrap-style:none" filled="f" stroked="f">
              <v:textbox style="mso-next-textbox:#_x0000_s1100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пз</w:t>
                    </w:r>
                  </w:p>
                </w:txbxContent>
              </v:textbox>
            </v:rect>
            <v:rect id="_x0000_s1101" style="position:absolute;left:1924;top:364;width:85;height:509;mso-wrap-style:none" filled="f" stroked="f">
              <v:textbox style="mso-next-textbox:#_x0000_s1101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2" style="position:absolute;left:2014;top:364;width:120;height:509;mso-wrap-style:none" filled="f" stroked="f">
              <v:textbox style="mso-next-textbox:#_x0000_s1102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103" style="position:absolute;left:2179;top:500;width:192;height:649;mso-wrap-style:none" filled="f" stroked="f">
              <v:textbox style="mso-next-textbox:#_x0000_s1103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104" style="position:absolute;left:2374;top:500;width:62;height:425;mso-wrap-style:none" filled="f" stroked="f">
              <v:textbox style="mso-next-textbox:#_x0000_s1104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05" style="position:absolute;left:2450;top:500;width:84;height:425;mso-wrap-style:none" filled="f" stroked="f">
              <v:textbox style="mso-next-textbox:#_x0000_s1105;mso-rotate-with-shape:t;mso-fit-shape-to-text:t" inset="0,0,0,0">
                <w:txbxContent>
                  <w:p w:rsidR="009A76D9" w:rsidRDefault="009A76D9" w:rsidP="003F0B6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7E7991">
        <w:rPr>
          <w:rFonts w:ascii="Times New Roman" w:hAnsi="Times New Roman" w:cs="Times New Roman"/>
          <w:sz w:val="28"/>
          <w:szCs w:val="28"/>
        </w:rPr>
        <w:t>, где: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СДмп/пз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91">
        <w:rPr>
          <w:rFonts w:ascii="Times New Roman" w:hAnsi="Times New Roman" w:cs="Times New Roman"/>
          <w:sz w:val="28"/>
          <w:szCs w:val="28"/>
        </w:rPr>
        <w:t>Кмп/п - количество целевых показателей, характеризующих цели и задачи муниципальной программы.</w:t>
      </w:r>
    </w:p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7E7991" w:rsidRDefault="009A76D9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sub_10780"/>
      <w:r w:rsidRPr="007E7991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43"/>
    <w:p w:rsidR="009A76D9" w:rsidRPr="007E7991" w:rsidRDefault="009A76D9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3F0B68">
      <w:pPr>
        <w:ind w:firstLine="851"/>
        <w:jc w:val="both"/>
        <w:rPr>
          <w:sz w:val="28"/>
          <w:szCs w:val="28"/>
        </w:rPr>
      </w:pPr>
      <w:r w:rsidRPr="006E2D64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</w:p>
    <w:p w:rsidR="009A76D9" w:rsidRPr="001A095A" w:rsidRDefault="009A76D9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4" w:name="sub_9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44"/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901"/>
      <w:r w:rsidRPr="001A095A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45"/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902"/>
      <w:r w:rsidRPr="001A095A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46"/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программы). 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9A76D9" w:rsidRPr="006C7AD7" w:rsidRDefault="009A76D9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AD7">
        <w:rPr>
          <w:rFonts w:ascii="Times New Roman" w:hAnsi="Times New Roman" w:cs="Times New Roman"/>
          <w:sz w:val="28"/>
          <w:szCs w:val="28"/>
        </w:rPr>
        <w:tab/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907"/>
      <w:r w:rsidRPr="001A095A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908"/>
      <w:bookmarkEnd w:id="47"/>
      <w:r w:rsidRPr="001A095A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909"/>
      <w:bookmarkEnd w:id="48"/>
      <w:r w:rsidRPr="001A095A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49"/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910"/>
      <w:r w:rsidRPr="001A095A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11"/>
      <w:bookmarkEnd w:id="50"/>
      <w:r w:rsidRPr="001A095A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51"/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1F077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912"/>
      <w:r w:rsidRPr="001A095A">
        <w:rPr>
          <w:rFonts w:ascii="Times New Roman" w:hAnsi="Times New Roman" w:cs="Times New Roman"/>
          <w:sz w:val="28"/>
          <w:szCs w:val="28"/>
        </w:rPr>
        <w:t xml:space="preserve">9.12. Главный распорядитель (распорядитель) бюджетных средств в пределах полномочий, установленных </w:t>
      </w:r>
      <w:hyperlink r:id="rId12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52"/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13" w:history="1">
        <w:r w:rsidRPr="001F0775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13"/>
      <w:r w:rsidRPr="001A095A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53"/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9A76D9" w:rsidRPr="001A095A" w:rsidRDefault="009A76D9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6041"/>
        <w:gridCol w:w="3139"/>
      </w:tblGrid>
      <w:tr w:rsidR="009A76D9" w:rsidRPr="001D17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1D174D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9A76D9" w:rsidRPr="00596FC6" w:rsidRDefault="009A76D9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76D9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114"/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9A76D9" w:rsidRPr="006E2D64">
        <w:trPr>
          <w:trHeight w:val="386"/>
          <w:tblHeader/>
        </w:trPr>
        <w:tc>
          <w:tcPr>
            <w:tcW w:w="813" w:type="dxa"/>
            <w:vMerge w:val="restart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33" w:type="dxa"/>
            <w:gridSpan w:val="2"/>
            <w:vMerge w:val="restart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709" w:type="dxa"/>
            <w:vMerge w:val="restart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7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A76D9" w:rsidRPr="006E2D64">
        <w:trPr>
          <w:trHeight w:val="517"/>
          <w:tblHeader/>
        </w:trPr>
        <w:tc>
          <w:tcPr>
            <w:tcW w:w="813" w:type="dxa"/>
            <w:vMerge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A76D9" w:rsidRPr="006E2D64">
        <w:trPr>
          <w:trHeight w:val="25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6D9" w:rsidRPr="006E2D64">
        <w:trPr>
          <w:trHeight w:val="297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9A76D9" w:rsidRPr="006E2D64">
        <w:trPr>
          <w:trHeight w:val="297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9A76D9" w:rsidRPr="006E2D64">
        <w:trPr>
          <w:trHeight w:val="297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9A76D9" w:rsidRPr="006E2D64">
        <w:trPr>
          <w:trHeight w:val="297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9A76D9" w:rsidRPr="006E2D64">
        <w:trPr>
          <w:trHeight w:val="540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 1тыс.насел.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прививок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57934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58309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58427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79341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79424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79523</w:t>
            </w:r>
          </w:p>
        </w:tc>
      </w:tr>
      <w:tr w:rsidR="009A76D9" w:rsidRPr="006E2D64">
        <w:trPr>
          <w:trHeight w:val="273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</w:tr>
      <w:tr w:rsidR="009A76D9" w:rsidRPr="006E2D64">
        <w:trPr>
          <w:trHeight w:val="297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таблетированныесахаропонижающие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</w:tr>
      <w:tr w:rsidR="009A76D9" w:rsidRPr="006E2D64">
        <w:trPr>
          <w:trHeight w:val="25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19550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19650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A76D9" w:rsidRPr="006E2D64">
        <w:trPr>
          <w:trHeight w:val="26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76D9" w:rsidRPr="006E2D64">
        <w:trPr>
          <w:trHeight w:val="31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высокого качества управления процессами развития здравоохранения на муниципальном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уровне, в пределах своей компетенции.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учреждений,,подведомственных отделу здравоохранения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32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0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9A76D9" w:rsidRPr="006E2D64">
        <w:trPr>
          <w:trHeight w:val="1158"/>
          <w:tblHeader/>
        </w:trPr>
        <w:tc>
          <w:tcPr>
            <w:tcW w:w="832" w:type="dxa"/>
            <w:gridSpan w:val="2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D9" w:rsidRPr="006E2D64">
        <w:trPr>
          <w:trHeight w:val="252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9A76D9" w:rsidRPr="006E2D64">
        <w:trPr>
          <w:trHeight w:val="25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A76D9" w:rsidRPr="006E2D64">
        <w:trPr>
          <w:trHeight w:val="259"/>
          <w:tblHeader/>
        </w:trPr>
        <w:tc>
          <w:tcPr>
            <w:tcW w:w="813" w:type="dxa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71" w:type="dxa"/>
            <w:gridSpan w:val="11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9A76D9" w:rsidRPr="006E2D64">
        <w:trPr>
          <w:trHeight w:val="973"/>
          <w:tblHeader/>
        </w:trPr>
        <w:tc>
          <w:tcPr>
            <w:tcW w:w="813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33" w:type="dxa"/>
            <w:gridSpan w:val="2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A76D9" w:rsidRPr="006E2D64" w:rsidRDefault="009A76D9" w:rsidP="005C2D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D6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445F31" w:rsidRDefault="009A76D9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AA6DE4" w:rsidRDefault="009A76D9" w:rsidP="009F55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E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9A76D9" w:rsidRPr="00AA6DE4" w:rsidRDefault="009A76D9" w:rsidP="009F5510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6DE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6DE4">
        <w:rPr>
          <w:rFonts w:ascii="Times New Roman" w:hAnsi="Times New Roman" w:cs="Times New Roman"/>
          <w:sz w:val="28"/>
          <w:szCs w:val="28"/>
        </w:rPr>
        <w:t>С.В.Филатова</w:t>
      </w:r>
    </w:p>
    <w:p w:rsidR="009A76D9" w:rsidRPr="00AA6DE4" w:rsidRDefault="009A76D9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9A76D9" w:rsidRPr="00D67F54" w:rsidRDefault="009A76D9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D67F54" w:rsidRDefault="009A76D9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D67F54" w:rsidRDefault="009A76D9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9A76D9" w:rsidRPr="006E2D64" w:rsidRDefault="009A76D9" w:rsidP="005C2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9A76D9" w:rsidRPr="006E2D64" w:rsidRDefault="009A76D9" w:rsidP="005C2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492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260"/>
        <w:gridCol w:w="52"/>
        <w:gridCol w:w="960"/>
        <w:gridCol w:w="980"/>
        <w:gridCol w:w="1248"/>
        <w:gridCol w:w="2352"/>
        <w:gridCol w:w="1660"/>
      </w:tblGrid>
      <w:tr w:rsidR="009A76D9" w:rsidRPr="006E2D64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9A76D9" w:rsidRPr="006E2D64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феде-раль-ныйбюд-жет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мест-ныйбюд-жет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6D9" w:rsidRPr="006E2D64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4935698,0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4525492,2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708254,1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647272,4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135149,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135149,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20024,8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21186,4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20135,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20135,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18450,8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237793,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237793,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22804,3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30679,4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35514,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35514,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37198,9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4898,6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32363,8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5067,8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4161,0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4627,0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4158400,6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4158400,6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591217,0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597411,5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607105,7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607105,7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590666,6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367091,6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51643,9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40166,7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40166,7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55073,2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имеющих право на государственную социальную помощь в части лекарственного</w:t>
            </w:r>
          </w:p>
          <w:p w:rsidR="009A76D9" w:rsidRPr="006E2D64" w:rsidRDefault="009A76D9" w:rsidP="005C2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9A76D9" w:rsidRPr="006E2D64" w:rsidRDefault="009A76D9" w:rsidP="005C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206580,8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204848,8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 учреждений здравоохранения  по бухгалтерскому учету, эффективное управление сферой 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МО Кавказский район; МКУ "ЦБЗ"</w:t>
            </w:r>
          </w:p>
        </w:tc>
      </w:tr>
      <w:tr w:rsidR="009A76D9" w:rsidRPr="006E2D6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30393,1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30069,7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192142,6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27360,7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27266,8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27860,5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отдела здравоохранения администрации МО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1248,2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9A76D9" w:rsidRPr="006E2D64" w:rsidRDefault="009A76D9" w:rsidP="005C2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9A76D9" w:rsidRPr="006E2D64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1404,7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716,2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1479,2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5306384,6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771554,2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4525492,2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95880,3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762635,7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110198,3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114041,0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647272,4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758548,6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112561,8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113155,5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113155,5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645739,8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9A76D9" w:rsidRDefault="009A76D9" w:rsidP="005C2D56">
      <w:pPr>
        <w:widowControl w:val="0"/>
        <w:suppressAutoHyphens/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191"/>
        <w:gridCol w:w="1219"/>
        <w:gridCol w:w="1134"/>
        <w:gridCol w:w="1417"/>
      </w:tblGrid>
      <w:tr w:rsidR="009A76D9" w:rsidRPr="006E2D64">
        <w:trPr>
          <w:trHeight w:val="709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 реали-зациипрог-раммы</w:t>
            </w:r>
          </w:p>
        </w:tc>
        <w:tc>
          <w:tcPr>
            <w:tcW w:w="141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6E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внебюд-жетные источник</w:t>
            </w:r>
          </w:p>
        </w:tc>
      </w:tr>
      <w:tr w:rsidR="009A76D9" w:rsidRPr="006E2D64">
        <w:tc>
          <w:tcPr>
            <w:tcW w:w="56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6D9" w:rsidRPr="006E2D64">
        <w:trPr>
          <w:trHeight w:val="272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4935698,0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410205,8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4525492,2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691527,8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48666,9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709030,1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56630,4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708254,1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647272,4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9A76D9" w:rsidRPr="006E2D64"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9A76D9" w:rsidRPr="006E2D64">
        <w:trPr>
          <w:trHeight w:val="90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706721,5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60981,7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средствами и изделиями медицинского назначения отдельных групп населения, кроме групп населения, получающих инсулин, таблетированныесахароснижающие препараты, средства самоконтроля и диагностические средства, либо перенесших пересадки органов и тканей, получающих иммунодепресанты»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130396,3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124290,1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19593,5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13487,3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20758,8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18008,8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5161,3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27048,2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2899,1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358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206580,8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204848,8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30078,8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30004,8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29262,6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29224,9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30393,3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30069,7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28837,5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28940,4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28590,5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13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29534,1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29184,2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358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 6.</w:t>
            </w:r>
          </w:p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13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jc w:val="center"/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10211,1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1411,1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5316595,7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780354,2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4643,1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4525492.2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745081,1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95880,3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6106,2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642860,9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762947,1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110198,3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652399,7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772477,0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122841,0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2363,6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647272,4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758648,6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  <w:tr w:rsidR="009A76D9" w:rsidRPr="006E2D64">
        <w:trPr>
          <w:trHeight w:val="254"/>
        </w:trPr>
        <w:tc>
          <w:tcPr>
            <w:tcW w:w="568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758751,5</w:t>
            </w:r>
          </w:p>
        </w:tc>
        <w:tc>
          <w:tcPr>
            <w:tcW w:w="1191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112561,8</w:t>
            </w:r>
          </w:p>
        </w:tc>
        <w:tc>
          <w:tcPr>
            <w:tcW w:w="1219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7" w:type="dxa"/>
            <w:vAlign w:val="center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645739,8</w:t>
            </w:r>
          </w:p>
        </w:tc>
      </w:tr>
    </w:tbl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</w:r>
      <w:r w:rsidRPr="006E2D64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Pr="00AA6DE4" w:rsidRDefault="009A76D9" w:rsidP="00071B8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9A76D9" w:rsidRDefault="009A76D9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Default="009A76D9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Pr="00C352AE" w:rsidRDefault="009A76D9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ПРОГНОЗ</w:t>
      </w:r>
    </w:p>
    <w:p w:rsidR="009A76D9" w:rsidRPr="00C352AE" w:rsidRDefault="009A76D9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A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9A76D9" w:rsidRPr="00C352AE" w:rsidRDefault="009A76D9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C352AE" w:rsidRDefault="009A76D9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9A76D9" w:rsidRPr="001D174D">
        <w:tc>
          <w:tcPr>
            <w:tcW w:w="6660" w:type="dxa"/>
            <w:vMerge w:val="restart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(тыс.руб.)</w:t>
            </w:r>
          </w:p>
        </w:tc>
      </w:tr>
      <w:tr w:rsidR="009A76D9" w:rsidRPr="001D174D">
        <w:tc>
          <w:tcPr>
            <w:tcW w:w="6660" w:type="dxa"/>
            <w:vMerge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един.измер.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A76D9" w:rsidRPr="001D174D">
        <w:trPr>
          <w:trHeight w:val="415"/>
        </w:trPr>
        <w:tc>
          <w:tcPr>
            <w:tcW w:w="14990" w:type="dxa"/>
            <w:gridSpan w:val="4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9A76D9" w:rsidRPr="001D174D">
        <w:trPr>
          <w:trHeight w:val="278"/>
        </w:trPr>
        <w:tc>
          <w:tcPr>
            <w:tcW w:w="14990" w:type="dxa"/>
            <w:gridSpan w:val="4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9A76D9" w:rsidRPr="001D174D">
        <w:trPr>
          <w:trHeight w:val="332"/>
        </w:trPr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</w:tcPr>
          <w:p w:rsidR="009A76D9" w:rsidRPr="001D174D" w:rsidRDefault="009A76D9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кровосдач (отделение переливания крови)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(трансфузиологический кабинет)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пац./дни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9A76D9" w:rsidRPr="001D174D">
        <w:tc>
          <w:tcPr>
            <w:tcW w:w="6660" w:type="dxa"/>
          </w:tcPr>
          <w:p w:rsidR="009A76D9" w:rsidRPr="001D174D" w:rsidRDefault="009A76D9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2235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</w:tcPr>
          <w:p w:rsidR="009A76D9" w:rsidRPr="001D174D" w:rsidRDefault="009A76D9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9A76D9" w:rsidRPr="00C352AE" w:rsidRDefault="009A76D9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Default="009A76D9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6D9" w:rsidRPr="00140CD0" w:rsidRDefault="009A76D9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ПРОГНОЗ</w:t>
      </w:r>
    </w:p>
    <w:p w:rsidR="009A76D9" w:rsidRPr="00140CD0" w:rsidRDefault="009A76D9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9A76D9" w:rsidRPr="00140CD0" w:rsidRDefault="009A76D9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D0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9A76D9" w:rsidRPr="00140CD0">
        <w:tc>
          <w:tcPr>
            <w:tcW w:w="6228" w:type="dxa"/>
            <w:vMerge w:val="restart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(работы),показателя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тыс.руб.</w:t>
            </w:r>
          </w:p>
        </w:tc>
      </w:tr>
      <w:tr w:rsidR="009A76D9" w:rsidRPr="00140CD0">
        <w:tc>
          <w:tcPr>
            <w:tcW w:w="6228" w:type="dxa"/>
            <w:vMerge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Един.измерения</w:t>
            </w:r>
          </w:p>
        </w:tc>
        <w:tc>
          <w:tcPr>
            <w:tcW w:w="2520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A76D9" w:rsidRPr="00140CD0">
        <w:tc>
          <w:tcPr>
            <w:tcW w:w="6228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A76D9" w:rsidRPr="00140CD0">
        <w:tc>
          <w:tcPr>
            <w:tcW w:w="15154" w:type="dxa"/>
            <w:gridSpan w:val="5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9A76D9" w:rsidRPr="00140CD0">
        <w:tc>
          <w:tcPr>
            <w:tcW w:w="15154" w:type="dxa"/>
            <w:gridSpan w:val="5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9A76D9" w:rsidRPr="00140CD0">
        <w:trPr>
          <w:trHeight w:val="673"/>
        </w:trPr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6.Скорая,в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12.Специализированная медицинская помощь</w:t>
            </w:r>
          </w:p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 исключением высокотехнологичной медицинской помощи), не включенная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9A76D9" w:rsidRPr="00140CD0">
        <w:tc>
          <w:tcPr>
            <w:tcW w:w="6228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</w:tcPr>
          <w:p w:rsidR="009A76D9" w:rsidRPr="00140CD0" w:rsidRDefault="009A76D9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vAlign w:val="center"/>
          </w:tcPr>
          <w:p w:rsidR="009A76D9" w:rsidRPr="00140CD0" w:rsidRDefault="009A76D9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9A76D9" w:rsidRPr="00140CD0" w:rsidRDefault="009A76D9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140CD0">
      <w:pPr>
        <w:pStyle w:val="ListParagraph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A76D9" w:rsidRDefault="009A76D9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</w:t>
      </w:r>
    </w:p>
    <w:p w:rsidR="009A76D9" w:rsidRDefault="009A76D9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9A76D9" w:rsidRDefault="009A76D9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45F31">
        <w:rPr>
          <w:rFonts w:ascii="Times New Roman" w:hAnsi="Times New Roman" w:cs="Times New Roman"/>
          <w:sz w:val="24"/>
          <w:szCs w:val="24"/>
        </w:rPr>
        <w:t>твержденной постановлением администрации муниципальногообразования Кавказский район</w:t>
      </w:r>
    </w:p>
    <w:p w:rsidR="009A76D9" w:rsidRDefault="009A76D9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445F31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140CD0" w:rsidRDefault="009A76D9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2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9A76D9" w:rsidRPr="00140CD0">
        <w:tc>
          <w:tcPr>
            <w:tcW w:w="14709" w:type="dxa"/>
            <w:gridSpan w:val="17"/>
          </w:tcPr>
          <w:p w:rsidR="009A76D9" w:rsidRPr="00140CD0" w:rsidRDefault="009A76D9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9A76D9" w:rsidRPr="00140CD0" w:rsidRDefault="009A76D9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D0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40CD0" w:rsidRDefault="009A76D9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6D9" w:rsidRPr="00140CD0" w:rsidRDefault="009A76D9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6D9" w:rsidRPr="00140CD0" w:rsidRDefault="009A76D9" w:rsidP="001F0775">
            <w:pPr>
              <w:pStyle w:val="a1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N п/п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140CD0">
                <w:rPr>
                  <w:rStyle w:val="a0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Ответственныйза реализацию мероприятия, выполнение контрольное событие 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0CD0">
              <w:rPr>
                <w:rFonts w:ascii="Times New Roman" w:hAnsi="Times New Roman" w:cs="Times New Roman"/>
              </w:rPr>
              <w:t>тыс.рублей</w:t>
            </w:r>
            <w:r w:rsidRPr="00140CD0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IV кв.</w:t>
            </w: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10</w:t>
            </w: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  <w:r w:rsidRPr="00140CD0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14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140CD0" w:rsidRDefault="009A76D9" w:rsidP="001F077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140CD0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140CD0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40CD0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A76D9" w:rsidRPr="00140CD0" w:rsidRDefault="009A76D9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40CD0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9A76D9" w:rsidRPr="00140CD0" w:rsidRDefault="009A76D9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76D9" w:rsidRPr="00140CD0" w:rsidRDefault="009A76D9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76D9" w:rsidRPr="00140CD0" w:rsidRDefault="009A76D9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9A76D9" w:rsidRPr="00140CD0" w:rsidRDefault="009A76D9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CD0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</w:r>
      <w:r w:rsidRPr="00140CD0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9A76D9" w:rsidRPr="00140CD0" w:rsidRDefault="009A76D9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Pr="00140CD0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6D9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4" w:name="sub_170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54"/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72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55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Отдел капитального строительства администрации муниципального образования Кавказский район»;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73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56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9A76D9" w:rsidRPr="001D174D" w:rsidRDefault="009A76D9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9A76D9" w:rsidRPr="001D174D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1D174D" w:rsidRDefault="009A76D9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721"/>
            <w:r w:rsidRPr="001D174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57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Общий предельный объем финансирования составляет 10211,1 тыс. руб., из них по годам: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- 159,7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–311,4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– 9340,0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краевого бюджета 8800,0 тыс. руб., из них по годам: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– 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 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- 8800,0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- 0,0 тыс. руб.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1411,1</w:t>
            </w: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 тыс. руб., из них по годам: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2015 год – 159,7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2016 год – 311,4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2017 год – 540,0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2018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2019 год - 100,0 тыс. руб.;</w:t>
            </w:r>
          </w:p>
          <w:p w:rsidR="009A76D9" w:rsidRPr="006E2D64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2020 год - 100,0 тыс. руб.;</w:t>
            </w:r>
          </w:p>
          <w:p w:rsidR="009A76D9" w:rsidRPr="001D174D" w:rsidRDefault="009A76D9" w:rsidP="005C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D64">
              <w:rPr>
                <w:rFonts w:ascii="Times New Roman" w:hAnsi="Times New Roman" w:cs="Times New Roman"/>
                <w:sz w:val="28"/>
                <w:szCs w:val="28"/>
              </w:rPr>
              <w:t>на 2021 год - 100,0 тыс. руб.</w:t>
            </w:r>
          </w:p>
        </w:tc>
      </w:tr>
    </w:tbl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8" w:name="sub_1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58"/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высокая распространённость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недостаточное развитие стационар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5A">
        <w:rPr>
          <w:rFonts w:ascii="Times New Roman" w:hAnsi="Times New Roman" w:cs="Times New Roman"/>
          <w:sz w:val="28"/>
          <w:szCs w:val="28"/>
        </w:rPr>
        <w:t>замещающих технологий;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веществ станет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 - "Дни здоровья на Кубани", "Кардиодесант", "Онкопатруль") своевременное выявление первичной заболеваемости населения Кавказского района с 2008 года по 2012 год выросла на 15,4 процента.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 На начало 2013 года в районе функционирует 35 терапевтических участков (2008 год - 30) и 32 педиатрических участка.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9A76D9" w:rsidRPr="00445F31" w:rsidRDefault="009A76D9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9" w:name="sub_2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59"/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205693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05693">
        <w:rPr>
          <w:rFonts w:ascii="Times New Roman" w:hAnsi="Times New Roman" w:cs="Times New Roman"/>
          <w:sz w:val="28"/>
          <w:szCs w:val="28"/>
        </w:rPr>
        <w:t>.</w:t>
      </w:r>
    </w:p>
    <w:p w:rsidR="009A76D9" w:rsidRPr="00205693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9A76D9" w:rsidRPr="00205693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205693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sub_310"/>
      <w:r w:rsidRPr="00205693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60"/>
    <w:p w:rsidR="009A76D9" w:rsidRPr="00205693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693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205693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1A095A">
        <w:rPr>
          <w:rFonts w:ascii="Times New Roman" w:hAnsi="Times New Roman" w:cs="Times New Roman"/>
          <w:sz w:val="28"/>
          <w:szCs w:val="28"/>
        </w:rPr>
        <w:t>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445F31" w:rsidRDefault="009A76D9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F3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средств краевого и местного бюджетов.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1" w:name="sub_510"/>
      <w:r w:rsidRPr="001A09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61"/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1505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4" w:history="1">
        <w:r w:rsidRPr="001505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1A095A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95A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A76D9" w:rsidRPr="001A095A" w:rsidRDefault="009A76D9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76D9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445F31" w:rsidRDefault="009A76D9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76D9" w:rsidRPr="00AF6DE0" w:rsidRDefault="009A76D9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76D9" w:rsidRPr="00AF6DE0" w:rsidRDefault="009A76D9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9A76D9" w:rsidRPr="00AF6DE0" w:rsidRDefault="009A76D9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9A76D9" w:rsidRPr="00AF6DE0" w:rsidRDefault="009A76D9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E0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9A76D9" w:rsidRPr="00AF6DE0" w:rsidRDefault="009A76D9" w:rsidP="00140CD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9A76D9" w:rsidRPr="00AF6DE0">
        <w:tc>
          <w:tcPr>
            <w:tcW w:w="594" w:type="dxa"/>
            <w:vMerge w:val="restart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Merge w:val="restart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</w:p>
        </w:tc>
        <w:tc>
          <w:tcPr>
            <w:tcW w:w="8930" w:type="dxa"/>
            <w:gridSpan w:val="8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A76D9" w:rsidRPr="00AF6DE0">
        <w:tc>
          <w:tcPr>
            <w:tcW w:w="594" w:type="dxa"/>
            <w:vMerge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A76D9" w:rsidRPr="00AF6DE0">
        <w:trPr>
          <w:trHeight w:val="272"/>
        </w:trPr>
        <w:tc>
          <w:tcPr>
            <w:tcW w:w="594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76D9" w:rsidRPr="00AF6DE0">
        <w:tc>
          <w:tcPr>
            <w:tcW w:w="594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</w:tcPr>
          <w:p w:rsidR="009A76D9" w:rsidRPr="00AF6DE0" w:rsidRDefault="009A76D9" w:rsidP="00140C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AF6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</w:p>
        </w:tc>
      </w:tr>
      <w:tr w:rsidR="009A76D9" w:rsidRPr="00AF6DE0">
        <w:tc>
          <w:tcPr>
            <w:tcW w:w="594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A76D9" w:rsidRPr="00AF6DE0">
        <w:trPr>
          <w:trHeight w:val="326"/>
        </w:trPr>
        <w:tc>
          <w:tcPr>
            <w:tcW w:w="594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9A76D9" w:rsidRPr="00AF6DE0">
        <w:tc>
          <w:tcPr>
            <w:tcW w:w="594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vAlign w:val="center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9A76D9" w:rsidRPr="00AF6DE0" w:rsidRDefault="009A76D9" w:rsidP="00140C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76D9" w:rsidRPr="00AF6DE0" w:rsidRDefault="009A76D9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0B223C" w:rsidRDefault="009A76D9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0B223C" w:rsidRDefault="009A76D9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0B223C" w:rsidRDefault="009A76D9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9A76D9" w:rsidRPr="000B223C" w:rsidRDefault="009A76D9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</w:r>
      <w:r w:rsidRPr="000B223C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9A76D9" w:rsidRPr="00445F31" w:rsidRDefault="009A76D9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445F31" w:rsidRDefault="009A76D9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445F31" w:rsidRDefault="009A76D9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9A76D9" w:rsidRPr="006E2D64" w:rsidRDefault="009A76D9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9A76D9" w:rsidRPr="006E2D64" w:rsidRDefault="009A76D9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1986"/>
        <w:gridCol w:w="1276"/>
        <w:gridCol w:w="992"/>
        <w:gridCol w:w="134"/>
        <w:gridCol w:w="716"/>
        <w:gridCol w:w="140"/>
        <w:gridCol w:w="853"/>
        <w:gridCol w:w="994"/>
        <w:gridCol w:w="992"/>
        <w:gridCol w:w="992"/>
        <w:gridCol w:w="957"/>
        <w:gridCol w:w="850"/>
        <w:gridCol w:w="1870"/>
        <w:gridCol w:w="1703"/>
      </w:tblGrid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628" w:type="dxa"/>
            <w:gridSpan w:val="9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Непосредст-венный результат реализации мероприятия</w:t>
            </w:r>
          </w:p>
        </w:tc>
        <w:tc>
          <w:tcPr>
            <w:tcW w:w="1703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Участник муници-пальной программы</w:t>
            </w: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A76D9" w:rsidRPr="006E2D64">
        <w:tc>
          <w:tcPr>
            <w:tcW w:w="67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69" w:type="dxa"/>
            <w:gridSpan w:val="13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A76D9" w:rsidRPr="006E2D64">
        <w:tc>
          <w:tcPr>
            <w:tcW w:w="67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469" w:type="dxa"/>
            <w:gridSpan w:val="13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A76D9" w:rsidRPr="006E2D64" w:rsidRDefault="009A76D9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 w:val="restart"/>
          </w:tcPr>
          <w:p w:rsidR="009A76D9" w:rsidRPr="006E2D64" w:rsidRDefault="009A76D9" w:rsidP="005C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Отдел здравоох-ранения,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Отдел капиталь-ногостроительс-тваадминист-рации МО Кавказский район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687"/>
        </w:trPr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  в х. Привольном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1184"/>
        </w:trPr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Экспертиза,строительство,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Привольном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9501,9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Проектирова-ние зданий врача общей практики (ВОП) в ст. Казанской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в ст. Казанской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rPr>
          <w:trHeight w:val="1333"/>
        </w:trPr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6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врача общей практики (ВОП) в пос. им. М.Горького (ПСД)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D9" w:rsidRPr="006E2D64">
        <w:tc>
          <w:tcPr>
            <w:tcW w:w="672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D9" w:rsidRPr="006E2D64" w:rsidRDefault="009A76D9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6D9" w:rsidRPr="006E67BA" w:rsidRDefault="009A76D9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6E2D64" w:rsidRDefault="009A76D9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A76D9" w:rsidRPr="006E2D64" w:rsidRDefault="009A76D9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64">
        <w:rPr>
          <w:rFonts w:ascii="Times New Roman" w:hAnsi="Times New Roman" w:cs="Times New Roman"/>
          <w:sz w:val="28"/>
          <w:szCs w:val="28"/>
        </w:rPr>
        <w:t>«Амбулаторно-поликлиническая медицинская помощь»</w:t>
      </w:r>
    </w:p>
    <w:p w:rsidR="009A76D9" w:rsidRPr="006E2D64" w:rsidRDefault="009A76D9" w:rsidP="005C2D5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9A76D9" w:rsidRPr="006E2D64">
        <w:tc>
          <w:tcPr>
            <w:tcW w:w="653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9A76D9" w:rsidRPr="006E2D64">
        <w:tc>
          <w:tcPr>
            <w:tcW w:w="65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A76D9" w:rsidRPr="006E2D64">
        <w:tc>
          <w:tcPr>
            <w:tcW w:w="653" w:type="dxa"/>
            <w:vMerge w:val="restart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</w:tcPr>
          <w:p w:rsidR="009A76D9" w:rsidRPr="006E2D64" w:rsidRDefault="009A76D9" w:rsidP="005C2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6E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10211,1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9340,0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6D9" w:rsidRPr="006E2D64">
        <w:tc>
          <w:tcPr>
            <w:tcW w:w="65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c>
          <w:tcPr>
            <w:tcW w:w="65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6D9" w:rsidRPr="006E2D64">
        <w:tc>
          <w:tcPr>
            <w:tcW w:w="65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1411,1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6D9" w:rsidRPr="006E2D64">
        <w:tc>
          <w:tcPr>
            <w:tcW w:w="653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76D9" w:rsidRPr="006E2D64" w:rsidRDefault="009A76D9" w:rsidP="005C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76D9" w:rsidRPr="006E2D64" w:rsidRDefault="009A76D9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Е.В.Неупокоева</w:t>
      </w:r>
    </w:p>
    <w:p w:rsidR="009A76D9" w:rsidRPr="006E2D64" w:rsidRDefault="009A76D9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6D9" w:rsidRDefault="009A76D9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D9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9A76D9" w:rsidRPr="006E2D64" w:rsidRDefault="009A76D9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«Амбулаторно-поликлиническая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«Развитие здравоохранения», утвержденной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9A76D9" w:rsidRPr="000B223C" w:rsidRDefault="009A76D9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9A76D9" w:rsidRPr="006E2D64" w:rsidRDefault="009A76D9" w:rsidP="005C2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76D9" w:rsidRPr="006E2D64" w:rsidRDefault="009A76D9" w:rsidP="005C2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D64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9A76D9" w:rsidRPr="006E2D64" w:rsidRDefault="009A76D9" w:rsidP="005C2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D64">
        <w:rPr>
          <w:rFonts w:ascii="Times New Roman" w:hAnsi="Times New Roman" w:cs="Times New Roman"/>
          <w:sz w:val="24"/>
          <w:szCs w:val="24"/>
        </w:rPr>
        <w:t>«Здание амбулатория врача общей практики в х. Привольном, пер. Дорожный, 4А»</w:t>
      </w:r>
    </w:p>
    <w:tbl>
      <w:tblPr>
        <w:tblW w:w="165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9A76D9" w:rsidRPr="006E2D64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Информация</w:t>
            </w:r>
            <w:r w:rsidRPr="006E2D64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9A76D9" w:rsidRPr="006E2D64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" Здание амбулатория врача общей практики в х. Привольном, пер. Дорожный, 4А "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Здание амбулатории: площадь застройки 280,0 м2; полезная площадь 204,6 м2; строительный объем 924 м3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Heading1"/>
              <w:spacing w:before="0" w:after="0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2021 год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10783,37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1983,37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9811,1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1011,1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D64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6D9" w:rsidRPr="006E2D64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9A76D9" w:rsidRPr="006E2D64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pStyle w:val="a"/>
              <w:rPr>
                <w:rFonts w:ascii="Times New Roman" w:hAnsi="Times New Roman" w:cs="Times New Roman"/>
              </w:rPr>
            </w:pPr>
            <w:r w:rsidRPr="006E2D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9" w:rsidRPr="006E2D64" w:rsidRDefault="009A76D9" w:rsidP="005C2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6D9" w:rsidRPr="006E2D64" w:rsidRDefault="009A76D9" w:rsidP="005C2D56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9A76D9" w:rsidRPr="006E2D64" w:rsidRDefault="009A76D9" w:rsidP="005C2D56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2" w:type="dxa"/>
        <w:tblLook w:val="0000"/>
      </w:tblPr>
      <w:tblGrid>
        <w:gridCol w:w="15588"/>
        <w:gridCol w:w="2384"/>
      </w:tblGrid>
      <w:tr w:rsidR="009A76D9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6E2D64" w:rsidRDefault="009A76D9" w:rsidP="005C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9A76D9" w:rsidRPr="006E2D64" w:rsidRDefault="009A76D9" w:rsidP="005C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D9" w:rsidRPr="006E2D64" w:rsidRDefault="009A76D9" w:rsidP="005C2D56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9A76D9" w:rsidRPr="006C38CC" w:rsidRDefault="009A76D9" w:rsidP="005C2D56">
            <w:pPr>
              <w:pStyle w:val="a1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9A76D9" w:rsidRPr="00727149" w:rsidRDefault="009A76D9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6D9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40"/>
    <w:rsid w:val="0000009E"/>
    <w:rsid w:val="00045519"/>
    <w:rsid w:val="00071B8D"/>
    <w:rsid w:val="00074D2F"/>
    <w:rsid w:val="000B223C"/>
    <w:rsid w:val="000D5FE8"/>
    <w:rsid w:val="000F0415"/>
    <w:rsid w:val="000F1CAA"/>
    <w:rsid w:val="00140CD0"/>
    <w:rsid w:val="001505EC"/>
    <w:rsid w:val="00150667"/>
    <w:rsid w:val="0015655E"/>
    <w:rsid w:val="00175AE2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56B1"/>
    <w:rsid w:val="0023612D"/>
    <w:rsid w:val="002428A8"/>
    <w:rsid w:val="002A24DD"/>
    <w:rsid w:val="002F65D6"/>
    <w:rsid w:val="0030506D"/>
    <w:rsid w:val="00325503"/>
    <w:rsid w:val="00325A75"/>
    <w:rsid w:val="003403C1"/>
    <w:rsid w:val="003458A8"/>
    <w:rsid w:val="003512F2"/>
    <w:rsid w:val="00356A02"/>
    <w:rsid w:val="00381DBF"/>
    <w:rsid w:val="003869BF"/>
    <w:rsid w:val="003D0E27"/>
    <w:rsid w:val="003E5BBB"/>
    <w:rsid w:val="003F0B68"/>
    <w:rsid w:val="0040272F"/>
    <w:rsid w:val="004049F7"/>
    <w:rsid w:val="00431B37"/>
    <w:rsid w:val="004436BE"/>
    <w:rsid w:val="004436E8"/>
    <w:rsid w:val="00444997"/>
    <w:rsid w:val="00445F31"/>
    <w:rsid w:val="00451B19"/>
    <w:rsid w:val="00455B9D"/>
    <w:rsid w:val="0047076C"/>
    <w:rsid w:val="00471B9D"/>
    <w:rsid w:val="00471CA3"/>
    <w:rsid w:val="004863E6"/>
    <w:rsid w:val="00493DEE"/>
    <w:rsid w:val="00494DBB"/>
    <w:rsid w:val="00496F2C"/>
    <w:rsid w:val="004C3F01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76AA8"/>
    <w:rsid w:val="00584695"/>
    <w:rsid w:val="00596FC6"/>
    <w:rsid w:val="005977ED"/>
    <w:rsid w:val="005A58F7"/>
    <w:rsid w:val="005A7A90"/>
    <w:rsid w:val="005B6887"/>
    <w:rsid w:val="005C2D56"/>
    <w:rsid w:val="00603C23"/>
    <w:rsid w:val="0060438F"/>
    <w:rsid w:val="00620437"/>
    <w:rsid w:val="0062078D"/>
    <w:rsid w:val="00642683"/>
    <w:rsid w:val="006746A3"/>
    <w:rsid w:val="00676E34"/>
    <w:rsid w:val="00680FCC"/>
    <w:rsid w:val="006827D4"/>
    <w:rsid w:val="006A50FC"/>
    <w:rsid w:val="006A7963"/>
    <w:rsid w:val="006B449D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61CA3"/>
    <w:rsid w:val="008931FE"/>
    <w:rsid w:val="008D6181"/>
    <w:rsid w:val="008E0E7B"/>
    <w:rsid w:val="00925A7C"/>
    <w:rsid w:val="00926185"/>
    <w:rsid w:val="00967E8A"/>
    <w:rsid w:val="00974D68"/>
    <w:rsid w:val="009A0E00"/>
    <w:rsid w:val="009A76D9"/>
    <w:rsid w:val="009B2A54"/>
    <w:rsid w:val="009F5510"/>
    <w:rsid w:val="00A04A23"/>
    <w:rsid w:val="00A2417A"/>
    <w:rsid w:val="00A33D19"/>
    <w:rsid w:val="00A530EF"/>
    <w:rsid w:val="00A5718D"/>
    <w:rsid w:val="00A81CD0"/>
    <w:rsid w:val="00A943DE"/>
    <w:rsid w:val="00AA6DE4"/>
    <w:rsid w:val="00AA766C"/>
    <w:rsid w:val="00AB4055"/>
    <w:rsid w:val="00AC3BF7"/>
    <w:rsid w:val="00AC606F"/>
    <w:rsid w:val="00AD0565"/>
    <w:rsid w:val="00AE58EA"/>
    <w:rsid w:val="00AF2368"/>
    <w:rsid w:val="00AF6DE0"/>
    <w:rsid w:val="00B0470A"/>
    <w:rsid w:val="00B054CE"/>
    <w:rsid w:val="00B212D1"/>
    <w:rsid w:val="00B27345"/>
    <w:rsid w:val="00B541F0"/>
    <w:rsid w:val="00B82614"/>
    <w:rsid w:val="00BA2853"/>
    <w:rsid w:val="00BC627D"/>
    <w:rsid w:val="00BF073C"/>
    <w:rsid w:val="00BF09C5"/>
    <w:rsid w:val="00C02A89"/>
    <w:rsid w:val="00C3314F"/>
    <w:rsid w:val="00C352AE"/>
    <w:rsid w:val="00C423DA"/>
    <w:rsid w:val="00C45FCF"/>
    <w:rsid w:val="00C54883"/>
    <w:rsid w:val="00C614BD"/>
    <w:rsid w:val="00CA02E2"/>
    <w:rsid w:val="00CB5FF4"/>
    <w:rsid w:val="00CC35C8"/>
    <w:rsid w:val="00CD6B85"/>
    <w:rsid w:val="00CE4215"/>
    <w:rsid w:val="00CF2DB3"/>
    <w:rsid w:val="00CF4782"/>
    <w:rsid w:val="00D01E4C"/>
    <w:rsid w:val="00D24782"/>
    <w:rsid w:val="00D41B20"/>
    <w:rsid w:val="00D65671"/>
    <w:rsid w:val="00D67F54"/>
    <w:rsid w:val="00D71FCF"/>
    <w:rsid w:val="00DC1947"/>
    <w:rsid w:val="00DD10D1"/>
    <w:rsid w:val="00DE31D2"/>
    <w:rsid w:val="00E00111"/>
    <w:rsid w:val="00E06480"/>
    <w:rsid w:val="00E10C1E"/>
    <w:rsid w:val="00E2122B"/>
    <w:rsid w:val="00E31D98"/>
    <w:rsid w:val="00E31E08"/>
    <w:rsid w:val="00E33432"/>
    <w:rsid w:val="00E46A2C"/>
    <w:rsid w:val="00E518BE"/>
    <w:rsid w:val="00E81CC3"/>
    <w:rsid w:val="00EB586D"/>
    <w:rsid w:val="00EE1699"/>
    <w:rsid w:val="00EE5C80"/>
    <w:rsid w:val="00F664BA"/>
    <w:rsid w:val="00FA77D0"/>
    <w:rsid w:val="00FB63AE"/>
    <w:rsid w:val="00FD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A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6FC6"/>
    <w:pPr>
      <w:ind w:left="720"/>
    </w:pPr>
  </w:style>
  <w:style w:type="character" w:customStyle="1" w:styleId="a0">
    <w:name w:val="Гипертекстовая ссылка"/>
    <w:basedOn w:val="DefaultParagraphFont"/>
    <w:uiPriority w:val="99"/>
    <w:rsid w:val="006B449D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2">
    <w:name w:val="Цветовое выделение"/>
    <w:uiPriority w:val="99"/>
    <w:rsid w:val="006B449D"/>
    <w:rPr>
      <w:b/>
      <w:bCs/>
      <w:color w:val="26282F"/>
    </w:rPr>
  </w:style>
  <w:style w:type="table" w:styleId="TableGrid">
    <w:name w:val="Table Grid"/>
    <w:basedOn w:val="TableNormal"/>
    <w:uiPriority w:val="99"/>
    <w:rsid w:val="006B44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B44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449D"/>
    <w:rPr>
      <w:rFonts w:ascii="Calibri" w:hAnsi="Calibri" w:cs="Calibri"/>
    </w:rPr>
  </w:style>
  <w:style w:type="paragraph" w:customStyle="1" w:styleId="a3">
    <w:name w:val="Внимание: криминал!!"/>
    <w:basedOn w:val="Normal"/>
    <w:next w:val="Normal"/>
    <w:uiPriority w:val="99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Hyperlink">
    <w:name w:val="Hyperlink"/>
    <w:basedOn w:val="DefaultParagraphFont"/>
    <w:uiPriority w:val="99"/>
    <w:rsid w:val="006B4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B449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Normal"/>
    <w:uiPriority w:val="99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Normal"/>
    <w:uiPriority w:val="99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Normal"/>
    <w:uiPriority w:val="99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Normal"/>
    <w:uiPriority w:val="99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6B4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449D"/>
  </w:style>
  <w:style w:type="character" w:customStyle="1" w:styleId="BodyText2Char1">
    <w:name w:val="Body Text 2 Char1"/>
    <w:basedOn w:val="DefaultParagraphFont"/>
    <w:link w:val="BodyText2"/>
    <w:uiPriority w:val="99"/>
    <w:locked/>
    <w:rsid w:val="006B449D"/>
    <w:rPr>
      <w:rFonts w:ascii="Calibri" w:hAnsi="Calibri" w:cs="Calibri"/>
    </w:rPr>
  </w:style>
  <w:style w:type="paragraph" w:styleId="EnvelopeReturn">
    <w:name w:val="envelope return"/>
    <w:basedOn w:val="Normal"/>
    <w:uiPriority w:val="99"/>
    <w:rsid w:val="006B449D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4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4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4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B44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uiPriority w:val="99"/>
    <w:rsid w:val="005C2D56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garantF1://70253464.0" TargetMode="External"/><Relationship Id="rId5" Type="http://schemas.openxmlformats.org/officeDocument/2006/relationships/hyperlink" Target="garantF1://36805133.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62</Pages>
  <Words>13287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skrebchova</dc:creator>
  <cp:keywords/>
  <dc:description/>
  <cp:lastModifiedBy>Admin</cp:lastModifiedBy>
  <cp:revision>5</cp:revision>
  <cp:lastPrinted>2016-12-05T10:55:00Z</cp:lastPrinted>
  <dcterms:created xsi:type="dcterms:W3CDTF">2017-06-07T13:47:00Z</dcterms:created>
  <dcterms:modified xsi:type="dcterms:W3CDTF">2017-06-26T13:53:00Z</dcterms:modified>
</cp:coreProperties>
</file>