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F87588">
              <w:rPr>
                <w:rFonts w:ascii="Times New Roman" w:hAnsi="Times New Roman"/>
                <w:color w:val="000000"/>
                <w:sz w:val="28"/>
                <w:szCs w:val="28"/>
              </w:rPr>
              <w:t>9578,2</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sidR="00130A9A">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sidR="00F87588">
              <w:rPr>
                <w:rFonts w:ascii="Times New Roman" w:hAnsi="Times New Roman"/>
                <w:sz w:val="28"/>
                <w:szCs w:val="28"/>
              </w:rPr>
              <w:t>6324,3</w:t>
            </w:r>
            <w:r w:rsidRPr="006969D9">
              <w:rPr>
                <w:rFonts w:ascii="Times New Roman" w:hAnsi="Times New Roman"/>
                <w:sz w:val="28"/>
                <w:szCs w:val="28"/>
              </w:rPr>
              <w:t xml:space="preserve">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115B0F"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в том числе за счет  средств местного бюджета – </w:t>
            </w:r>
            <w:r w:rsidR="00130A9A">
              <w:rPr>
                <w:rFonts w:ascii="Times New Roman" w:hAnsi="Times New Roman"/>
                <w:color w:val="000000"/>
                <w:sz w:val="28"/>
                <w:szCs w:val="28"/>
              </w:rPr>
              <w:t>4</w:t>
            </w:r>
            <w:r w:rsidR="00842DA3">
              <w:rPr>
                <w:rFonts w:ascii="Times New Roman" w:hAnsi="Times New Roman"/>
                <w:color w:val="000000"/>
                <w:sz w:val="28"/>
                <w:szCs w:val="28"/>
              </w:rPr>
              <w:t>99</w:t>
            </w:r>
            <w:r w:rsidR="00130A9A">
              <w:rPr>
                <w:rFonts w:ascii="Times New Roman" w:hAnsi="Times New Roman"/>
                <w:color w:val="000000"/>
                <w:sz w:val="28"/>
                <w:szCs w:val="28"/>
              </w:rPr>
              <w:t>6,9</w:t>
            </w:r>
            <w:r w:rsidR="00130A9A">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sidR="001040FB">
              <w:rPr>
                <w:rFonts w:ascii="Times New Roman" w:hAnsi="Times New Roman"/>
                <w:sz w:val="28"/>
                <w:szCs w:val="28"/>
              </w:rPr>
              <w:t>1</w:t>
            </w:r>
            <w:r w:rsidR="00842DA3">
              <w:rPr>
                <w:rFonts w:ascii="Times New Roman" w:hAnsi="Times New Roman"/>
                <w:sz w:val="28"/>
                <w:szCs w:val="28"/>
              </w:rPr>
              <w:t>7</w:t>
            </w:r>
            <w:r w:rsidR="001040FB">
              <w:rPr>
                <w:rFonts w:ascii="Times New Roman" w:hAnsi="Times New Roman"/>
                <w:sz w:val="28"/>
                <w:szCs w:val="28"/>
              </w:rPr>
              <w:t>43,0</w:t>
            </w:r>
            <w:r w:rsidRPr="006969D9">
              <w:rPr>
                <w:rFonts w:ascii="Times New Roman" w:hAnsi="Times New Roman"/>
                <w:sz w:val="28"/>
                <w:szCs w:val="28"/>
              </w:rPr>
              <w:t xml:space="preserve">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Pr>
                <w:rFonts w:ascii="Times New Roman" w:hAnsi="Times New Roman"/>
                <w:sz w:val="28"/>
                <w:szCs w:val="28"/>
              </w:rPr>
              <w:t>350,0 тысячи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том числе  за счет </w:t>
            </w:r>
            <w:proofErr w:type="gramStart"/>
            <w:r>
              <w:rPr>
                <w:rFonts w:ascii="Times New Roman" w:hAnsi="Times New Roman"/>
                <w:color w:val="000000" w:themeColor="text1"/>
                <w:sz w:val="28"/>
                <w:szCs w:val="28"/>
              </w:rPr>
              <w:t>краевого</w:t>
            </w:r>
            <w:proofErr w:type="gramEnd"/>
            <w:r>
              <w:rPr>
                <w:rFonts w:ascii="Times New Roman" w:hAnsi="Times New Roman"/>
                <w:color w:val="000000" w:themeColor="text1"/>
                <w:sz w:val="28"/>
                <w:szCs w:val="28"/>
              </w:rPr>
              <w:t xml:space="preserve"> бюджета-</w:t>
            </w:r>
            <w:r w:rsidR="00F87588">
              <w:rPr>
                <w:rFonts w:ascii="Times New Roman" w:hAnsi="Times New Roman"/>
                <w:color w:val="000000" w:themeColor="text1"/>
                <w:sz w:val="28"/>
                <w:szCs w:val="28"/>
              </w:rPr>
              <w:t>4581,3</w:t>
            </w:r>
            <w:r>
              <w:rPr>
                <w:rFonts w:ascii="Times New Roman" w:hAnsi="Times New Roman"/>
                <w:color w:val="000000" w:themeColor="text1"/>
                <w:sz w:val="28"/>
                <w:szCs w:val="28"/>
              </w:rPr>
              <w:t xml:space="preserve"> тысяч рублей, в том числе по годам:</w:t>
            </w:r>
          </w:p>
          <w:p w:rsidR="00B15273"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2015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2016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2017 год – </w:t>
            </w:r>
            <w:r w:rsidR="00F87588">
              <w:rPr>
                <w:rFonts w:ascii="Times New Roman" w:hAnsi="Times New Roman"/>
                <w:color w:val="000000" w:themeColor="text1"/>
                <w:sz w:val="28"/>
                <w:szCs w:val="28"/>
              </w:rPr>
              <w:t>4581,3</w:t>
            </w:r>
            <w:r>
              <w:rPr>
                <w:rFonts w:ascii="Times New Roman" w:hAnsi="Times New Roman"/>
                <w:color w:val="000000" w:themeColor="text1"/>
                <w:sz w:val="28"/>
                <w:szCs w:val="28"/>
              </w:rPr>
              <w:t xml:space="preserve">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2018 год –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2019  год- 0,0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2020 год -0,0 тысяч рублей;</w:t>
            </w:r>
          </w:p>
          <w:p w:rsidR="001040FB"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40188D"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40188D"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1040FB">
        <w:rPr>
          <w:rFonts w:ascii="Times New Roman" w:hAnsi="Times New Roman"/>
          <w:color w:val="000000"/>
          <w:sz w:val="28"/>
          <w:szCs w:val="28"/>
        </w:rPr>
        <w:t>9480,</w:t>
      </w:r>
      <w:r w:rsidR="009E4A33">
        <w:rPr>
          <w:rFonts w:ascii="Times New Roman" w:hAnsi="Times New Roman"/>
          <w:color w:val="000000"/>
          <w:sz w:val="28"/>
          <w:szCs w:val="28"/>
        </w:rPr>
        <w:t>8</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rFonts w:ascii="Times New Roman" w:hAnsi="Times New Roman"/>
                <w:color w:val="000000"/>
                <w:sz w:val="24"/>
                <w:szCs w:val="24"/>
              </w:rPr>
              <w:t>1,8</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sz w:val="24"/>
                <w:szCs w:val="24"/>
              </w:rPr>
            </w:pPr>
            <w:r w:rsidRPr="00BE228C">
              <w:rPr>
                <w:sz w:val="24"/>
                <w:szCs w:val="24"/>
              </w:rPr>
              <w:t>-</w:t>
            </w:r>
          </w:p>
        </w:tc>
      </w:tr>
      <w:tr w:rsidR="00E215AA"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37,2</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Цель:</w:t>
            </w:r>
            <w:r w:rsidRPr="00BE22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Задача 1:</w:t>
            </w:r>
            <w:r w:rsidRPr="00BE228C">
              <w:rPr>
                <w:rFonts w:ascii="Times New Roman" w:hAnsi="Times New Roman" w:cs="Times New Roman"/>
                <w:sz w:val="24"/>
                <w:szCs w:val="24"/>
              </w:rPr>
              <w:t xml:space="preserve">  внедрение экономичных энергосберегающих технологий</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8</w:t>
            </w:r>
            <w:r w:rsidR="00E215AA" w:rsidRPr="00BE228C">
              <w:rPr>
                <w:rFonts w:ascii="Times New Roman" w:hAnsi="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95</w:t>
            </w:r>
            <w:r w:rsidR="00E215AA"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180"/>
              </w:tabs>
              <w:spacing w:after="0" w:line="240" w:lineRule="auto"/>
              <w:ind w:firstLine="34"/>
              <w:rPr>
                <w:rFonts w:ascii="Times New Roman" w:hAnsi="Times New Roman"/>
                <w:sz w:val="24"/>
                <w:szCs w:val="24"/>
              </w:rPr>
            </w:pPr>
            <w:r w:rsidRPr="00BE228C">
              <w:rPr>
                <w:rFonts w:ascii="Times New Roman" w:hAnsi="Times New Roman"/>
                <w:sz w:val="24"/>
                <w:szCs w:val="24"/>
              </w:rPr>
              <w:tab/>
              <w:t>Целевой показатель</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960F74"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130A9A"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00130A9A"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130A9A"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130A9A"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130A9A"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130A9A"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130A9A"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6E467A" w:rsidRDefault="00F87588" w:rsidP="00842DA3">
            <w:pPr>
              <w:jc w:val="center"/>
              <w:rPr>
                <w:rFonts w:ascii="Times New Roman" w:hAnsi="Times New Roman"/>
                <w:sz w:val="24"/>
                <w:szCs w:val="24"/>
              </w:rPr>
            </w:pPr>
            <w:r>
              <w:rPr>
                <w:rFonts w:ascii="Times New Roman" w:hAnsi="Times New Roman"/>
                <w:sz w:val="24"/>
                <w:szCs w:val="24"/>
              </w:rPr>
              <w:t>9578,2</w:t>
            </w:r>
          </w:p>
        </w:tc>
        <w:tc>
          <w:tcPr>
            <w:tcW w:w="993" w:type="dxa"/>
            <w:vAlign w:val="center"/>
          </w:tcPr>
          <w:p w:rsidR="003046F1" w:rsidRPr="006E467A" w:rsidRDefault="003046F1" w:rsidP="00B36642">
            <w:pPr>
              <w:jc w:val="center"/>
              <w:rPr>
                <w:rFonts w:ascii="Times New Roman" w:hAnsi="Times New Roman"/>
                <w:sz w:val="24"/>
                <w:szCs w:val="24"/>
              </w:rPr>
            </w:pPr>
            <w:r>
              <w:rPr>
                <w:rFonts w:ascii="Times New Roman" w:hAnsi="Times New Roman"/>
                <w:sz w:val="24"/>
                <w:szCs w:val="24"/>
              </w:rPr>
              <w:t>673,9</w:t>
            </w:r>
          </w:p>
        </w:tc>
        <w:tc>
          <w:tcPr>
            <w:tcW w:w="992" w:type="dxa"/>
            <w:vAlign w:val="center"/>
          </w:tcPr>
          <w:p w:rsidR="003046F1" w:rsidRPr="006E467A" w:rsidRDefault="003046F1" w:rsidP="00E215AA">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F87588" w:rsidP="00842DA3">
            <w:pPr>
              <w:jc w:val="center"/>
              <w:rPr>
                <w:rFonts w:ascii="Times New Roman" w:hAnsi="Times New Roman"/>
                <w:sz w:val="24"/>
                <w:szCs w:val="24"/>
              </w:rPr>
            </w:pPr>
            <w:r>
              <w:rPr>
                <w:rFonts w:ascii="Times New Roman" w:hAnsi="Times New Roman"/>
                <w:sz w:val="24"/>
                <w:szCs w:val="24"/>
              </w:rPr>
              <w:t>6324,3</w:t>
            </w:r>
          </w:p>
        </w:tc>
        <w:tc>
          <w:tcPr>
            <w:tcW w:w="992" w:type="dxa"/>
            <w:vAlign w:val="center"/>
          </w:tcPr>
          <w:p w:rsidR="003046F1" w:rsidRPr="006969D9" w:rsidRDefault="003046F1" w:rsidP="00E215AA">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F87588" w:rsidP="00E215AA">
            <w:pPr>
              <w:jc w:val="center"/>
              <w:rPr>
                <w:rFonts w:ascii="Times New Roman" w:hAnsi="Times New Roman"/>
                <w:sz w:val="24"/>
                <w:szCs w:val="24"/>
              </w:rPr>
            </w:pPr>
            <w:r>
              <w:rPr>
                <w:rFonts w:ascii="Times New Roman" w:hAnsi="Times New Roman"/>
                <w:sz w:val="24"/>
                <w:szCs w:val="24"/>
              </w:rPr>
              <w:t>4581,3</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F87588" w:rsidP="00E215AA">
            <w:pPr>
              <w:jc w:val="center"/>
              <w:rPr>
                <w:rFonts w:ascii="Times New Roman" w:hAnsi="Times New Roman"/>
                <w:sz w:val="24"/>
                <w:szCs w:val="24"/>
              </w:rPr>
            </w:pPr>
            <w:r>
              <w:rPr>
                <w:rFonts w:ascii="Times New Roman" w:hAnsi="Times New Roman"/>
                <w:sz w:val="24"/>
                <w:szCs w:val="24"/>
              </w:rPr>
              <w:t>4581,3</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3046F1" w:rsidRPr="006969D9" w:rsidTr="003046F1">
        <w:tc>
          <w:tcPr>
            <w:tcW w:w="675"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3046F1" w:rsidRPr="006E467A" w:rsidRDefault="00F87588" w:rsidP="003046F1">
            <w:pPr>
              <w:jc w:val="center"/>
              <w:rPr>
                <w:rFonts w:ascii="Times New Roman" w:hAnsi="Times New Roman"/>
                <w:sz w:val="24"/>
                <w:szCs w:val="24"/>
              </w:rPr>
            </w:pPr>
            <w:r>
              <w:rPr>
                <w:rFonts w:ascii="Times New Roman" w:hAnsi="Times New Roman"/>
                <w:sz w:val="24"/>
                <w:szCs w:val="24"/>
              </w:rPr>
              <w:t>4996,9</w:t>
            </w:r>
          </w:p>
        </w:tc>
        <w:tc>
          <w:tcPr>
            <w:tcW w:w="993" w:type="dxa"/>
            <w:vAlign w:val="center"/>
          </w:tcPr>
          <w:p w:rsidR="003046F1" w:rsidRPr="006E467A" w:rsidRDefault="003046F1" w:rsidP="00B36642">
            <w:pPr>
              <w:jc w:val="center"/>
              <w:rPr>
                <w:rFonts w:ascii="Times New Roman" w:hAnsi="Times New Roman"/>
                <w:sz w:val="24"/>
                <w:szCs w:val="24"/>
              </w:rPr>
            </w:pPr>
            <w:r>
              <w:rPr>
                <w:rFonts w:ascii="Times New Roman" w:hAnsi="Times New Roman"/>
                <w:sz w:val="24"/>
                <w:szCs w:val="24"/>
              </w:rPr>
              <w:t>673,9</w:t>
            </w:r>
          </w:p>
        </w:tc>
        <w:tc>
          <w:tcPr>
            <w:tcW w:w="992" w:type="dxa"/>
            <w:vAlign w:val="center"/>
          </w:tcPr>
          <w:p w:rsidR="003046F1" w:rsidRPr="006E467A" w:rsidRDefault="003046F1" w:rsidP="003046F1">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3046F1" w:rsidP="004266A9">
            <w:pPr>
              <w:jc w:val="center"/>
              <w:rPr>
                <w:rFonts w:ascii="Times New Roman" w:hAnsi="Times New Roman"/>
                <w:sz w:val="24"/>
                <w:szCs w:val="24"/>
              </w:rPr>
            </w:pPr>
            <w:r>
              <w:rPr>
                <w:rFonts w:ascii="Times New Roman" w:hAnsi="Times New Roman"/>
                <w:sz w:val="24"/>
                <w:szCs w:val="24"/>
              </w:rPr>
              <w:t>1</w:t>
            </w:r>
            <w:r w:rsidR="004266A9">
              <w:rPr>
                <w:rFonts w:ascii="Times New Roman" w:hAnsi="Times New Roman"/>
                <w:sz w:val="24"/>
                <w:szCs w:val="24"/>
              </w:rPr>
              <w:t>7</w:t>
            </w:r>
            <w:r w:rsidR="00B36642">
              <w:rPr>
                <w:rFonts w:ascii="Times New Roman" w:hAnsi="Times New Roman"/>
                <w:sz w:val="24"/>
                <w:szCs w:val="24"/>
              </w:rPr>
              <w:t>4</w:t>
            </w:r>
            <w:r>
              <w:rPr>
                <w:rFonts w:ascii="Times New Roman" w:hAnsi="Times New Roman"/>
                <w:sz w:val="24"/>
                <w:szCs w:val="24"/>
              </w:rPr>
              <w:t>3,0</w:t>
            </w:r>
          </w:p>
        </w:tc>
        <w:tc>
          <w:tcPr>
            <w:tcW w:w="992" w:type="dxa"/>
            <w:vAlign w:val="center"/>
          </w:tcPr>
          <w:p w:rsidR="003046F1" w:rsidRPr="006969D9" w:rsidRDefault="003046F1" w:rsidP="003046F1">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E467A"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6955,8</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E215AA" w:rsidRPr="006E467A"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E215AA" w:rsidRPr="006969D9" w:rsidRDefault="00F87588"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5584,3</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4581,3</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4581,3</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E467A" w:rsidRDefault="00F0437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w:t>
            </w:r>
            <w:r w:rsidR="00842DA3">
              <w:rPr>
                <w:rFonts w:ascii="Times New Roman" w:hAnsi="Times New Roman"/>
                <w:sz w:val="24"/>
                <w:szCs w:val="24"/>
              </w:rPr>
              <w:t>3</w:t>
            </w:r>
            <w:r w:rsidR="00B36642">
              <w:rPr>
                <w:rFonts w:ascii="Times New Roman" w:hAnsi="Times New Roman"/>
                <w:sz w:val="24"/>
                <w:szCs w:val="24"/>
              </w:rPr>
              <w:t>7</w:t>
            </w:r>
            <w:r>
              <w:rPr>
                <w:rFonts w:ascii="Times New Roman" w:hAnsi="Times New Roman"/>
                <w:sz w:val="24"/>
                <w:szCs w:val="24"/>
              </w:rPr>
              <w:t>4,5</w:t>
            </w:r>
          </w:p>
        </w:tc>
        <w:tc>
          <w:tcPr>
            <w:tcW w:w="993"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F04372" w:rsidRPr="006969D9" w:rsidRDefault="00842DA3"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00B36642">
              <w:rPr>
                <w:rFonts w:ascii="Times New Roman" w:hAnsi="Times New Roman"/>
                <w:sz w:val="24"/>
                <w:szCs w:val="24"/>
              </w:rPr>
              <w:t>0</w:t>
            </w:r>
            <w:r w:rsidR="00F04372">
              <w:rPr>
                <w:rFonts w:ascii="Times New Roman" w:hAnsi="Times New Roman"/>
                <w:sz w:val="24"/>
                <w:szCs w:val="24"/>
              </w:rPr>
              <w:t>3</w:t>
            </w:r>
            <w:r w:rsidR="00F04372" w:rsidRPr="006969D9">
              <w:rPr>
                <w:rFonts w:ascii="Times New Roman" w:hAnsi="Times New Roman"/>
                <w:sz w:val="24"/>
                <w:szCs w:val="24"/>
              </w:rPr>
              <w:t>,0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E215AA">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F04372">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940,0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481F80"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E215A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481F80"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940,0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481F80"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540,0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40188D"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40188D">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6969D9" w:rsidRDefault="00E215AA" w:rsidP="00E215AA">
            <w:pPr>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F87588">
              <w:rPr>
                <w:rFonts w:ascii="Times New Roman" w:hAnsi="Times New Roman"/>
                <w:color w:val="000000"/>
                <w:sz w:val="28"/>
                <w:szCs w:val="28"/>
              </w:rPr>
              <w:t>6955,8</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00FB4E26">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w:t>
            </w:r>
            <w:r w:rsidR="00F87588">
              <w:rPr>
                <w:rFonts w:ascii="Times New Roman" w:hAnsi="Times New Roman"/>
                <w:sz w:val="28"/>
                <w:szCs w:val="28"/>
              </w:rPr>
              <w:t xml:space="preserve"> -5584,3</w:t>
            </w:r>
            <w:r w:rsidRPr="006969D9">
              <w:rPr>
                <w:rFonts w:ascii="Times New Roman" w:hAnsi="Times New Roman"/>
                <w:sz w:val="28"/>
                <w:szCs w:val="28"/>
              </w:rPr>
              <w:t>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средств местного бюджета –</w:t>
            </w:r>
            <w:r>
              <w:rPr>
                <w:rFonts w:ascii="Times New Roman" w:hAnsi="Times New Roman"/>
                <w:sz w:val="28"/>
                <w:szCs w:val="28"/>
              </w:rPr>
              <w:t xml:space="preserve"> </w:t>
            </w:r>
            <w:r w:rsidR="00FB4E26">
              <w:rPr>
                <w:rFonts w:ascii="Times New Roman" w:hAnsi="Times New Roman"/>
                <w:color w:val="000000"/>
                <w:sz w:val="28"/>
                <w:szCs w:val="28"/>
              </w:rPr>
              <w:t>2</w:t>
            </w:r>
            <w:r w:rsidR="00F87588">
              <w:rPr>
                <w:rFonts w:ascii="Times New Roman" w:hAnsi="Times New Roman"/>
                <w:color w:val="000000"/>
                <w:sz w:val="28"/>
                <w:szCs w:val="28"/>
              </w:rPr>
              <w:t>37</w:t>
            </w:r>
            <w:r w:rsidR="00FB4E26">
              <w:rPr>
                <w:rFonts w:ascii="Times New Roman" w:hAnsi="Times New Roman"/>
                <w:color w:val="000000"/>
                <w:sz w:val="28"/>
                <w:szCs w:val="28"/>
              </w:rPr>
              <w:t>4,</w:t>
            </w:r>
            <w:r w:rsidR="00F87588">
              <w:rPr>
                <w:rFonts w:ascii="Times New Roman" w:hAnsi="Times New Roman"/>
                <w:color w:val="000000"/>
                <w:sz w:val="28"/>
                <w:szCs w:val="28"/>
              </w:rPr>
              <w:t>5</w:t>
            </w:r>
            <w:r w:rsidR="00FB4E26">
              <w:rPr>
                <w:rFonts w:ascii="Times New Roman" w:hAnsi="Times New Roman"/>
                <w:sz w:val="28"/>
                <w:szCs w:val="28"/>
              </w:rPr>
              <w:t xml:space="preserve"> </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 </w:t>
            </w:r>
            <w:r w:rsidR="00842DA3">
              <w:rPr>
                <w:rFonts w:ascii="Times New Roman" w:hAnsi="Times New Roman"/>
                <w:sz w:val="28"/>
                <w:szCs w:val="28"/>
              </w:rPr>
              <w:t>10</w:t>
            </w:r>
            <w:r w:rsidR="00481F80">
              <w:rPr>
                <w:rFonts w:ascii="Times New Roman" w:hAnsi="Times New Roman"/>
                <w:sz w:val="28"/>
                <w:szCs w:val="28"/>
              </w:rPr>
              <w:t>03,0</w:t>
            </w:r>
            <w:r w:rsidRPr="006969D9">
              <w:rPr>
                <w:rFonts w:ascii="Times New Roman" w:hAnsi="Times New Roman"/>
                <w:sz w:val="28"/>
                <w:szCs w:val="28"/>
              </w:rPr>
              <w:t xml:space="preserve">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r>
              <w:rPr>
                <w:rFonts w:ascii="Times New Roman" w:hAnsi="Times New Roman"/>
                <w:sz w:val="28"/>
                <w:szCs w:val="28"/>
              </w:rPr>
              <w:t>.</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w:t>
            </w:r>
            <w:proofErr w:type="gramStart"/>
            <w:r w:rsidRPr="006969D9">
              <w:rPr>
                <w:rFonts w:ascii="Times New Roman" w:hAnsi="Times New Roman"/>
                <w:sz w:val="28"/>
                <w:szCs w:val="28"/>
              </w:rPr>
              <w:t xml:space="preserve">дств </w:t>
            </w:r>
            <w:r w:rsidR="00585AC1">
              <w:rPr>
                <w:rFonts w:ascii="Times New Roman" w:hAnsi="Times New Roman"/>
                <w:sz w:val="28"/>
                <w:szCs w:val="28"/>
              </w:rPr>
              <w:t>кр</w:t>
            </w:r>
            <w:proofErr w:type="gramEnd"/>
            <w:r w:rsidR="00585AC1">
              <w:rPr>
                <w:rFonts w:ascii="Times New Roman" w:hAnsi="Times New Roman"/>
                <w:sz w:val="28"/>
                <w:szCs w:val="28"/>
              </w:rPr>
              <w:t>аевого</w:t>
            </w:r>
            <w:r w:rsidRPr="006969D9">
              <w:rPr>
                <w:rFonts w:ascii="Times New Roman" w:hAnsi="Times New Roman"/>
                <w:sz w:val="28"/>
                <w:szCs w:val="28"/>
              </w:rPr>
              <w:t xml:space="preserve"> бюджета –</w:t>
            </w:r>
            <w:r>
              <w:rPr>
                <w:rFonts w:ascii="Times New Roman" w:hAnsi="Times New Roman"/>
                <w:sz w:val="28"/>
                <w:szCs w:val="28"/>
              </w:rPr>
              <w:t xml:space="preserve"> </w:t>
            </w:r>
            <w:r w:rsidR="00F87588">
              <w:rPr>
                <w:rFonts w:ascii="Times New Roman" w:hAnsi="Times New Roman"/>
                <w:color w:val="000000"/>
                <w:sz w:val="28"/>
                <w:szCs w:val="28"/>
              </w:rPr>
              <w:t>4581,3</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w:t>
            </w:r>
            <w:r w:rsidR="00585AC1">
              <w:rPr>
                <w:rFonts w:ascii="Times New Roman" w:hAnsi="Times New Roman"/>
                <w:sz w:val="28"/>
                <w:szCs w:val="28"/>
              </w:rPr>
              <w:t xml:space="preserve">  - </w:t>
            </w:r>
            <w:r w:rsidRPr="006969D9">
              <w:rPr>
                <w:rFonts w:ascii="Times New Roman" w:hAnsi="Times New Roman"/>
                <w:sz w:val="28"/>
                <w:szCs w:val="28"/>
              </w:rPr>
              <w:t xml:space="preserve"> </w:t>
            </w:r>
            <w:r w:rsidR="00585AC1">
              <w:rPr>
                <w:rFonts w:ascii="Times New Roman" w:hAnsi="Times New Roman"/>
                <w:sz w:val="28"/>
                <w:szCs w:val="28"/>
              </w:rPr>
              <w:t>0,0</w:t>
            </w:r>
            <w:r w:rsidRPr="006969D9">
              <w:rPr>
                <w:rFonts w:ascii="Times New Roman" w:hAnsi="Times New Roman"/>
                <w:sz w:val="28"/>
                <w:szCs w:val="28"/>
              </w:rPr>
              <w:t xml:space="preserve">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00585AC1">
              <w:rPr>
                <w:rFonts w:ascii="Times New Roman" w:hAnsi="Times New Roman"/>
                <w:color w:val="000000"/>
                <w:sz w:val="28"/>
                <w:szCs w:val="28"/>
              </w:rPr>
              <w:t>0,0</w:t>
            </w:r>
            <w:r w:rsidRPr="000C072D">
              <w:rPr>
                <w:rFonts w:ascii="Times New Roman" w:hAnsi="Times New Roman"/>
                <w:color w:val="000000"/>
                <w:sz w:val="28"/>
                <w:szCs w:val="28"/>
              </w:rPr>
              <w:t xml:space="preserve"> тысяч</w:t>
            </w:r>
            <w:r w:rsidRPr="006969D9">
              <w:rPr>
                <w:rFonts w:ascii="Times New Roman" w:hAnsi="Times New Roman"/>
                <w:sz w:val="28"/>
                <w:szCs w:val="28"/>
              </w:rPr>
              <w:t xml:space="preserve">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w:t>
            </w:r>
            <w:r w:rsidR="00F87588">
              <w:rPr>
                <w:rFonts w:ascii="Times New Roman" w:hAnsi="Times New Roman"/>
                <w:sz w:val="28"/>
                <w:szCs w:val="28"/>
              </w:rPr>
              <w:t>– 4581,3</w:t>
            </w:r>
            <w:r w:rsidRPr="006969D9">
              <w:rPr>
                <w:rFonts w:ascii="Times New Roman" w:hAnsi="Times New Roman"/>
                <w:sz w:val="28"/>
                <w:szCs w:val="28"/>
              </w:rPr>
              <w:t xml:space="preserve">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0,0 тысяч рублей;</w:t>
            </w:r>
          </w:p>
          <w:p w:rsidR="00481F80" w:rsidRPr="006969D9" w:rsidRDefault="00481F80" w:rsidP="00481F80">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0,0 тысяч рублей</w:t>
            </w:r>
            <w:r>
              <w:rPr>
                <w:rFonts w:ascii="Times New Roman" w:hAnsi="Times New Roman"/>
                <w:sz w:val="28"/>
                <w:szCs w:val="28"/>
              </w:rPr>
              <w:t>.</w:t>
            </w:r>
          </w:p>
          <w:p w:rsidR="00682974" w:rsidRPr="00497355" w:rsidRDefault="00682974" w:rsidP="00E215AA">
            <w:pPr>
              <w:spacing w:after="0" w:line="240" w:lineRule="auto"/>
              <w:ind w:left="720"/>
              <w:contextualSpacing/>
              <w:jc w:val="both"/>
              <w:rPr>
                <w:rFonts w:ascii="Times New Roman" w:hAnsi="Times New Roman" w:cs="Times New Roman"/>
                <w:color w:val="000000" w:themeColor="text1"/>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составляет </w:t>
      </w:r>
      <w:r w:rsidR="009E4A33">
        <w:rPr>
          <w:rFonts w:ascii="Times New Roman" w:hAnsi="Times New Roman"/>
          <w:color w:val="FF0000"/>
          <w:sz w:val="28"/>
          <w:szCs w:val="28"/>
        </w:rPr>
        <w:t>6</w:t>
      </w:r>
      <w:r w:rsidR="00842DA3">
        <w:rPr>
          <w:rFonts w:ascii="Times New Roman" w:hAnsi="Times New Roman"/>
          <w:color w:val="FF0000"/>
          <w:sz w:val="28"/>
          <w:szCs w:val="28"/>
        </w:rPr>
        <w:t>9</w:t>
      </w:r>
      <w:r w:rsidR="009E4A33">
        <w:rPr>
          <w:rFonts w:ascii="Times New Roman" w:hAnsi="Times New Roman"/>
          <w:color w:val="FF0000"/>
          <w:sz w:val="28"/>
          <w:szCs w:val="28"/>
        </w:rPr>
        <w:t>58,4</w:t>
      </w:r>
      <w:r w:rsidR="00511103">
        <w:rPr>
          <w:rFonts w:ascii="Times New Roman" w:hAnsi="Times New Roman"/>
          <w:sz w:val="28"/>
          <w:szCs w:val="28"/>
        </w:rPr>
        <w:t xml:space="preserve"> </w:t>
      </w:r>
      <w:r w:rsidRPr="00C262F7">
        <w:rPr>
          <w:rFonts w:ascii="Times New Roman" w:hAnsi="Times New Roman"/>
          <w:sz w:val="28"/>
          <w:szCs w:val="28"/>
        </w:rPr>
        <w:t>тысяч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1A1AFB"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sz w:val="24"/>
                <w:szCs w:val="24"/>
              </w:rPr>
            </w:pPr>
            <w:r w:rsidRPr="00260C1F">
              <w:rPr>
                <w:rFonts w:ascii="Times New Roman" w:hAnsi="Times New Roman"/>
                <w:sz w:val="24"/>
                <w:szCs w:val="24"/>
              </w:rPr>
              <w:t>-</w:t>
            </w:r>
          </w:p>
        </w:tc>
      </w:tr>
      <w:tr w:rsidR="001A1AFB"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D100AD"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right="-31"/>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F1117B" w:rsidRPr="00485CA6" w:rsidRDefault="00F1117B" w:rsidP="00485CA6">
      <w:pPr>
        <w:spacing w:after="0" w:line="240" w:lineRule="auto"/>
        <w:ind w:left="8496" w:right="-31"/>
        <w:jc w:val="center"/>
        <w:rPr>
          <w:rFonts w:ascii="Times New Roman" w:hAnsi="Times New Roman"/>
          <w:color w:val="000000" w:themeColor="text1"/>
          <w:sz w:val="28"/>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992"/>
        <w:gridCol w:w="850"/>
        <w:gridCol w:w="851"/>
        <w:gridCol w:w="992"/>
        <w:gridCol w:w="851"/>
        <w:gridCol w:w="1417"/>
        <w:gridCol w:w="1418"/>
      </w:tblGrid>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237"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E467A" w:rsidRDefault="00F87588"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6955,8</w:t>
            </w:r>
          </w:p>
        </w:tc>
        <w:tc>
          <w:tcPr>
            <w:tcW w:w="850" w:type="dxa"/>
            <w:vAlign w:val="center"/>
          </w:tcPr>
          <w:p w:rsidR="001A1AFB" w:rsidRPr="006E467A" w:rsidRDefault="00F87588"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1A1AFB" w:rsidRPr="006E467A" w:rsidRDefault="00F87588"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1A1AFB" w:rsidRPr="006969D9" w:rsidRDefault="00E13D15"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5584,3</w:t>
            </w: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585AC1">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E467A"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4581,3</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969D9"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4581,3</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rPr>
          <w:trHeight w:val="561"/>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51615" w:rsidRPr="006969D9" w:rsidTr="00585AC1">
        <w:trPr>
          <w:trHeight w:val="838"/>
        </w:trPr>
        <w:tc>
          <w:tcPr>
            <w:tcW w:w="568"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351615" w:rsidRPr="006E467A" w:rsidRDefault="00E13D15"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2374,5</w:t>
            </w:r>
          </w:p>
        </w:tc>
        <w:tc>
          <w:tcPr>
            <w:tcW w:w="850" w:type="dxa"/>
            <w:vAlign w:val="center"/>
          </w:tcPr>
          <w:p w:rsidR="00351615" w:rsidRPr="006E467A" w:rsidRDefault="00E13D15"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351615" w:rsidRPr="006E467A" w:rsidRDefault="00E13D15"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351615" w:rsidRPr="006969D9" w:rsidRDefault="00351615"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1003</w:t>
            </w:r>
            <w:r w:rsidRPr="006969D9">
              <w:rPr>
                <w:rFonts w:ascii="Times New Roman" w:hAnsi="Times New Roman"/>
                <w:sz w:val="24"/>
                <w:szCs w:val="24"/>
              </w:rPr>
              <w:t>,0</w:t>
            </w:r>
          </w:p>
        </w:tc>
        <w:tc>
          <w:tcPr>
            <w:tcW w:w="850"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351615" w:rsidRPr="006969D9" w:rsidRDefault="003516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Подводящий газопровод высокого давления к х. Р.Люксембург (проектные работы,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обеспечения населения х. Р. Люксембург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5236,9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5236,9</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4583,9</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00585AC1">
              <w:rPr>
                <w:rFonts w:ascii="Times New Roman" w:hAnsi="Times New Roman"/>
                <w:sz w:val="24"/>
                <w:szCs w:val="24"/>
              </w:rPr>
              <w:t>5</w:t>
            </w:r>
            <w:r>
              <w:rPr>
                <w:rFonts w:ascii="Times New Roman" w:hAnsi="Times New Roman"/>
                <w:sz w:val="24"/>
                <w:szCs w:val="24"/>
              </w:rPr>
              <w:t>3</w:t>
            </w:r>
            <w:r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E24B0C"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w:t>
            </w:r>
            <w:r w:rsidR="00585AC1">
              <w:rPr>
                <w:rFonts w:ascii="Times New Roman" w:hAnsi="Times New Roman"/>
                <w:sz w:val="24"/>
                <w:szCs w:val="24"/>
              </w:rPr>
              <w:t>5</w:t>
            </w:r>
            <w:r w:rsidR="001A1AFB">
              <w:rPr>
                <w:rFonts w:ascii="Times New Roman" w:hAnsi="Times New Roman"/>
                <w:sz w:val="24"/>
                <w:szCs w:val="24"/>
              </w:rPr>
              <w:t>3</w:t>
            </w:r>
            <w:r w:rsidR="001A1AFB"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BF401E">
              <w:rPr>
                <w:rFonts w:ascii="Times New Roman" w:hAnsi="Times New Roman"/>
                <w:sz w:val="24"/>
                <w:szCs w:val="24"/>
              </w:rPr>
              <w:t>4</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 х. Р.Люксембург</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BF401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BF401E">
              <w:rPr>
                <w:rFonts w:ascii="Times New Roman" w:hAnsi="Times New Roman"/>
                <w:sz w:val="24"/>
                <w:szCs w:val="24"/>
              </w:rPr>
              <w:t>.6</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rPr>
          <w:trHeight w:val="623"/>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val="restart"/>
            <w:vAlign w:val="center"/>
          </w:tcPr>
          <w:p w:rsidR="001A1AFB" w:rsidRPr="006969D9" w:rsidRDefault="001A1AFB"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BF401E">
              <w:rPr>
                <w:rFonts w:ascii="Times New Roman" w:hAnsi="Times New Roman"/>
                <w:sz w:val="24"/>
                <w:szCs w:val="24"/>
              </w:rPr>
              <w:t>7</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п. </w:t>
            </w:r>
            <w:proofErr w:type="gramStart"/>
            <w:r w:rsidRPr="006969D9">
              <w:rPr>
                <w:rFonts w:ascii="Times New Roman" w:hAnsi="Times New Roman"/>
                <w:sz w:val="24"/>
                <w:szCs w:val="24"/>
              </w:rPr>
              <w:t>Красноармейский</w:t>
            </w:r>
            <w:proofErr w:type="gramEnd"/>
            <w:r w:rsidRPr="006969D9">
              <w:rPr>
                <w:rFonts w:ascii="Times New Roman" w:hAnsi="Times New Roman"/>
                <w:sz w:val="24"/>
                <w:szCs w:val="24"/>
              </w:rPr>
              <w:t xml:space="preserve"> (ПСД,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Красноармейский</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585AC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6E467A" w:rsidRDefault="00E13D15"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6955,8</w:t>
            </w:r>
          </w:p>
        </w:tc>
        <w:tc>
          <w:tcPr>
            <w:tcW w:w="1134"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E13D15"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5584,3</w:t>
            </w:r>
          </w:p>
        </w:tc>
        <w:tc>
          <w:tcPr>
            <w:tcW w:w="1134" w:type="dxa"/>
            <w:vAlign w:val="center"/>
          </w:tcPr>
          <w:p w:rsidR="000A5889" w:rsidRPr="006969D9" w:rsidRDefault="000A5889" w:rsidP="001040FB">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9C7CEA"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4581,3</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4581,3</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1040FB">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6E467A" w:rsidRDefault="000A5889" w:rsidP="00E13D1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w:t>
            </w:r>
            <w:r w:rsidR="00842DA3">
              <w:rPr>
                <w:rFonts w:ascii="Times New Roman" w:hAnsi="Times New Roman"/>
                <w:sz w:val="24"/>
                <w:szCs w:val="24"/>
              </w:rPr>
              <w:t>3</w:t>
            </w:r>
            <w:r w:rsidR="005D158A">
              <w:rPr>
                <w:rFonts w:ascii="Times New Roman" w:hAnsi="Times New Roman"/>
                <w:sz w:val="24"/>
                <w:szCs w:val="24"/>
              </w:rPr>
              <w:t>7</w:t>
            </w:r>
            <w:r>
              <w:rPr>
                <w:rFonts w:ascii="Times New Roman" w:hAnsi="Times New Roman"/>
                <w:sz w:val="24"/>
                <w:szCs w:val="24"/>
              </w:rPr>
              <w:t>4,</w:t>
            </w:r>
            <w:r w:rsidR="00E13D15">
              <w:rPr>
                <w:rFonts w:ascii="Times New Roman" w:hAnsi="Times New Roman"/>
                <w:sz w:val="24"/>
                <w:szCs w:val="24"/>
              </w:rPr>
              <w:t>5</w:t>
            </w:r>
          </w:p>
        </w:tc>
        <w:tc>
          <w:tcPr>
            <w:tcW w:w="1134"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842DA3"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005D158A">
              <w:rPr>
                <w:rFonts w:ascii="Times New Roman" w:hAnsi="Times New Roman"/>
                <w:sz w:val="24"/>
                <w:szCs w:val="24"/>
              </w:rPr>
              <w:t>0</w:t>
            </w:r>
            <w:r w:rsidR="000A5889">
              <w:rPr>
                <w:rFonts w:ascii="Times New Roman" w:hAnsi="Times New Roman"/>
                <w:sz w:val="24"/>
                <w:szCs w:val="24"/>
              </w:rPr>
              <w:t>3</w:t>
            </w:r>
            <w:r w:rsidR="000A5889" w:rsidRPr="006969D9">
              <w:rPr>
                <w:rFonts w:ascii="Times New Roman" w:hAnsi="Times New Roman"/>
                <w:sz w:val="24"/>
                <w:szCs w:val="24"/>
              </w:rPr>
              <w:t>,0</w:t>
            </w:r>
          </w:p>
        </w:tc>
        <w:tc>
          <w:tcPr>
            <w:tcW w:w="1134" w:type="dxa"/>
            <w:vAlign w:val="center"/>
          </w:tcPr>
          <w:p w:rsidR="000A5889" w:rsidRPr="006969D9" w:rsidRDefault="000A5889" w:rsidP="001040FB">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485CA6" w:rsidRPr="00497355"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1B3FC9"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1B3FC9" w:rsidRPr="00485CA6" w:rsidSect="008E088C">
          <w:pgSz w:w="16838" w:h="11906" w:orient="landscape"/>
          <w:pgMar w:top="1701" w:right="1134" w:bottom="851" w:left="1134" w:header="709" w:footer="709" w:gutter="0"/>
          <w:cols w:space="708"/>
          <w:docGrid w:linePitch="360"/>
        </w:sect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Pr="00497355">
        <w:rPr>
          <w:rFonts w:ascii="Times New Roman" w:hAnsi="Times New Roman"/>
          <w:color w:val="000000" w:themeColor="text1"/>
          <w:sz w:val="24"/>
          <w:szCs w:val="24"/>
        </w:rPr>
        <w:t>В.Н.Афанасьева</w:t>
      </w: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общий объ</w:t>
            </w:r>
            <w:r>
              <w:rPr>
                <w:rFonts w:ascii="Times New Roman" w:hAnsi="Times New Roman"/>
                <w:color w:val="000000"/>
                <w:sz w:val="28"/>
                <w:szCs w:val="28"/>
              </w:rPr>
              <w:t xml:space="preserve">ем финансирования составляет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sidR="000A5889">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в том числе и</w:t>
            </w:r>
            <w:r>
              <w:rPr>
                <w:rFonts w:ascii="Times New Roman" w:hAnsi="Times New Roman"/>
                <w:color w:val="000000"/>
                <w:sz w:val="28"/>
                <w:szCs w:val="28"/>
              </w:rPr>
              <w:t xml:space="preserve">з средств местного бюджета –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7F0C47" w:rsidRPr="00B03E53"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Pr>
                <w:rFonts w:ascii="Times New Roman" w:hAnsi="Times New Roman"/>
                <w:color w:val="000000"/>
                <w:sz w:val="28"/>
                <w:szCs w:val="28"/>
              </w:rPr>
              <w:t>150,0 тысяч рублей</w:t>
            </w:r>
            <w:r w:rsidR="001A1AFB" w:rsidRPr="00B872DA">
              <w:rPr>
                <w:rFonts w:ascii="Times New Roman" w:hAnsi="Times New Roman"/>
                <w:color w:val="000000"/>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9</w:t>
            </w:r>
            <w:r w:rsidRPr="006969D9">
              <w:rPr>
                <w:rFonts w:ascii="Times New Roman" w:hAnsi="Times New Roman"/>
                <w:sz w:val="24"/>
                <w:szCs w:val="24"/>
              </w:rPr>
              <w:t>50</w:t>
            </w:r>
          </w:p>
        </w:tc>
        <w:tc>
          <w:tcPr>
            <w:tcW w:w="851" w:type="dxa"/>
          </w:tcPr>
          <w:p w:rsidR="00B03E53" w:rsidRDefault="00B03E53">
            <w:r w:rsidRPr="00560451">
              <w:rPr>
                <w:rFonts w:ascii="Times New Roman" w:hAnsi="Times New Roman"/>
                <w:sz w:val="24"/>
                <w:szCs w:val="24"/>
              </w:rPr>
              <w:t>950</w:t>
            </w:r>
          </w:p>
        </w:tc>
        <w:tc>
          <w:tcPr>
            <w:tcW w:w="850" w:type="dxa"/>
          </w:tcPr>
          <w:p w:rsidR="00B03E53" w:rsidRDefault="00B03E53">
            <w:r w:rsidRPr="00560451">
              <w:rPr>
                <w:rFonts w:ascii="Times New Roman" w:hAnsi="Times New Roman"/>
                <w:sz w:val="24"/>
                <w:szCs w:val="24"/>
              </w:rPr>
              <w:t>950</w:t>
            </w:r>
          </w:p>
        </w:tc>
        <w:tc>
          <w:tcPr>
            <w:tcW w:w="813" w:type="dxa"/>
          </w:tcPr>
          <w:p w:rsidR="00B03E53" w:rsidRDefault="00B03E53">
            <w:r w:rsidRPr="00560451">
              <w:rPr>
                <w:rFonts w:ascii="Times New Roman" w:hAnsi="Times New Roman"/>
                <w:sz w:val="24"/>
                <w:szCs w:val="24"/>
              </w:rPr>
              <w:t>950</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1.2</w:t>
            </w:r>
          </w:p>
        </w:tc>
        <w:tc>
          <w:tcPr>
            <w:tcW w:w="13149" w:type="dxa"/>
            <w:gridSpan w:val="8"/>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6969D9"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1A1AFB" w:rsidP="00960F74">
            <w:pPr>
              <w:spacing w:after="0" w:line="240" w:lineRule="auto"/>
              <w:jc w:val="center"/>
              <w:rPr>
                <w:rFonts w:ascii="Times New Roman" w:hAnsi="Times New Roman"/>
                <w:sz w:val="24"/>
                <w:szCs w:val="24"/>
              </w:rPr>
            </w:pPr>
            <w:r>
              <w:rPr>
                <w:rFonts w:ascii="Times New Roman" w:hAnsi="Times New Roman"/>
                <w:sz w:val="24"/>
                <w:szCs w:val="24"/>
              </w:rPr>
              <w:t>3</w:t>
            </w:r>
            <w:r w:rsidR="00960F74">
              <w:rPr>
                <w:rFonts w:ascii="Times New Roman" w:hAnsi="Times New Roman"/>
                <w:sz w:val="24"/>
                <w:szCs w:val="24"/>
              </w:rPr>
              <w:t>41</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341</w:t>
            </w:r>
            <w:r w:rsidRPr="009C7CEA">
              <w:rPr>
                <w:rFonts w:ascii="Times New Roman" w:hAnsi="Times New Roman"/>
                <w:sz w:val="24"/>
                <w:szCs w:val="24"/>
              </w:rPr>
              <w:t>,0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4</w:t>
            </w:r>
            <w:r w:rsidRPr="009C7CEA">
              <w:rPr>
                <w:rFonts w:ascii="Times New Roman" w:hAnsi="Times New Roman"/>
                <w:sz w:val="24"/>
                <w:szCs w:val="24"/>
              </w:rPr>
              <w:t>5,0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 xml:space="preserve">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2</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100</w:t>
            </w:r>
            <w:r w:rsidR="001A1AFB" w:rsidRPr="009C7CEA">
              <w:rPr>
                <w:rFonts w:ascii="Times New Roman" w:hAnsi="Times New Roman"/>
                <w:sz w:val="24"/>
                <w:szCs w:val="24"/>
              </w:rPr>
              <w:t>,0</w:t>
            </w:r>
          </w:p>
        </w:tc>
        <w:tc>
          <w:tcPr>
            <w:tcW w:w="936" w:type="dxa"/>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992" w:type="dxa"/>
            <w:gridSpan w:val="2"/>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137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100</w:t>
            </w:r>
            <w:r w:rsidRPr="009C7CEA">
              <w:rPr>
                <w:rFonts w:ascii="Times New Roman" w:hAnsi="Times New Roman"/>
                <w:sz w:val="24"/>
                <w:szCs w:val="24"/>
              </w:rPr>
              <w:t>,0</w:t>
            </w:r>
          </w:p>
        </w:tc>
        <w:tc>
          <w:tcPr>
            <w:tcW w:w="936" w:type="dxa"/>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137</w:t>
            </w:r>
            <w:r w:rsidRPr="009C7CEA">
              <w:rPr>
                <w:rFonts w:ascii="Times New Roman" w:hAnsi="Times New Roman"/>
                <w:sz w:val="24"/>
                <w:szCs w:val="24"/>
              </w:rPr>
              <w:t>,0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1417" w:type="dxa"/>
            <w:gridSpan w:val="2"/>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66"/>
        </w:trPr>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tc>
      </w:tr>
      <w:tr w:rsidR="001A1AFB" w:rsidRPr="009C7CEA" w:rsidTr="000205BB">
        <w:trPr>
          <w:trHeight w:val="699"/>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533</w:t>
            </w:r>
            <w:r w:rsidR="001A1AFB"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85</w:t>
            </w:r>
            <w:r w:rsidR="001A1AFB" w:rsidRPr="009C7CEA">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190,0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11</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120,4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51,4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15,0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87"/>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c>
          <w:tcPr>
            <w:tcW w:w="14755" w:type="dxa"/>
            <w:gridSpan w:val="27"/>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9C7CEA" w:rsidTr="003046F1">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Мероприятие №3</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Ремонт систем отопления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pStyle w:val="ConsPlusNonformat"/>
              <w:widowControl/>
              <w:rPr>
                <w:rFonts w:ascii="Times New Roman" w:hAnsi="Times New Roman" w:cs="Times New Roman"/>
                <w:sz w:val="24"/>
                <w:szCs w:val="24"/>
              </w:rPr>
            </w:pPr>
            <w:r w:rsidRPr="009C7CEA">
              <w:rPr>
                <w:rFonts w:ascii="Times New Roman" w:hAnsi="Times New Roman" w:cs="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shd w:val="clear" w:color="auto" w:fill="FFFF00"/>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rPr>
          <w:trHeight w:val="417"/>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22"/>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 том числе по гл. распорядителям:</w:t>
            </w:r>
          </w:p>
        </w:tc>
      </w:tr>
      <w:tr w:rsidR="001A1AFB" w:rsidRPr="009C7CEA" w:rsidTr="003046F1">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91,0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5D7CDB">
        <w:trPr>
          <w:trHeight w:val="802"/>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140,0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Мероприятия  № 4</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Мероприятие № 5</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Замена окон</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Администрация МО Кавказского района</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Default="005D7CDB" w:rsidP="005D7CDB">
            <w:pPr>
              <w:spacing w:after="0" w:line="240" w:lineRule="auto"/>
              <w:jc w:val="center"/>
              <w:rPr>
                <w:rFonts w:ascii="Times New Roman" w:hAnsi="Times New Roman"/>
                <w:sz w:val="24"/>
                <w:szCs w:val="24"/>
              </w:rPr>
            </w:pP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rPr>
          <w:trHeight w:val="291"/>
        </w:trPr>
        <w:tc>
          <w:tcPr>
            <w:tcW w:w="663" w:type="dxa"/>
            <w:vMerge w:val="restart"/>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ИТОГО по подпрограмме</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733,0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85,0</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377,0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400,0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65,0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90,0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4</w:t>
            </w:r>
            <w:r w:rsidRPr="0069264B">
              <w:rPr>
                <w:rFonts w:ascii="Times New Roman" w:hAnsi="Times New Roman"/>
                <w:sz w:val="24"/>
                <w:szCs w:val="24"/>
              </w:rPr>
              <w:t>5,0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172,4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26,0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15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9C7CEA" w:rsidRDefault="00E0673B" w:rsidP="003046F1">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r>
      <w:tr w:rsidR="00E0673B" w:rsidRPr="009C7CEA" w:rsidTr="001040FB">
        <w:tc>
          <w:tcPr>
            <w:tcW w:w="653"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716"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E0673B" w:rsidRPr="009C7CEA" w:rsidRDefault="00E0673B" w:rsidP="001040FB">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1040FB">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1040FB">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sidP="001040FB">
            <w:r w:rsidRPr="00507307">
              <w:rPr>
                <w:rFonts w:ascii="Times New Roman" w:hAnsi="Times New Roman"/>
                <w:sz w:val="24"/>
                <w:szCs w:val="24"/>
              </w:rPr>
              <w:t>150,0</w:t>
            </w:r>
          </w:p>
        </w:tc>
        <w:tc>
          <w:tcPr>
            <w:tcW w:w="1134" w:type="dxa"/>
          </w:tcPr>
          <w:p w:rsidR="00E0673B" w:rsidRDefault="00E0673B" w:rsidP="001040FB">
            <w:r w:rsidRPr="00507307">
              <w:rPr>
                <w:rFonts w:ascii="Times New Roman" w:hAnsi="Times New Roman"/>
                <w:sz w:val="24"/>
                <w:szCs w:val="24"/>
              </w:rPr>
              <w:t>150,0</w:t>
            </w:r>
          </w:p>
        </w:tc>
        <w:tc>
          <w:tcPr>
            <w:tcW w:w="1134" w:type="dxa"/>
          </w:tcPr>
          <w:p w:rsidR="00E0673B" w:rsidRDefault="00E0673B" w:rsidP="001040FB">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общий объем финансирования составляет </w:t>
            </w:r>
            <w:r w:rsidR="005D158A">
              <w:rPr>
                <w:rFonts w:ascii="Times New Roman" w:hAnsi="Times New Roman" w:cs="Times New Roman"/>
                <w:color w:val="000000" w:themeColor="text1"/>
                <w:sz w:val="28"/>
                <w:szCs w:val="28"/>
              </w:rPr>
              <w:t>940</w:t>
            </w:r>
            <w:r w:rsidRPr="00497355">
              <w:rPr>
                <w:rFonts w:ascii="Times New Roman" w:hAnsi="Times New Roman" w:cs="Times New Roman"/>
                <w:color w:val="000000" w:themeColor="text1"/>
                <w:sz w:val="28"/>
                <w:szCs w:val="28"/>
              </w:rPr>
              <w:t>,0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2017 год – </w:t>
            </w:r>
            <w:r w:rsidR="005D158A">
              <w:rPr>
                <w:rFonts w:ascii="Times New Roman" w:hAnsi="Times New Roman" w:cs="Times New Roman"/>
                <w:color w:val="000000" w:themeColor="text1"/>
                <w:sz w:val="28"/>
                <w:szCs w:val="28"/>
              </w:rPr>
              <w:t>540,</w:t>
            </w:r>
            <w:r w:rsidRPr="00497355">
              <w:rPr>
                <w:rFonts w:ascii="Times New Roman" w:hAnsi="Times New Roman" w:cs="Times New Roman"/>
                <w:color w:val="000000" w:themeColor="text1"/>
                <w:sz w:val="28"/>
                <w:szCs w:val="28"/>
              </w:rPr>
              <w:t>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том числе из средств местного бюджета – </w:t>
            </w:r>
            <w:r w:rsidR="005D158A">
              <w:rPr>
                <w:rFonts w:ascii="Times New Roman" w:hAnsi="Times New Roman" w:cs="Times New Roman"/>
                <w:color w:val="000000" w:themeColor="text1"/>
                <w:sz w:val="28"/>
                <w:szCs w:val="28"/>
              </w:rPr>
              <w:t>940,</w:t>
            </w:r>
            <w:r w:rsidRPr="00497355">
              <w:rPr>
                <w:rFonts w:ascii="Times New Roman" w:hAnsi="Times New Roman" w:cs="Times New Roman"/>
                <w:color w:val="000000" w:themeColor="text1"/>
                <w:sz w:val="28"/>
                <w:szCs w:val="28"/>
              </w:rPr>
              <w:t>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w:t>
            </w:r>
            <w:r w:rsidR="005D158A">
              <w:rPr>
                <w:rFonts w:ascii="Times New Roman" w:hAnsi="Times New Roman" w:cs="Times New Roman"/>
                <w:color w:val="000000" w:themeColor="text1"/>
                <w:sz w:val="28"/>
                <w:szCs w:val="28"/>
              </w:rPr>
              <w:t xml:space="preserve"> - </w:t>
            </w:r>
            <w:r w:rsidRPr="00497355">
              <w:rPr>
                <w:rFonts w:ascii="Times New Roman" w:hAnsi="Times New Roman" w:cs="Times New Roman"/>
                <w:color w:val="000000" w:themeColor="text1"/>
                <w:sz w:val="28"/>
                <w:szCs w:val="28"/>
              </w:rPr>
              <w:t xml:space="preserve"> </w:t>
            </w:r>
            <w:r w:rsidR="005D158A">
              <w:rPr>
                <w:rFonts w:ascii="Times New Roman" w:hAnsi="Times New Roman" w:cs="Times New Roman"/>
                <w:color w:val="000000" w:themeColor="text1"/>
                <w:sz w:val="28"/>
                <w:szCs w:val="28"/>
              </w:rPr>
              <w:t>540</w:t>
            </w:r>
            <w:r w:rsidRPr="00497355">
              <w:rPr>
                <w:rFonts w:ascii="Times New Roman" w:hAnsi="Times New Roman" w:cs="Times New Roman"/>
                <w:color w:val="000000" w:themeColor="text1"/>
                <w:sz w:val="28"/>
                <w:szCs w:val="28"/>
              </w:rPr>
              <w:t>,0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511103">
        <w:rPr>
          <w:rFonts w:ascii="Times New Roman" w:hAnsi="Times New Roman" w:cs="Times New Roman"/>
          <w:color w:val="000000" w:themeColor="text1"/>
          <w:sz w:val="28"/>
          <w:szCs w:val="28"/>
        </w:rPr>
        <w:t>750</w:t>
      </w:r>
      <w:r w:rsidR="004A017A" w:rsidRPr="00497355">
        <w:rPr>
          <w:rFonts w:ascii="Times New Roman" w:hAnsi="Times New Roman" w:cs="Times New Roman"/>
          <w:color w:val="000000" w:themeColor="text1"/>
          <w:sz w:val="28"/>
          <w:szCs w:val="28"/>
        </w:rPr>
        <w:t>,0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511103"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215AA">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Задача</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2418" w:type="dxa"/>
            <w:vMerge w:val="restart"/>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94</w:t>
            </w:r>
            <w:r w:rsidR="00E0673B">
              <w:rPr>
                <w:rFonts w:ascii="Times New Roman" w:hAnsi="Times New Roman"/>
                <w:sz w:val="24"/>
                <w:szCs w:val="28"/>
              </w:rPr>
              <w:t>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E0673B" w:rsidRPr="009D4C37" w:rsidTr="00E215AA">
        <w:trPr>
          <w:trHeight w:val="280"/>
        </w:trPr>
        <w:tc>
          <w:tcPr>
            <w:tcW w:w="809"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E0673B" w:rsidRPr="009D4C37" w:rsidRDefault="005D158A" w:rsidP="001040FB">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94</w:t>
            </w:r>
            <w:r w:rsidR="00E0673B">
              <w:rPr>
                <w:rFonts w:ascii="Times New Roman" w:hAnsi="Times New Roman"/>
                <w:sz w:val="24"/>
                <w:szCs w:val="28"/>
              </w:rPr>
              <w:t>0</w:t>
            </w:r>
            <w:r w:rsidR="00E0673B" w:rsidRPr="009D4C37">
              <w:rPr>
                <w:rFonts w:ascii="Times New Roman" w:hAnsi="Times New Roman"/>
                <w:sz w:val="24"/>
                <w:szCs w:val="28"/>
              </w:rPr>
              <w:t>,0</w:t>
            </w:r>
          </w:p>
        </w:tc>
        <w:tc>
          <w:tcPr>
            <w:tcW w:w="851" w:type="dxa"/>
          </w:tcPr>
          <w:p w:rsidR="00E0673B" w:rsidRPr="009D4C37" w:rsidRDefault="00E0673B" w:rsidP="001040FB">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E0673B" w:rsidRPr="009D4C37" w:rsidRDefault="00E0673B" w:rsidP="001040FB">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5D158A" w:rsidP="001040FB">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E0673B" w:rsidRPr="009D4C37">
              <w:rPr>
                <w:rFonts w:ascii="Times New Roman" w:hAnsi="Times New Roman"/>
                <w:sz w:val="24"/>
                <w:szCs w:val="28"/>
              </w:rPr>
              <w:t>,0</w:t>
            </w:r>
          </w:p>
        </w:tc>
        <w:tc>
          <w:tcPr>
            <w:tcW w:w="851"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E0673B" w:rsidRPr="009D4C37" w:rsidRDefault="00E0673B" w:rsidP="001040FB">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 том числе:</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3.1.</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1:</w:t>
            </w:r>
          </w:p>
          <w:p w:rsidR="003B5AA9" w:rsidRPr="009D4C37" w:rsidRDefault="003B5AA9" w:rsidP="005D158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w:t>
            </w:r>
            <w:r w:rsidR="005D158A">
              <w:rPr>
                <w:rFonts w:ascii="Times New Roman" w:hAnsi="Times New Roman"/>
                <w:sz w:val="24"/>
                <w:szCs w:val="28"/>
              </w:rPr>
              <w:t>ой</w:t>
            </w:r>
            <w:r w:rsidRPr="009D4C37">
              <w:rPr>
                <w:rFonts w:ascii="Times New Roman" w:hAnsi="Times New Roman"/>
                <w:sz w:val="24"/>
                <w:szCs w:val="28"/>
              </w:rPr>
              <w:t xml:space="preserve"> котельн</w:t>
            </w:r>
            <w:r w:rsidR="005D158A">
              <w:rPr>
                <w:rFonts w:ascii="Times New Roman" w:hAnsi="Times New Roman"/>
                <w:sz w:val="24"/>
                <w:szCs w:val="28"/>
              </w:rPr>
              <w:t>ой</w:t>
            </w:r>
            <w:r w:rsidRPr="009D4C37">
              <w:rPr>
                <w:rFonts w:ascii="Times New Roman" w:hAnsi="Times New Roman"/>
                <w:sz w:val="24"/>
                <w:szCs w:val="28"/>
              </w:rPr>
              <w:t xml:space="preserve"> МБОУ СОШ № 19 в ст. Казанской</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5D158A" w:rsidP="005D158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w:t>
            </w:r>
            <w:r w:rsidR="00E0673B">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9D4C37">
              <w:rPr>
                <w:rFonts w:ascii="Times New Roman" w:hAnsi="Times New Roman"/>
                <w:sz w:val="24"/>
                <w:szCs w:val="28"/>
              </w:rPr>
              <w:t>Обеспечениебесперебойной</w:t>
            </w:r>
            <w:proofErr w:type="spellEnd"/>
            <w:r w:rsidRPr="009D4C37">
              <w:rPr>
                <w:rFonts w:ascii="Times New Roman" w:hAnsi="Times New Roman"/>
                <w:sz w:val="24"/>
                <w:szCs w:val="28"/>
              </w:rPr>
              <w:t xml:space="preserve"> подачи тепла в СОШ № 19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540</w:t>
            </w:r>
            <w:r w:rsidR="00E0673B">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3.2</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2:</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 (ПСД)</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619"/>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415"/>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3.3</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3:</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4:</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(корректировка проекта)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3B5AA9"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5D158A" w:rsidP="005D158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5D158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r w:rsidR="005D158A">
              <w:rPr>
                <w:rFonts w:ascii="Times New Roman" w:hAnsi="Times New Roman"/>
                <w:sz w:val="24"/>
                <w:szCs w:val="28"/>
              </w:rPr>
              <w:t>5</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5:</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(СМР)</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1040FB">
        <w:trPr>
          <w:trHeight w:val="119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11103" w:rsidRPr="00497355" w:rsidTr="001040FB">
        <w:tc>
          <w:tcPr>
            <w:tcW w:w="675" w:type="dxa"/>
            <w:vMerge w:val="restart"/>
            <w:vAlign w:val="center"/>
          </w:tcPr>
          <w:p w:rsidR="00511103" w:rsidRPr="00497355" w:rsidRDefault="00511103" w:rsidP="001040FB">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94</w:t>
            </w:r>
            <w:r w:rsidR="00511103">
              <w:rPr>
                <w:rFonts w:ascii="Times New Roman" w:hAnsi="Times New Roman"/>
                <w:color w:val="000000" w:themeColor="text1"/>
                <w:sz w:val="24"/>
                <w:szCs w:val="28"/>
              </w:rPr>
              <w:t>0</w:t>
            </w:r>
            <w:r w:rsidR="00511103" w:rsidRPr="00497355">
              <w:rPr>
                <w:rFonts w:ascii="Times New Roman" w:hAnsi="Times New Roman"/>
                <w:color w:val="000000" w:themeColor="text1"/>
                <w:sz w:val="24"/>
                <w:szCs w:val="28"/>
              </w:rPr>
              <w:t>,0</w:t>
            </w:r>
          </w:p>
        </w:tc>
        <w:tc>
          <w:tcPr>
            <w:tcW w:w="851"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540</w:t>
            </w:r>
            <w:r w:rsidR="00511103" w:rsidRPr="00497355">
              <w:rPr>
                <w:rFonts w:ascii="Times New Roman" w:hAnsi="Times New Roman"/>
                <w:color w:val="000000" w:themeColor="text1"/>
                <w:sz w:val="24"/>
                <w:szCs w:val="28"/>
              </w:rPr>
              <w:t>,0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940</w:t>
            </w:r>
            <w:r w:rsidR="00511103" w:rsidRPr="00497355">
              <w:rPr>
                <w:rFonts w:ascii="Times New Roman" w:hAnsi="Times New Roman"/>
                <w:color w:val="000000" w:themeColor="text1"/>
                <w:sz w:val="24"/>
                <w:szCs w:val="28"/>
              </w:rPr>
              <w:t>,0</w:t>
            </w:r>
          </w:p>
        </w:tc>
        <w:tc>
          <w:tcPr>
            <w:tcW w:w="851"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D158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54</w:t>
            </w:r>
            <w:r w:rsidR="00511103"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1040FB">
        <w:tc>
          <w:tcPr>
            <w:tcW w:w="675"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1040F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1040FB">
            <w:pPr>
              <w:jc w:val="center"/>
              <w:rPr>
                <w:color w:val="000000" w:themeColor="text1"/>
                <w:sz w:val="20"/>
              </w:rPr>
            </w:pPr>
            <w:r w:rsidRPr="00497355">
              <w:rPr>
                <w:rFonts w:ascii="Times New Roman" w:hAnsi="Times New Roman"/>
                <w:color w:val="000000" w:themeColor="text1"/>
                <w:sz w:val="24"/>
                <w:szCs w:val="28"/>
              </w:rPr>
              <w:t>0,0</w:t>
            </w:r>
          </w:p>
        </w:tc>
      </w:tr>
    </w:tbl>
    <w:p w:rsidR="00511103" w:rsidRPr="00497355" w:rsidRDefault="00511103" w:rsidP="00511103">
      <w:pPr>
        <w:spacing w:after="0" w:line="240" w:lineRule="auto"/>
        <w:jc w:val="both"/>
        <w:rPr>
          <w:rFonts w:ascii="Times New Roman" w:hAnsi="Times New Roman"/>
          <w:color w:val="000000" w:themeColor="text1"/>
          <w:sz w:val="24"/>
          <w:szCs w:val="28"/>
        </w:rPr>
      </w:pPr>
    </w:p>
    <w:p w:rsidR="00511103" w:rsidRPr="00497355" w:rsidRDefault="00511103" w:rsidP="00511103">
      <w:pPr>
        <w:spacing w:after="0" w:line="240" w:lineRule="auto"/>
        <w:jc w:val="both"/>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511103">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84716"/>
    <w:rsid w:val="000A5889"/>
    <w:rsid w:val="000B2288"/>
    <w:rsid w:val="000C09BD"/>
    <w:rsid w:val="000C2C2A"/>
    <w:rsid w:val="000C46FC"/>
    <w:rsid w:val="000D760E"/>
    <w:rsid w:val="001040FB"/>
    <w:rsid w:val="00121516"/>
    <w:rsid w:val="00130A9A"/>
    <w:rsid w:val="001454F2"/>
    <w:rsid w:val="00162E35"/>
    <w:rsid w:val="0016545F"/>
    <w:rsid w:val="001A1AFB"/>
    <w:rsid w:val="001A58C9"/>
    <w:rsid w:val="001B085F"/>
    <w:rsid w:val="001B3FC9"/>
    <w:rsid w:val="00224BFC"/>
    <w:rsid w:val="002346E4"/>
    <w:rsid w:val="00262E9E"/>
    <w:rsid w:val="00265705"/>
    <w:rsid w:val="00277A72"/>
    <w:rsid w:val="002861E2"/>
    <w:rsid w:val="002D1ADA"/>
    <w:rsid w:val="002E40D4"/>
    <w:rsid w:val="00300913"/>
    <w:rsid w:val="003046F1"/>
    <w:rsid w:val="00334C35"/>
    <w:rsid w:val="00351615"/>
    <w:rsid w:val="003A5C25"/>
    <w:rsid w:val="003B1F73"/>
    <w:rsid w:val="003B5AA9"/>
    <w:rsid w:val="003D34DB"/>
    <w:rsid w:val="0040188D"/>
    <w:rsid w:val="004266A9"/>
    <w:rsid w:val="004268AE"/>
    <w:rsid w:val="00440B79"/>
    <w:rsid w:val="00456543"/>
    <w:rsid w:val="00470DBB"/>
    <w:rsid w:val="00481F80"/>
    <w:rsid w:val="004836AD"/>
    <w:rsid w:val="00485CA6"/>
    <w:rsid w:val="00497355"/>
    <w:rsid w:val="004A017A"/>
    <w:rsid w:val="004A0292"/>
    <w:rsid w:val="004A3CEE"/>
    <w:rsid w:val="004C509B"/>
    <w:rsid w:val="004C593E"/>
    <w:rsid w:val="004C6A88"/>
    <w:rsid w:val="004C7214"/>
    <w:rsid w:val="004D4DBD"/>
    <w:rsid w:val="004E65D2"/>
    <w:rsid w:val="00511103"/>
    <w:rsid w:val="00514584"/>
    <w:rsid w:val="00520A65"/>
    <w:rsid w:val="00527F0F"/>
    <w:rsid w:val="00544C5B"/>
    <w:rsid w:val="00544DF7"/>
    <w:rsid w:val="005463A6"/>
    <w:rsid w:val="00585AC1"/>
    <w:rsid w:val="005865A8"/>
    <w:rsid w:val="005D158A"/>
    <w:rsid w:val="005D7CDB"/>
    <w:rsid w:val="00672D6B"/>
    <w:rsid w:val="00682974"/>
    <w:rsid w:val="00682A96"/>
    <w:rsid w:val="006F211F"/>
    <w:rsid w:val="00701BCD"/>
    <w:rsid w:val="007059FD"/>
    <w:rsid w:val="00724DA0"/>
    <w:rsid w:val="00736D86"/>
    <w:rsid w:val="00791AEB"/>
    <w:rsid w:val="007D1DCA"/>
    <w:rsid w:val="007D6971"/>
    <w:rsid w:val="007F0C47"/>
    <w:rsid w:val="007F4529"/>
    <w:rsid w:val="007F6006"/>
    <w:rsid w:val="00842DA3"/>
    <w:rsid w:val="0085244D"/>
    <w:rsid w:val="00863FF4"/>
    <w:rsid w:val="00870A10"/>
    <w:rsid w:val="00872A4F"/>
    <w:rsid w:val="008A1938"/>
    <w:rsid w:val="008E088C"/>
    <w:rsid w:val="008F6559"/>
    <w:rsid w:val="00925FFD"/>
    <w:rsid w:val="00960372"/>
    <w:rsid w:val="00960F74"/>
    <w:rsid w:val="009748A5"/>
    <w:rsid w:val="00994365"/>
    <w:rsid w:val="009966F4"/>
    <w:rsid w:val="009A5BD4"/>
    <w:rsid w:val="009E4A33"/>
    <w:rsid w:val="009F33DE"/>
    <w:rsid w:val="00A062EF"/>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69F7"/>
    <w:rsid w:val="00B8709F"/>
    <w:rsid w:val="00B92AA6"/>
    <w:rsid w:val="00B9563C"/>
    <w:rsid w:val="00BD329E"/>
    <w:rsid w:val="00BE3B66"/>
    <w:rsid w:val="00BF401E"/>
    <w:rsid w:val="00C0498F"/>
    <w:rsid w:val="00C0727E"/>
    <w:rsid w:val="00C119F3"/>
    <w:rsid w:val="00C47CEA"/>
    <w:rsid w:val="00C51616"/>
    <w:rsid w:val="00C51EB4"/>
    <w:rsid w:val="00C62052"/>
    <w:rsid w:val="00C66043"/>
    <w:rsid w:val="00CA7AAD"/>
    <w:rsid w:val="00CC5C60"/>
    <w:rsid w:val="00CC79AA"/>
    <w:rsid w:val="00CD291D"/>
    <w:rsid w:val="00D100AD"/>
    <w:rsid w:val="00D63D9F"/>
    <w:rsid w:val="00D90808"/>
    <w:rsid w:val="00DE5382"/>
    <w:rsid w:val="00E0564F"/>
    <w:rsid w:val="00E0673B"/>
    <w:rsid w:val="00E13D15"/>
    <w:rsid w:val="00E215AA"/>
    <w:rsid w:val="00E24B0C"/>
    <w:rsid w:val="00E7368B"/>
    <w:rsid w:val="00E91268"/>
    <w:rsid w:val="00E94610"/>
    <w:rsid w:val="00EA0279"/>
    <w:rsid w:val="00F04372"/>
    <w:rsid w:val="00F06FA4"/>
    <w:rsid w:val="00F107A1"/>
    <w:rsid w:val="00F1117B"/>
    <w:rsid w:val="00F34330"/>
    <w:rsid w:val="00F469DB"/>
    <w:rsid w:val="00F87588"/>
    <w:rsid w:val="00FA7706"/>
    <w:rsid w:val="00FB4E26"/>
    <w:rsid w:val="00FC49FB"/>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63FF-08BA-4371-A38D-C9FA1908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16690</Words>
  <Characters>95138</Characters>
  <Application>Microsoft Office Word</Application>
  <DocSecurity>0</DocSecurity>
  <Lines>792</Lines>
  <Paragraphs>223</Paragraphs>
  <ScaleCrop>false</ScaleCrop>
  <HeadingPairs>
    <vt:vector size="4" baseType="variant">
      <vt:variant>
        <vt:lpstr>Название</vt:lpstr>
      </vt:variant>
      <vt:variant>
        <vt:i4>1</vt:i4>
      </vt:variant>
      <vt:variant>
        <vt:lpstr>Заголовки</vt:lpstr>
      </vt:variant>
      <vt:variant>
        <vt:i4>94</vt:i4>
      </vt:variant>
    </vt:vector>
  </HeadingPairs>
  <TitlesOfParts>
    <vt:vector size="95"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vt:lpstr>
      <vt:lpstr>    Обоснование ресурсного обеспечения подпрограммы</vt:lpstr>
      <vt:lpstr>        </vt:lpstr>
      <vt:lpstr>        </vt:lpstr>
      <vt:lpstr>        </vt:lpstr>
      <vt:lpstr>Подпрограмма "Модернизация систем теплоснабжения в муниципальном образовании Кав</vt:lpstr>
      <vt:lpstr>Паспорт подпрограммы "Модернизация систем теплоснабжения в муниципальном образов</vt:lpstr>
      <vt:lpstr>1. Характеристика текущего состояния и прогноз развития модернизации систем тепл</vt:lpstr>
    </vt:vector>
  </TitlesOfParts>
  <Company/>
  <LinksUpToDate>false</LinksUpToDate>
  <CharactersWithSpaces>111605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dcterms:created xsi:type="dcterms:W3CDTF">2017-08-26T05:42:00Z</dcterms:created>
  <dcterms:modified xsi:type="dcterms:W3CDTF">2017-08-26T05:42:00Z</dcterms:modified>
</cp:coreProperties>
</file>