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Модернизация систем теплоснабжения в </w:t>
            </w:r>
            <w:r w:rsidRPr="00497355">
              <w:rPr>
                <w:rFonts w:ascii="Times New Roman" w:hAnsi="Times New Roman" w:cs="Times New Roman"/>
                <w:color w:val="000000" w:themeColor="text1"/>
                <w:sz w:val="28"/>
                <w:szCs w:val="28"/>
              </w:rPr>
              <w:lastRenderedPageBreak/>
              <w:t>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удельный расход электрической энергии, </w:t>
            </w:r>
            <w:r w:rsidRPr="00497355">
              <w:rPr>
                <w:rFonts w:ascii="Times New Roman" w:hAnsi="Times New Roman"/>
                <w:bCs/>
                <w:color w:val="000000" w:themeColor="text1"/>
                <w:sz w:val="28"/>
                <w:szCs w:val="28"/>
              </w:rPr>
              <w:lastRenderedPageBreak/>
              <w:t>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sidRPr="00497355">
              <w:rPr>
                <w:rFonts w:ascii="Times New Roman" w:hAnsi="Times New Roman"/>
                <w:bCs/>
                <w:color w:val="000000" w:themeColor="text1"/>
                <w:sz w:val="28"/>
                <w:szCs w:val="28"/>
              </w:rPr>
              <w:lastRenderedPageBreak/>
              <w:t>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lastRenderedPageBreak/>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001040FB">
              <w:rPr>
                <w:rFonts w:ascii="Times New Roman" w:hAnsi="Times New Roman"/>
                <w:color w:val="000000"/>
                <w:sz w:val="28"/>
                <w:szCs w:val="28"/>
              </w:rPr>
              <w:t>9480,</w:t>
            </w:r>
            <w:r w:rsidR="009E4A33">
              <w:rPr>
                <w:rFonts w:ascii="Times New Roman" w:hAnsi="Times New Roman"/>
                <w:color w:val="000000"/>
                <w:sz w:val="28"/>
                <w:szCs w:val="28"/>
              </w:rPr>
              <w:t>8</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sidR="00130A9A">
              <w:rPr>
                <w:rFonts w:ascii="Times New Roman" w:hAnsi="Times New Roman"/>
                <w:color w:val="000000"/>
                <w:sz w:val="28"/>
                <w:szCs w:val="28"/>
              </w:rPr>
              <w:t>1180,0</w:t>
            </w:r>
            <w:r>
              <w:rPr>
                <w:rFonts w:ascii="Times New Roman" w:hAnsi="Times New Roman"/>
                <w:sz w:val="28"/>
                <w:szCs w:val="28"/>
              </w:rPr>
              <w:t xml:space="preserve"> </w:t>
            </w:r>
            <w:r w:rsidRPr="006969D9">
              <w:rPr>
                <w:rFonts w:ascii="Times New Roman" w:hAnsi="Times New Roman"/>
                <w:sz w:val="28"/>
                <w:szCs w:val="28"/>
              </w:rPr>
              <w:t>тысяч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sidR="001040FB">
              <w:rPr>
                <w:rFonts w:ascii="Times New Roman" w:hAnsi="Times New Roman"/>
                <w:sz w:val="28"/>
                <w:szCs w:val="28"/>
              </w:rPr>
              <w:t>6226,9</w:t>
            </w:r>
            <w:r w:rsidRPr="006969D9">
              <w:rPr>
                <w:rFonts w:ascii="Times New Roman" w:hAnsi="Times New Roman"/>
                <w:sz w:val="28"/>
                <w:szCs w:val="28"/>
              </w:rPr>
              <w:t xml:space="preserve">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2018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2019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2020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2021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115B0F"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в том числе за счет  средств местного бюджета – </w:t>
            </w:r>
            <w:r w:rsidR="00130A9A">
              <w:rPr>
                <w:rFonts w:ascii="Times New Roman" w:hAnsi="Times New Roman"/>
                <w:color w:val="000000"/>
                <w:sz w:val="28"/>
                <w:szCs w:val="28"/>
              </w:rPr>
              <w:t>4686,9</w:t>
            </w:r>
            <w:r w:rsidR="00130A9A">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color w:val="000000"/>
                <w:sz w:val="28"/>
                <w:szCs w:val="28"/>
              </w:rPr>
              <w:t>1180,0</w:t>
            </w:r>
            <w:r>
              <w:rPr>
                <w:rFonts w:ascii="Times New Roman" w:hAnsi="Times New Roman"/>
                <w:sz w:val="28"/>
                <w:szCs w:val="28"/>
              </w:rPr>
              <w:t xml:space="preserve"> </w:t>
            </w:r>
            <w:r w:rsidRPr="006969D9">
              <w:rPr>
                <w:rFonts w:ascii="Times New Roman" w:hAnsi="Times New Roman"/>
                <w:sz w:val="28"/>
                <w:szCs w:val="28"/>
              </w:rPr>
              <w:t>тысяч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sidR="001040FB">
              <w:rPr>
                <w:rFonts w:ascii="Times New Roman" w:hAnsi="Times New Roman"/>
                <w:sz w:val="28"/>
                <w:szCs w:val="28"/>
              </w:rPr>
              <w:t>1643,0</w:t>
            </w:r>
            <w:r w:rsidRPr="006969D9">
              <w:rPr>
                <w:rFonts w:ascii="Times New Roman" w:hAnsi="Times New Roman"/>
                <w:sz w:val="28"/>
                <w:szCs w:val="28"/>
              </w:rPr>
              <w:t xml:space="preserve">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2018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2019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2020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2021 год– </w:t>
            </w:r>
            <w:r>
              <w:rPr>
                <w:rFonts w:ascii="Times New Roman" w:hAnsi="Times New Roman"/>
                <w:sz w:val="28"/>
                <w:szCs w:val="28"/>
              </w:rPr>
              <w:t>350,0 тысячи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том числе  за счет </w:t>
            </w:r>
            <w:proofErr w:type="gramStart"/>
            <w:r>
              <w:rPr>
                <w:rFonts w:ascii="Times New Roman" w:hAnsi="Times New Roman"/>
                <w:color w:val="000000" w:themeColor="text1"/>
                <w:sz w:val="28"/>
                <w:szCs w:val="28"/>
              </w:rPr>
              <w:t>краевого</w:t>
            </w:r>
            <w:proofErr w:type="gramEnd"/>
            <w:r>
              <w:rPr>
                <w:rFonts w:ascii="Times New Roman" w:hAnsi="Times New Roman"/>
                <w:color w:val="000000" w:themeColor="text1"/>
                <w:sz w:val="28"/>
                <w:szCs w:val="28"/>
              </w:rPr>
              <w:t xml:space="preserve"> бюджета-4583,9 тысяч рублей, в том числе по годам:</w:t>
            </w:r>
          </w:p>
          <w:p w:rsidR="00B15273"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2015 год –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2016 год –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2017 год – 4583,9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2018 год –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2019  год- 0,0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2020 год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w:t>
      </w:r>
      <w:r w:rsidRPr="00497355">
        <w:rPr>
          <w:rFonts w:ascii="Times New Roman" w:hAnsi="Times New Roman" w:cs="Times New Roman"/>
          <w:color w:val="000000" w:themeColor="text1"/>
          <w:sz w:val="28"/>
          <w:szCs w:val="28"/>
        </w:rPr>
        <w:lastRenderedPageBreak/>
        <w:t>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7"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w:t>
      </w:r>
      <w:r w:rsidRPr="00497355">
        <w:rPr>
          <w:rFonts w:ascii="Times New Roman" w:hAnsi="Times New Roman" w:cs="Times New Roman"/>
          <w:color w:val="000000" w:themeColor="text1"/>
          <w:sz w:val="28"/>
          <w:szCs w:val="28"/>
        </w:rPr>
        <w:lastRenderedPageBreak/>
        <w:t>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692F11"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692F11"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lastRenderedPageBreak/>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1040FB">
        <w:rPr>
          <w:rFonts w:ascii="Times New Roman" w:hAnsi="Times New Roman"/>
          <w:color w:val="000000"/>
          <w:sz w:val="28"/>
          <w:szCs w:val="28"/>
        </w:rPr>
        <w:t>9480,</w:t>
      </w:r>
      <w:r w:rsidR="009E4A33">
        <w:rPr>
          <w:rFonts w:ascii="Times New Roman" w:hAnsi="Times New Roman"/>
          <w:color w:val="000000"/>
          <w:sz w:val="28"/>
          <w:szCs w:val="28"/>
        </w:rPr>
        <w:t>8</w:t>
      </w:r>
      <w:r w:rsidR="001040FB">
        <w:rPr>
          <w:rFonts w:ascii="Times New Roman" w:hAnsi="Times New Roman"/>
          <w:color w:val="000000"/>
          <w:sz w:val="28"/>
          <w:szCs w:val="28"/>
        </w:rPr>
        <w:t xml:space="preserve"> </w:t>
      </w:r>
      <w:r w:rsidRPr="000C072D">
        <w:rPr>
          <w:rFonts w:ascii="Times New Roman" w:hAnsi="Times New Roman"/>
          <w:color w:val="000000"/>
          <w:sz w:val="28"/>
          <w:szCs w:val="28"/>
        </w:rPr>
        <w:t xml:space="preserve">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lastRenderedPageBreak/>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lastRenderedPageBreak/>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w:t>
      </w:r>
      <w:r w:rsidRPr="00497355">
        <w:rPr>
          <w:rFonts w:ascii="Times New Roman" w:hAnsi="Times New Roman" w:cs="Times New Roman"/>
          <w:color w:val="000000" w:themeColor="text1"/>
          <w:sz w:val="28"/>
          <w:szCs w:val="28"/>
        </w:rPr>
        <w:lastRenderedPageBreak/>
        <w:t>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lastRenderedPageBreak/>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lastRenderedPageBreak/>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w:t>
      </w:r>
      <w:r w:rsidRPr="00497355">
        <w:rPr>
          <w:rFonts w:ascii="Times New Roman" w:hAnsi="Times New Roman"/>
          <w:color w:val="000000" w:themeColor="text1"/>
          <w:sz w:val="28"/>
          <w:szCs w:val="28"/>
        </w:rPr>
        <w:lastRenderedPageBreak/>
        <w:t>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w:t>
      </w:r>
      <w:r w:rsidRPr="00497355">
        <w:rPr>
          <w:rFonts w:ascii="Times New Roman" w:hAnsi="Times New Roman"/>
          <w:color w:val="000000" w:themeColor="text1"/>
          <w:sz w:val="28"/>
          <w:szCs w:val="28"/>
        </w:rPr>
        <w:lastRenderedPageBreak/>
        <w:t xml:space="preserve">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9"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lastRenderedPageBreak/>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1"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gramStart"/>
            <w:r w:rsidRPr="00BE228C">
              <w:rPr>
                <w:rFonts w:ascii="Times New Roman" w:hAnsi="Times New Roman"/>
                <w:sz w:val="24"/>
                <w:szCs w:val="24"/>
              </w:rPr>
              <w:t>Ста-</w:t>
            </w:r>
            <w:proofErr w:type="spellStart"/>
            <w:r w:rsidRPr="00BE228C">
              <w:rPr>
                <w:rFonts w:ascii="Times New Roman" w:hAnsi="Times New Roman"/>
                <w:sz w:val="24"/>
                <w:szCs w:val="24"/>
              </w:rPr>
              <w:t>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rFonts w:ascii="Times New Roman" w:hAnsi="Times New Roman"/>
                <w:color w:val="000000"/>
                <w:sz w:val="24"/>
                <w:szCs w:val="24"/>
              </w:rPr>
              <w:t>1,8</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sz w:val="24"/>
                <w:szCs w:val="24"/>
              </w:rPr>
            </w:pPr>
            <w:r w:rsidRPr="00BE228C">
              <w:rPr>
                <w:sz w:val="24"/>
                <w:szCs w:val="24"/>
              </w:rPr>
              <w:t>-</w:t>
            </w:r>
          </w:p>
        </w:tc>
      </w:tr>
      <w:tr w:rsidR="00E215AA"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37,2</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Цель:</w:t>
            </w:r>
            <w:r w:rsidRPr="00BE228C">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Задача 1:</w:t>
            </w:r>
            <w:r w:rsidRPr="00BE228C">
              <w:rPr>
                <w:rFonts w:ascii="Times New Roman" w:hAnsi="Times New Roman" w:cs="Times New Roman"/>
                <w:sz w:val="24"/>
                <w:szCs w:val="24"/>
              </w:rPr>
              <w:t xml:space="preserve">  внедрение экономичных энергосберегающих технологий</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8</w:t>
            </w:r>
            <w:r w:rsidR="00E215AA" w:rsidRPr="00BE228C">
              <w:rPr>
                <w:rFonts w:ascii="Times New Roman" w:hAnsi="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95</w:t>
            </w:r>
            <w:r w:rsidR="00E215AA"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180"/>
              </w:tabs>
              <w:spacing w:after="0" w:line="240" w:lineRule="auto"/>
              <w:ind w:firstLine="34"/>
              <w:rPr>
                <w:rFonts w:ascii="Times New Roman" w:hAnsi="Times New Roman"/>
                <w:sz w:val="24"/>
                <w:szCs w:val="24"/>
              </w:rPr>
            </w:pPr>
            <w:r w:rsidRPr="00BE228C">
              <w:rPr>
                <w:rFonts w:ascii="Times New Roman" w:hAnsi="Times New Roman"/>
                <w:sz w:val="24"/>
                <w:szCs w:val="24"/>
              </w:rPr>
              <w:tab/>
              <w:t>Целевой показатель</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r>
      <w:tr w:rsidR="00960F74"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960F74" w:rsidRPr="00BE228C" w:rsidRDefault="00960F74"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960F74"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960F74"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130A9A"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00130A9A"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130A9A"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130A9A" w:rsidRPr="00BE228C" w:rsidRDefault="00130A9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130A9A" w:rsidRPr="00BE228C" w:rsidRDefault="00130A9A" w:rsidP="00E215AA">
            <w:pPr>
              <w:spacing w:after="0" w:line="240" w:lineRule="auto"/>
              <w:ind w:firstLine="34"/>
              <w:rPr>
                <w:rFonts w:ascii="Times New Roman" w:hAnsi="Times New Roman"/>
                <w:sz w:val="24"/>
                <w:szCs w:val="24"/>
              </w:rPr>
            </w:pPr>
          </w:p>
          <w:p w:rsidR="00130A9A" w:rsidRPr="00BE228C" w:rsidRDefault="00130A9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130A9A"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2.5.17</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130A9A"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130A9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130A9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130A9A"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130A9A"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w:t>
      </w:r>
      <w:r w:rsidRPr="00A93C57">
        <w:rPr>
          <w:rFonts w:ascii="Times New Roman" w:hAnsi="Times New Roman"/>
          <w:color w:val="000000" w:themeColor="text1"/>
          <w:sz w:val="24"/>
          <w:szCs w:val="24"/>
        </w:rPr>
        <w:lastRenderedPageBreak/>
        <w:t xml:space="preserve">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roofErr w:type="spellEnd"/>
            <w:r w:rsidRPr="006969D9">
              <w:rPr>
                <w:rFonts w:ascii="Times New Roman" w:hAnsi="Times New Roman"/>
                <w:sz w:val="24"/>
                <w:szCs w:val="24"/>
              </w:rPr>
              <w:t>.</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6E467A" w:rsidRDefault="00B36642" w:rsidP="00E215AA">
            <w:pPr>
              <w:jc w:val="center"/>
              <w:rPr>
                <w:rFonts w:ascii="Times New Roman" w:hAnsi="Times New Roman"/>
                <w:sz w:val="24"/>
                <w:szCs w:val="24"/>
              </w:rPr>
            </w:pPr>
            <w:r>
              <w:rPr>
                <w:rFonts w:ascii="Times New Roman" w:hAnsi="Times New Roman"/>
                <w:sz w:val="24"/>
                <w:szCs w:val="24"/>
              </w:rPr>
              <w:t>9480,8</w:t>
            </w:r>
          </w:p>
        </w:tc>
        <w:tc>
          <w:tcPr>
            <w:tcW w:w="993" w:type="dxa"/>
            <w:vAlign w:val="center"/>
          </w:tcPr>
          <w:p w:rsidR="003046F1" w:rsidRPr="006E467A" w:rsidRDefault="003046F1" w:rsidP="00B36642">
            <w:pPr>
              <w:jc w:val="center"/>
              <w:rPr>
                <w:rFonts w:ascii="Times New Roman" w:hAnsi="Times New Roman"/>
                <w:sz w:val="24"/>
                <w:szCs w:val="24"/>
              </w:rPr>
            </w:pPr>
            <w:r>
              <w:rPr>
                <w:rFonts w:ascii="Times New Roman" w:hAnsi="Times New Roman"/>
                <w:sz w:val="24"/>
                <w:szCs w:val="24"/>
              </w:rPr>
              <w:t>673,9</w:t>
            </w:r>
          </w:p>
        </w:tc>
        <w:tc>
          <w:tcPr>
            <w:tcW w:w="992" w:type="dxa"/>
            <w:vAlign w:val="center"/>
          </w:tcPr>
          <w:p w:rsidR="003046F1" w:rsidRPr="006E467A" w:rsidRDefault="003046F1" w:rsidP="00E215AA">
            <w:pPr>
              <w:jc w:val="center"/>
              <w:rPr>
                <w:rFonts w:ascii="Times New Roman" w:hAnsi="Times New Roman"/>
                <w:sz w:val="24"/>
                <w:szCs w:val="24"/>
              </w:rPr>
            </w:pPr>
            <w:r>
              <w:rPr>
                <w:rFonts w:ascii="Times New Roman" w:hAnsi="Times New Roman"/>
                <w:sz w:val="24"/>
                <w:szCs w:val="24"/>
              </w:rPr>
              <w:t>1180,0</w:t>
            </w:r>
          </w:p>
        </w:tc>
        <w:tc>
          <w:tcPr>
            <w:tcW w:w="992" w:type="dxa"/>
            <w:vAlign w:val="center"/>
          </w:tcPr>
          <w:p w:rsidR="003046F1" w:rsidRPr="006969D9" w:rsidRDefault="00B36642" w:rsidP="00E215AA">
            <w:pPr>
              <w:jc w:val="center"/>
              <w:rPr>
                <w:rFonts w:ascii="Times New Roman" w:hAnsi="Times New Roman"/>
                <w:sz w:val="24"/>
                <w:szCs w:val="24"/>
              </w:rPr>
            </w:pPr>
            <w:r>
              <w:rPr>
                <w:rFonts w:ascii="Times New Roman" w:hAnsi="Times New Roman"/>
                <w:sz w:val="24"/>
                <w:szCs w:val="24"/>
              </w:rPr>
              <w:t>6226,9</w:t>
            </w:r>
          </w:p>
        </w:tc>
        <w:tc>
          <w:tcPr>
            <w:tcW w:w="992" w:type="dxa"/>
            <w:vAlign w:val="center"/>
          </w:tcPr>
          <w:p w:rsidR="003046F1" w:rsidRPr="006969D9" w:rsidRDefault="003046F1" w:rsidP="00E215AA">
            <w:pPr>
              <w:jc w:val="center"/>
              <w:rPr>
                <w:rFonts w:ascii="Times New Roman" w:hAnsi="Times New Roman"/>
                <w:sz w:val="24"/>
                <w:szCs w:val="24"/>
              </w:rPr>
            </w:pPr>
            <w:r>
              <w:rPr>
                <w:rFonts w:ascii="Times New Roman" w:hAnsi="Times New Roman"/>
                <w:sz w:val="24"/>
                <w:szCs w:val="24"/>
              </w:rPr>
              <w:t>350,0</w:t>
            </w:r>
          </w:p>
        </w:tc>
        <w:tc>
          <w:tcPr>
            <w:tcW w:w="993" w:type="dxa"/>
          </w:tcPr>
          <w:p w:rsidR="003046F1" w:rsidRDefault="003046F1">
            <w:r w:rsidRPr="00AE2CC6">
              <w:rPr>
                <w:rFonts w:ascii="Times New Roman" w:hAnsi="Times New Roman"/>
                <w:sz w:val="24"/>
                <w:szCs w:val="24"/>
              </w:rPr>
              <w:t>350,0</w:t>
            </w:r>
          </w:p>
        </w:tc>
        <w:tc>
          <w:tcPr>
            <w:tcW w:w="992" w:type="dxa"/>
          </w:tcPr>
          <w:p w:rsidR="003046F1" w:rsidRDefault="003046F1">
            <w:r w:rsidRPr="00AE2CC6">
              <w:rPr>
                <w:rFonts w:ascii="Times New Roman" w:hAnsi="Times New Roman"/>
                <w:sz w:val="24"/>
                <w:szCs w:val="24"/>
              </w:rPr>
              <w:t>350,0</w:t>
            </w:r>
          </w:p>
        </w:tc>
        <w:tc>
          <w:tcPr>
            <w:tcW w:w="992" w:type="dxa"/>
          </w:tcPr>
          <w:p w:rsidR="003046F1" w:rsidRDefault="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B36642" w:rsidP="00E215AA">
            <w:pPr>
              <w:jc w:val="center"/>
              <w:rPr>
                <w:rFonts w:ascii="Times New Roman" w:hAnsi="Times New Roman"/>
                <w:sz w:val="24"/>
                <w:szCs w:val="24"/>
              </w:rPr>
            </w:pPr>
            <w:r>
              <w:rPr>
                <w:rFonts w:ascii="Times New Roman" w:hAnsi="Times New Roman"/>
                <w:sz w:val="24"/>
                <w:szCs w:val="24"/>
              </w:rPr>
              <w:t>4583,9</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B36642" w:rsidP="00E215AA">
            <w:pPr>
              <w:jc w:val="center"/>
              <w:rPr>
                <w:rFonts w:ascii="Times New Roman" w:hAnsi="Times New Roman"/>
                <w:sz w:val="24"/>
                <w:szCs w:val="24"/>
              </w:rPr>
            </w:pPr>
            <w:r>
              <w:rPr>
                <w:rFonts w:ascii="Times New Roman" w:hAnsi="Times New Roman"/>
                <w:sz w:val="24"/>
                <w:szCs w:val="24"/>
              </w:rPr>
              <w:t>4583,9</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3046F1" w:rsidRPr="006969D9" w:rsidTr="003046F1">
        <w:tc>
          <w:tcPr>
            <w:tcW w:w="675" w:type="dxa"/>
            <w:vMerge/>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3046F1" w:rsidRPr="006E467A" w:rsidRDefault="00B36642" w:rsidP="003046F1">
            <w:pPr>
              <w:jc w:val="center"/>
              <w:rPr>
                <w:rFonts w:ascii="Times New Roman" w:hAnsi="Times New Roman"/>
                <w:sz w:val="24"/>
                <w:szCs w:val="24"/>
              </w:rPr>
            </w:pPr>
            <w:r>
              <w:rPr>
                <w:rFonts w:ascii="Times New Roman" w:hAnsi="Times New Roman"/>
                <w:sz w:val="24"/>
                <w:szCs w:val="24"/>
              </w:rPr>
              <w:t>4896,9</w:t>
            </w:r>
          </w:p>
        </w:tc>
        <w:tc>
          <w:tcPr>
            <w:tcW w:w="993" w:type="dxa"/>
            <w:vAlign w:val="center"/>
          </w:tcPr>
          <w:p w:rsidR="003046F1" w:rsidRPr="006E467A" w:rsidRDefault="003046F1" w:rsidP="00B36642">
            <w:pPr>
              <w:jc w:val="center"/>
              <w:rPr>
                <w:rFonts w:ascii="Times New Roman" w:hAnsi="Times New Roman"/>
                <w:sz w:val="24"/>
                <w:szCs w:val="24"/>
              </w:rPr>
            </w:pPr>
            <w:r>
              <w:rPr>
                <w:rFonts w:ascii="Times New Roman" w:hAnsi="Times New Roman"/>
                <w:sz w:val="24"/>
                <w:szCs w:val="24"/>
              </w:rPr>
              <w:t>673,9</w:t>
            </w:r>
          </w:p>
        </w:tc>
        <w:tc>
          <w:tcPr>
            <w:tcW w:w="992" w:type="dxa"/>
            <w:vAlign w:val="center"/>
          </w:tcPr>
          <w:p w:rsidR="003046F1" w:rsidRPr="006E467A" w:rsidRDefault="003046F1" w:rsidP="003046F1">
            <w:pPr>
              <w:jc w:val="center"/>
              <w:rPr>
                <w:rFonts w:ascii="Times New Roman" w:hAnsi="Times New Roman"/>
                <w:sz w:val="24"/>
                <w:szCs w:val="24"/>
              </w:rPr>
            </w:pPr>
            <w:r>
              <w:rPr>
                <w:rFonts w:ascii="Times New Roman" w:hAnsi="Times New Roman"/>
                <w:sz w:val="24"/>
                <w:szCs w:val="24"/>
              </w:rPr>
              <w:t>1180,0</w:t>
            </w:r>
          </w:p>
        </w:tc>
        <w:tc>
          <w:tcPr>
            <w:tcW w:w="992" w:type="dxa"/>
            <w:vAlign w:val="center"/>
          </w:tcPr>
          <w:p w:rsidR="003046F1" w:rsidRPr="006969D9" w:rsidRDefault="003046F1" w:rsidP="00B36642">
            <w:pPr>
              <w:jc w:val="center"/>
              <w:rPr>
                <w:rFonts w:ascii="Times New Roman" w:hAnsi="Times New Roman"/>
                <w:sz w:val="24"/>
                <w:szCs w:val="24"/>
              </w:rPr>
            </w:pPr>
            <w:r>
              <w:rPr>
                <w:rFonts w:ascii="Times New Roman" w:hAnsi="Times New Roman"/>
                <w:sz w:val="24"/>
                <w:szCs w:val="24"/>
              </w:rPr>
              <w:t>1</w:t>
            </w:r>
            <w:r w:rsidR="00B36642">
              <w:rPr>
                <w:rFonts w:ascii="Times New Roman" w:hAnsi="Times New Roman"/>
                <w:sz w:val="24"/>
                <w:szCs w:val="24"/>
              </w:rPr>
              <w:t>64</w:t>
            </w:r>
            <w:r>
              <w:rPr>
                <w:rFonts w:ascii="Times New Roman" w:hAnsi="Times New Roman"/>
                <w:sz w:val="24"/>
                <w:szCs w:val="24"/>
              </w:rPr>
              <w:t>3,0</w:t>
            </w:r>
          </w:p>
        </w:tc>
        <w:tc>
          <w:tcPr>
            <w:tcW w:w="992" w:type="dxa"/>
            <w:vAlign w:val="center"/>
          </w:tcPr>
          <w:p w:rsidR="003046F1" w:rsidRPr="006969D9" w:rsidRDefault="003046F1" w:rsidP="003046F1">
            <w:pPr>
              <w:jc w:val="center"/>
              <w:rPr>
                <w:rFonts w:ascii="Times New Roman" w:hAnsi="Times New Roman"/>
                <w:sz w:val="24"/>
                <w:szCs w:val="24"/>
              </w:rPr>
            </w:pPr>
            <w:r>
              <w:rPr>
                <w:rFonts w:ascii="Times New Roman" w:hAnsi="Times New Roman"/>
                <w:sz w:val="24"/>
                <w:szCs w:val="24"/>
              </w:rPr>
              <w:t>350,0</w:t>
            </w:r>
          </w:p>
        </w:tc>
        <w:tc>
          <w:tcPr>
            <w:tcW w:w="993" w:type="dxa"/>
          </w:tcPr>
          <w:p w:rsidR="003046F1" w:rsidRDefault="003046F1" w:rsidP="003046F1">
            <w:r w:rsidRPr="00AE2CC6">
              <w:rPr>
                <w:rFonts w:ascii="Times New Roman" w:hAnsi="Times New Roman"/>
                <w:sz w:val="24"/>
                <w:szCs w:val="24"/>
              </w:rPr>
              <w:t>350,0</w:t>
            </w:r>
          </w:p>
        </w:tc>
        <w:tc>
          <w:tcPr>
            <w:tcW w:w="992" w:type="dxa"/>
          </w:tcPr>
          <w:p w:rsidR="003046F1" w:rsidRDefault="003046F1" w:rsidP="003046F1">
            <w:r w:rsidRPr="00AE2CC6">
              <w:rPr>
                <w:rFonts w:ascii="Times New Roman" w:hAnsi="Times New Roman"/>
                <w:sz w:val="24"/>
                <w:szCs w:val="24"/>
              </w:rPr>
              <w:t>350,0</w:t>
            </w:r>
          </w:p>
        </w:tc>
        <w:tc>
          <w:tcPr>
            <w:tcW w:w="992" w:type="dxa"/>
          </w:tcPr>
          <w:p w:rsidR="003046F1" w:rsidRDefault="003046F1" w:rsidP="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E467A" w:rsidRDefault="00B3664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6858,4</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E215AA" w:rsidRPr="006E467A"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E215AA" w:rsidRPr="006969D9" w:rsidRDefault="00B3664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5486,9</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E467A" w:rsidRDefault="00F04372" w:rsidP="00B3664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22</w:t>
            </w:r>
            <w:r w:rsidR="00B36642">
              <w:rPr>
                <w:rFonts w:ascii="Times New Roman" w:hAnsi="Times New Roman"/>
                <w:sz w:val="24"/>
                <w:szCs w:val="24"/>
              </w:rPr>
              <w:t>7</w:t>
            </w:r>
            <w:r>
              <w:rPr>
                <w:rFonts w:ascii="Times New Roman" w:hAnsi="Times New Roman"/>
                <w:sz w:val="24"/>
                <w:szCs w:val="24"/>
              </w:rPr>
              <w:t>4,5</w:t>
            </w:r>
          </w:p>
        </w:tc>
        <w:tc>
          <w:tcPr>
            <w:tcW w:w="993" w:type="dxa"/>
            <w:vAlign w:val="center"/>
          </w:tcPr>
          <w:p w:rsidR="00F04372" w:rsidRPr="006E467A"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F04372" w:rsidRPr="006E467A"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F04372" w:rsidRPr="006969D9" w:rsidRDefault="00B3664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w:t>
            </w:r>
            <w:r w:rsidR="00F04372">
              <w:rPr>
                <w:rFonts w:ascii="Times New Roman" w:hAnsi="Times New Roman"/>
                <w:sz w:val="24"/>
                <w:szCs w:val="24"/>
              </w:rPr>
              <w:t>3</w:t>
            </w:r>
            <w:r w:rsidR="00F04372" w:rsidRPr="006969D9">
              <w:rPr>
                <w:rFonts w:ascii="Times New Roman" w:hAnsi="Times New Roman"/>
                <w:sz w:val="24"/>
                <w:szCs w:val="24"/>
              </w:rPr>
              <w:t>,0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1682,4</w:t>
            </w:r>
          </w:p>
        </w:tc>
        <w:tc>
          <w:tcPr>
            <w:tcW w:w="993" w:type="dxa"/>
            <w:vAlign w:val="center"/>
          </w:tcPr>
          <w:p w:rsidR="00F04372" w:rsidRPr="006969D9" w:rsidRDefault="00F04372" w:rsidP="00E215AA">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41,0</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200</w:t>
            </w:r>
            <w:r w:rsidRPr="006969D9">
              <w:rPr>
                <w:rFonts w:ascii="Times New Roman" w:hAnsi="Times New Roman"/>
                <w:sz w:val="24"/>
                <w:szCs w:val="24"/>
              </w:rPr>
              <w:t>,0</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150,0</w:t>
            </w:r>
          </w:p>
        </w:tc>
        <w:tc>
          <w:tcPr>
            <w:tcW w:w="993" w:type="dxa"/>
          </w:tcPr>
          <w:p w:rsidR="00F04372" w:rsidRDefault="00F04372">
            <w:r w:rsidRPr="00CA30F7">
              <w:rPr>
                <w:rFonts w:ascii="Times New Roman" w:hAnsi="Times New Roman"/>
                <w:sz w:val="24"/>
                <w:szCs w:val="24"/>
              </w:rPr>
              <w:t>150,0</w:t>
            </w:r>
          </w:p>
        </w:tc>
        <w:tc>
          <w:tcPr>
            <w:tcW w:w="992" w:type="dxa"/>
          </w:tcPr>
          <w:p w:rsidR="00F04372" w:rsidRDefault="00F04372">
            <w:r w:rsidRPr="00CA30F7">
              <w:rPr>
                <w:rFonts w:ascii="Times New Roman" w:hAnsi="Times New Roman"/>
                <w:sz w:val="24"/>
                <w:szCs w:val="24"/>
              </w:rPr>
              <w:t>150,0</w:t>
            </w:r>
          </w:p>
        </w:tc>
        <w:tc>
          <w:tcPr>
            <w:tcW w:w="992" w:type="dxa"/>
          </w:tcPr>
          <w:p w:rsidR="00F04372" w:rsidRDefault="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1682,4</w:t>
            </w:r>
          </w:p>
        </w:tc>
        <w:tc>
          <w:tcPr>
            <w:tcW w:w="993" w:type="dxa"/>
            <w:vAlign w:val="center"/>
          </w:tcPr>
          <w:p w:rsidR="00F04372" w:rsidRPr="006969D9" w:rsidRDefault="00F04372" w:rsidP="00F04372">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41,0</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200</w:t>
            </w:r>
            <w:r w:rsidRPr="006969D9">
              <w:rPr>
                <w:rFonts w:ascii="Times New Roman" w:hAnsi="Times New Roman"/>
                <w:sz w:val="24"/>
                <w:szCs w:val="24"/>
              </w:rPr>
              <w:t>,0</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150,0</w:t>
            </w:r>
          </w:p>
        </w:tc>
        <w:tc>
          <w:tcPr>
            <w:tcW w:w="993" w:type="dxa"/>
          </w:tcPr>
          <w:p w:rsidR="00F04372" w:rsidRDefault="00F04372" w:rsidP="00F04372">
            <w:r w:rsidRPr="00CA30F7">
              <w:rPr>
                <w:rFonts w:ascii="Times New Roman" w:hAnsi="Times New Roman"/>
                <w:sz w:val="24"/>
                <w:szCs w:val="24"/>
              </w:rPr>
              <w:t>150,0</w:t>
            </w:r>
          </w:p>
        </w:tc>
        <w:tc>
          <w:tcPr>
            <w:tcW w:w="992" w:type="dxa"/>
          </w:tcPr>
          <w:p w:rsidR="00F04372" w:rsidRDefault="00F04372" w:rsidP="00F04372">
            <w:r w:rsidRPr="00CA30F7">
              <w:rPr>
                <w:rFonts w:ascii="Times New Roman" w:hAnsi="Times New Roman"/>
                <w:sz w:val="24"/>
                <w:szCs w:val="24"/>
              </w:rPr>
              <w:t>150,0</w:t>
            </w:r>
          </w:p>
        </w:tc>
        <w:tc>
          <w:tcPr>
            <w:tcW w:w="992" w:type="dxa"/>
          </w:tcPr>
          <w:p w:rsidR="00F04372" w:rsidRDefault="00F04372" w:rsidP="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969D9"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940,0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E215AA">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969D9" w:rsidRDefault="00481F80"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940,0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F04372" w:rsidRPr="006969D9" w:rsidRDefault="00481F80"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bl>
    <w:p w:rsidR="00870A10" w:rsidRPr="00497355" w:rsidRDefault="00692F11" w:rsidP="00870A10">
      <w:pPr>
        <w:widowControl w:val="0"/>
        <w:suppressAutoHyphens/>
        <w:spacing w:after="0" w:line="240" w:lineRule="auto"/>
        <w:jc w:val="both"/>
        <w:rPr>
          <w:rFonts w:ascii="Times New Roman" w:hAnsi="Times New Roman"/>
          <w:color w:val="000000" w:themeColor="text1"/>
          <w:sz w:val="28"/>
          <w:szCs w:val="28"/>
          <w:vertAlign w:val="superscript"/>
        </w:rPr>
      </w:pPr>
      <w:r>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6969D9" w:rsidRDefault="00E215AA" w:rsidP="00E215AA">
            <w:pPr>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00481F80">
              <w:rPr>
                <w:rFonts w:ascii="Times New Roman" w:hAnsi="Times New Roman"/>
                <w:color w:val="000000"/>
                <w:sz w:val="28"/>
                <w:szCs w:val="28"/>
              </w:rPr>
              <w:t>6858,4</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00FB4E26">
              <w:rPr>
                <w:rFonts w:ascii="Times New Roman" w:hAnsi="Times New Roman"/>
                <w:color w:val="000000"/>
                <w:sz w:val="28"/>
                <w:szCs w:val="28"/>
              </w:rPr>
              <w:t>639</w:t>
            </w:r>
            <w:r w:rsidRPr="000C072D">
              <w:rPr>
                <w:rFonts w:ascii="Times New Roman" w:hAnsi="Times New Roman"/>
                <w:color w:val="000000"/>
                <w:sz w:val="28"/>
                <w:szCs w:val="28"/>
              </w:rPr>
              <w:t>,0 тысяч</w:t>
            </w:r>
            <w:r w:rsidRPr="006969D9">
              <w:rPr>
                <w:rFonts w:ascii="Times New Roman" w:hAnsi="Times New Roman"/>
                <w:sz w:val="28"/>
                <w:szCs w:val="28"/>
              </w:rPr>
              <w:t xml:space="preserve">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w:t>
            </w:r>
            <w:r w:rsidR="00481F80">
              <w:rPr>
                <w:rFonts w:ascii="Times New Roman" w:hAnsi="Times New Roman"/>
                <w:sz w:val="28"/>
                <w:szCs w:val="28"/>
              </w:rPr>
              <w:t xml:space="preserve"> - 5486,9</w:t>
            </w:r>
            <w:r w:rsidRPr="006969D9">
              <w:rPr>
                <w:rFonts w:ascii="Times New Roman" w:hAnsi="Times New Roman"/>
                <w:sz w:val="28"/>
                <w:szCs w:val="28"/>
              </w:rPr>
              <w:t xml:space="preserve">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средств местного бюджета –</w:t>
            </w:r>
            <w:r>
              <w:rPr>
                <w:rFonts w:ascii="Times New Roman" w:hAnsi="Times New Roman"/>
                <w:sz w:val="28"/>
                <w:szCs w:val="28"/>
              </w:rPr>
              <w:t xml:space="preserve"> </w:t>
            </w:r>
            <w:r w:rsidR="00FB4E26">
              <w:rPr>
                <w:rFonts w:ascii="Times New Roman" w:hAnsi="Times New Roman"/>
                <w:color w:val="000000"/>
                <w:sz w:val="28"/>
                <w:szCs w:val="28"/>
              </w:rPr>
              <w:t>2254,6</w:t>
            </w:r>
            <w:r w:rsidR="00FB4E26">
              <w:rPr>
                <w:rFonts w:ascii="Times New Roman" w:hAnsi="Times New Roman"/>
                <w:sz w:val="28"/>
                <w:szCs w:val="28"/>
              </w:rPr>
              <w:t xml:space="preserve"> </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Pr>
                <w:rFonts w:ascii="Times New Roman" w:hAnsi="Times New Roman"/>
                <w:color w:val="000000"/>
                <w:sz w:val="28"/>
                <w:szCs w:val="28"/>
              </w:rPr>
              <w:t>639</w:t>
            </w:r>
            <w:r w:rsidRPr="000C072D">
              <w:rPr>
                <w:rFonts w:ascii="Times New Roman" w:hAnsi="Times New Roman"/>
                <w:color w:val="000000"/>
                <w:sz w:val="28"/>
                <w:szCs w:val="28"/>
              </w:rPr>
              <w:t>,0 тысяч</w:t>
            </w:r>
            <w:r w:rsidRPr="006969D9">
              <w:rPr>
                <w:rFonts w:ascii="Times New Roman" w:hAnsi="Times New Roman"/>
                <w:sz w:val="28"/>
                <w:szCs w:val="28"/>
              </w:rPr>
              <w:t xml:space="preserve">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 </w:t>
            </w:r>
            <w:r w:rsidR="00481F80">
              <w:rPr>
                <w:rFonts w:ascii="Times New Roman" w:hAnsi="Times New Roman"/>
                <w:sz w:val="28"/>
                <w:szCs w:val="28"/>
              </w:rPr>
              <w:t>903,0</w:t>
            </w:r>
            <w:r w:rsidRPr="006969D9">
              <w:rPr>
                <w:rFonts w:ascii="Times New Roman" w:hAnsi="Times New Roman"/>
                <w:sz w:val="28"/>
                <w:szCs w:val="28"/>
              </w:rPr>
              <w:t xml:space="preserve">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r>
              <w:rPr>
                <w:rFonts w:ascii="Times New Roman" w:hAnsi="Times New Roman"/>
                <w:sz w:val="28"/>
                <w:szCs w:val="28"/>
              </w:rPr>
              <w:t>.</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w:t>
            </w:r>
            <w:proofErr w:type="gramStart"/>
            <w:r w:rsidRPr="006969D9">
              <w:rPr>
                <w:rFonts w:ascii="Times New Roman" w:hAnsi="Times New Roman"/>
                <w:sz w:val="28"/>
                <w:szCs w:val="28"/>
              </w:rPr>
              <w:t xml:space="preserve">дств </w:t>
            </w:r>
            <w:r w:rsidR="00585AC1">
              <w:rPr>
                <w:rFonts w:ascii="Times New Roman" w:hAnsi="Times New Roman"/>
                <w:sz w:val="28"/>
                <w:szCs w:val="28"/>
              </w:rPr>
              <w:t>кр</w:t>
            </w:r>
            <w:proofErr w:type="gramEnd"/>
            <w:r w:rsidR="00585AC1">
              <w:rPr>
                <w:rFonts w:ascii="Times New Roman" w:hAnsi="Times New Roman"/>
                <w:sz w:val="28"/>
                <w:szCs w:val="28"/>
              </w:rPr>
              <w:t>аевого</w:t>
            </w:r>
            <w:r w:rsidRPr="006969D9">
              <w:rPr>
                <w:rFonts w:ascii="Times New Roman" w:hAnsi="Times New Roman"/>
                <w:sz w:val="28"/>
                <w:szCs w:val="28"/>
              </w:rPr>
              <w:t xml:space="preserve"> бюджета –</w:t>
            </w:r>
            <w:r>
              <w:rPr>
                <w:rFonts w:ascii="Times New Roman" w:hAnsi="Times New Roman"/>
                <w:sz w:val="28"/>
                <w:szCs w:val="28"/>
              </w:rPr>
              <w:t xml:space="preserve"> </w:t>
            </w:r>
            <w:r w:rsidR="00585AC1">
              <w:rPr>
                <w:rFonts w:ascii="Times New Roman" w:hAnsi="Times New Roman"/>
                <w:color w:val="000000"/>
                <w:sz w:val="28"/>
                <w:szCs w:val="28"/>
              </w:rPr>
              <w:lastRenderedPageBreak/>
              <w:t>4583,9</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w:t>
            </w:r>
            <w:r w:rsidR="00585AC1">
              <w:rPr>
                <w:rFonts w:ascii="Times New Roman" w:hAnsi="Times New Roman"/>
                <w:sz w:val="28"/>
                <w:szCs w:val="28"/>
              </w:rPr>
              <w:t xml:space="preserve">  - </w:t>
            </w:r>
            <w:r w:rsidRPr="006969D9">
              <w:rPr>
                <w:rFonts w:ascii="Times New Roman" w:hAnsi="Times New Roman"/>
                <w:sz w:val="28"/>
                <w:szCs w:val="28"/>
              </w:rPr>
              <w:t xml:space="preserve"> </w:t>
            </w:r>
            <w:r w:rsidR="00585AC1">
              <w:rPr>
                <w:rFonts w:ascii="Times New Roman" w:hAnsi="Times New Roman"/>
                <w:sz w:val="28"/>
                <w:szCs w:val="28"/>
              </w:rPr>
              <w:t>0,0</w:t>
            </w:r>
            <w:r w:rsidRPr="006969D9">
              <w:rPr>
                <w:rFonts w:ascii="Times New Roman" w:hAnsi="Times New Roman"/>
                <w:sz w:val="28"/>
                <w:szCs w:val="28"/>
              </w:rPr>
              <w:t xml:space="preserve">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00585AC1">
              <w:rPr>
                <w:rFonts w:ascii="Times New Roman" w:hAnsi="Times New Roman"/>
                <w:color w:val="000000"/>
                <w:sz w:val="28"/>
                <w:szCs w:val="28"/>
              </w:rPr>
              <w:t>0,0</w:t>
            </w:r>
            <w:r w:rsidRPr="000C072D">
              <w:rPr>
                <w:rFonts w:ascii="Times New Roman" w:hAnsi="Times New Roman"/>
                <w:color w:val="000000"/>
                <w:sz w:val="28"/>
                <w:szCs w:val="28"/>
              </w:rPr>
              <w:t xml:space="preserve"> тысяч</w:t>
            </w:r>
            <w:r w:rsidRPr="006969D9">
              <w:rPr>
                <w:rFonts w:ascii="Times New Roman" w:hAnsi="Times New Roman"/>
                <w:sz w:val="28"/>
                <w:szCs w:val="28"/>
              </w:rPr>
              <w:t xml:space="preserve">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 </w:t>
            </w:r>
            <w:r w:rsidR="00585AC1">
              <w:rPr>
                <w:rFonts w:ascii="Times New Roman" w:hAnsi="Times New Roman"/>
                <w:sz w:val="28"/>
                <w:szCs w:val="28"/>
              </w:rPr>
              <w:t>4583,9</w:t>
            </w:r>
            <w:r w:rsidRPr="006969D9">
              <w:rPr>
                <w:rFonts w:ascii="Times New Roman" w:hAnsi="Times New Roman"/>
                <w:sz w:val="28"/>
                <w:szCs w:val="28"/>
              </w:rPr>
              <w:t xml:space="preserve">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0,0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0,0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0,0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0,0 тысяч рублей</w:t>
            </w:r>
            <w:r>
              <w:rPr>
                <w:rFonts w:ascii="Times New Roman" w:hAnsi="Times New Roman"/>
                <w:sz w:val="28"/>
                <w:szCs w:val="28"/>
              </w:rPr>
              <w:t>.</w:t>
            </w:r>
          </w:p>
          <w:p w:rsidR="00682974" w:rsidRPr="00497355" w:rsidRDefault="00682974" w:rsidP="00E215AA">
            <w:pPr>
              <w:spacing w:after="0" w:line="240" w:lineRule="auto"/>
              <w:ind w:left="720"/>
              <w:contextualSpacing/>
              <w:jc w:val="both"/>
              <w:rPr>
                <w:rFonts w:ascii="Times New Roman" w:hAnsi="Times New Roman" w:cs="Times New Roman"/>
                <w:color w:val="000000" w:themeColor="text1"/>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составляет </w:t>
      </w:r>
      <w:r w:rsidR="009E4A33" w:rsidRPr="00692F11">
        <w:rPr>
          <w:rFonts w:ascii="Times New Roman" w:hAnsi="Times New Roman"/>
          <w:sz w:val="28"/>
          <w:szCs w:val="28"/>
        </w:rPr>
        <w:t>6858,4</w:t>
      </w:r>
      <w:r w:rsidR="00511103">
        <w:rPr>
          <w:rFonts w:ascii="Times New Roman" w:hAnsi="Times New Roman"/>
          <w:sz w:val="28"/>
          <w:szCs w:val="28"/>
        </w:rPr>
        <w:t xml:space="preserve"> </w:t>
      </w:r>
      <w:r w:rsidRPr="00C262F7">
        <w:rPr>
          <w:rFonts w:ascii="Times New Roman" w:hAnsi="Times New Roman"/>
          <w:sz w:val="28"/>
          <w:szCs w:val="28"/>
        </w:rPr>
        <w:t>тысяч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выделяются в размере не менее 10 % от общего объема денежных средств, </w:t>
      </w:r>
      <w:r w:rsidRPr="00497355">
        <w:rPr>
          <w:rFonts w:ascii="Times New Roman" w:hAnsi="Times New Roman" w:cs="Times New Roman"/>
          <w:color w:val="000000" w:themeColor="text1"/>
          <w:sz w:val="28"/>
          <w:szCs w:val="28"/>
        </w:rPr>
        <w:lastRenderedPageBreak/>
        <w:t>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bookmarkStart w:id="67" w:name="_GoBack"/>
      <w:bookmarkEnd w:id="67"/>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1A1AFB"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sz w:val="24"/>
                <w:szCs w:val="24"/>
              </w:rPr>
            </w:pPr>
            <w:r w:rsidRPr="00260C1F">
              <w:rPr>
                <w:rFonts w:ascii="Times New Roman" w:hAnsi="Times New Roman"/>
                <w:sz w:val="24"/>
                <w:szCs w:val="24"/>
              </w:rPr>
              <w:t>-</w:t>
            </w:r>
          </w:p>
        </w:tc>
      </w:tr>
      <w:tr w:rsidR="001A1AFB"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right="-31"/>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right="-31"/>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D100AD"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right="-31"/>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F1117B" w:rsidRPr="00485CA6" w:rsidRDefault="00F1117B" w:rsidP="00485CA6">
      <w:pPr>
        <w:spacing w:after="0" w:line="240" w:lineRule="auto"/>
        <w:ind w:left="8496" w:right="-31"/>
        <w:jc w:val="center"/>
        <w:rPr>
          <w:rFonts w:ascii="Times New Roman" w:hAnsi="Times New Roman"/>
          <w:color w:val="000000" w:themeColor="text1"/>
          <w:sz w:val="28"/>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1701"/>
        <w:gridCol w:w="993"/>
        <w:gridCol w:w="850"/>
        <w:gridCol w:w="851"/>
        <w:gridCol w:w="992"/>
        <w:gridCol w:w="850"/>
        <w:gridCol w:w="851"/>
        <w:gridCol w:w="992"/>
        <w:gridCol w:w="851"/>
        <w:gridCol w:w="1417"/>
        <w:gridCol w:w="1418"/>
      </w:tblGrid>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w:t>
            </w:r>
            <w:proofErr w:type="spellEnd"/>
            <w:r w:rsidRPr="006969D9">
              <w:rPr>
                <w:rFonts w:ascii="Times New Roman" w:hAnsi="Times New Roman"/>
                <w:sz w:val="24"/>
                <w:szCs w:val="24"/>
              </w:rPr>
              <w:t>-сиро-</w:t>
            </w:r>
            <w:proofErr w:type="spellStart"/>
            <w:r w:rsidRPr="006969D9">
              <w:rPr>
                <w:rFonts w:ascii="Times New Roman" w:hAnsi="Times New Roman"/>
                <w:sz w:val="24"/>
                <w:szCs w:val="24"/>
              </w:rPr>
              <w:t>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237"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E467A"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6858,4</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851" w:type="dxa"/>
            <w:vAlign w:val="center"/>
          </w:tcPr>
          <w:p w:rsidR="001A1AFB" w:rsidRPr="006E467A"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001A1AFB" w:rsidRPr="006E467A">
              <w:rPr>
                <w:rFonts w:ascii="Times New Roman" w:hAnsi="Times New Roman"/>
                <w:sz w:val="24"/>
                <w:szCs w:val="24"/>
              </w:rPr>
              <w:t>,0</w:t>
            </w:r>
          </w:p>
        </w:tc>
        <w:tc>
          <w:tcPr>
            <w:tcW w:w="992"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5486,9</w:t>
            </w:r>
          </w:p>
        </w:tc>
        <w:tc>
          <w:tcPr>
            <w:tcW w:w="850"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585AC1">
        <w:trPr>
          <w:trHeight w:val="554"/>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E467A"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rPr>
          <w:trHeight w:val="561"/>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FB4E26" w:rsidRPr="006969D9" w:rsidTr="00585AC1">
        <w:trPr>
          <w:trHeight w:val="838"/>
        </w:trPr>
        <w:tc>
          <w:tcPr>
            <w:tcW w:w="568" w:type="dxa"/>
            <w:vMerge/>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FB4E26" w:rsidRPr="006E467A" w:rsidRDefault="00FB4E26"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22</w:t>
            </w:r>
            <w:r w:rsidR="00585AC1">
              <w:rPr>
                <w:rFonts w:ascii="Times New Roman" w:hAnsi="Times New Roman"/>
                <w:sz w:val="24"/>
                <w:szCs w:val="24"/>
              </w:rPr>
              <w:t>7</w:t>
            </w:r>
            <w:r>
              <w:rPr>
                <w:rFonts w:ascii="Times New Roman" w:hAnsi="Times New Roman"/>
                <w:sz w:val="24"/>
                <w:szCs w:val="24"/>
              </w:rPr>
              <w:t>4,</w:t>
            </w:r>
            <w:r w:rsidR="00585AC1">
              <w:rPr>
                <w:rFonts w:ascii="Times New Roman" w:hAnsi="Times New Roman"/>
                <w:sz w:val="24"/>
                <w:szCs w:val="24"/>
              </w:rPr>
              <w:t>5</w:t>
            </w:r>
          </w:p>
        </w:tc>
        <w:tc>
          <w:tcPr>
            <w:tcW w:w="850" w:type="dxa"/>
            <w:vAlign w:val="center"/>
          </w:tcPr>
          <w:p w:rsidR="00FB4E26" w:rsidRPr="006E467A"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851" w:type="dxa"/>
            <w:vAlign w:val="center"/>
          </w:tcPr>
          <w:p w:rsidR="00FB4E26" w:rsidRPr="006E467A"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992" w:type="dxa"/>
            <w:vAlign w:val="center"/>
          </w:tcPr>
          <w:p w:rsidR="00FB4E26" w:rsidRPr="006969D9" w:rsidRDefault="00585AC1"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w:t>
            </w:r>
            <w:r w:rsidR="00FB4E26">
              <w:rPr>
                <w:rFonts w:ascii="Times New Roman" w:hAnsi="Times New Roman"/>
                <w:sz w:val="24"/>
                <w:szCs w:val="24"/>
              </w:rPr>
              <w:t>3</w:t>
            </w:r>
            <w:r w:rsidR="00FB4E26" w:rsidRPr="006969D9">
              <w:rPr>
                <w:rFonts w:ascii="Times New Roman" w:hAnsi="Times New Roman"/>
                <w:sz w:val="24"/>
                <w:szCs w:val="24"/>
              </w:rPr>
              <w:t>,0</w:t>
            </w:r>
          </w:p>
        </w:tc>
        <w:tc>
          <w:tcPr>
            <w:tcW w:w="850"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3.1</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 xml:space="preserve">Подводящий газопровод высокого </w:t>
            </w:r>
            <w:r w:rsidRPr="006969D9">
              <w:rPr>
                <w:rFonts w:ascii="Times New Roman" w:hAnsi="Times New Roman"/>
                <w:sz w:val="24"/>
                <w:szCs w:val="24"/>
              </w:rPr>
              <w:lastRenderedPageBreak/>
              <w:t>давления к х. Р.Люксембург (проектные работы,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r w:rsidRPr="006969D9">
              <w:rPr>
                <w:rFonts w:ascii="Times New Roman" w:hAnsi="Times New Roman"/>
                <w:sz w:val="24"/>
                <w:szCs w:val="24"/>
              </w:rPr>
              <w:lastRenderedPageBreak/>
              <w:t xml:space="preserve">обеспечения населения х. Р. Люксембург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 xml:space="preserve">Администрация Кавказский </w:t>
            </w:r>
            <w:r w:rsidRPr="006969D9">
              <w:rPr>
                <w:rFonts w:ascii="Times New Roman" w:hAnsi="Times New Roman"/>
                <w:sz w:val="24"/>
                <w:szCs w:val="24"/>
              </w:rPr>
              <w:lastRenderedPageBreak/>
              <w:t>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3.2</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3046F1">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5236,9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5236,9</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00585AC1">
              <w:rPr>
                <w:rFonts w:ascii="Times New Roman" w:hAnsi="Times New Roman"/>
                <w:sz w:val="24"/>
                <w:szCs w:val="24"/>
              </w:rPr>
              <w:t>5</w:t>
            </w:r>
            <w:r>
              <w:rPr>
                <w:rFonts w:ascii="Times New Roman" w:hAnsi="Times New Roman"/>
                <w:sz w:val="24"/>
                <w:szCs w:val="24"/>
              </w:rPr>
              <w:t>3</w:t>
            </w:r>
            <w:r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00585AC1">
              <w:rPr>
                <w:rFonts w:ascii="Times New Roman" w:hAnsi="Times New Roman"/>
                <w:sz w:val="24"/>
                <w:szCs w:val="24"/>
              </w:rPr>
              <w:t>5</w:t>
            </w:r>
            <w:r>
              <w:rPr>
                <w:rFonts w:ascii="Times New Roman" w:hAnsi="Times New Roman"/>
                <w:sz w:val="24"/>
                <w:szCs w:val="24"/>
              </w:rPr>
              <w:t>3</w:t>
            </w:r>
            <w:r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3.4</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Обслуживание газопроводов, находящихся в собственности МО Кавказский район </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tcPr>
          <w:p w:rsidR="001A1AFB" w:rsidRPr="00772C6A"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521,5</w:t>
            </w:r>
          </w:p>
        </w:tc>
        <w:tc>
          <w:tcPr>
            <w:tcW w:w="850"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132,5</w:t>
            </w:r>
          </w:p>
        </w:tc>
        <w:tc>
          <w:tcPr>
            <w:tcW w:w="851" w:type="dxa"/>
          </w:tcPr>
          <w:p w:rsidR="001A1AFB" w:rsidRPr="00772C6A"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239,0</w:t>
            </w:r>
          </w:p>
        </w:tc>
        <w:tc>
          <w:tcPr>
            <w:tcW w:w="992" w:type="dxa"/>
          </w:tcPr>
          <w:p w:rsidR="001A1AFB"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поселков и хуторов газом</w:t>
            </w: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МО Кавказский район,</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МКУ «ЦБ </w:t>
            </w: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-рации</w:t>
            </w:r>
            <w:proofErr w:type="gramEnd"/>
            <w:r w:rsidRPr="006969D9">
              <w:rPr>
                <w:rFonts w:ascii="Times New Roman" w:hAnsi="Times New Roman"/>
                <w:sz w:val="24"/>
                <w:szCs w:val="24"/>
              </w:rPr>
              <w:t xml:space="preserve"> МО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0"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1"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0"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1"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FB4E26" w:rsidRPr="006969D9" w:rsidTr="00585AC1">
        <w:tc>
          <w:tcPr>
            <w:tcW w:w="568" w:type="dxa"/>
            <w:vMerge/>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tcPr>
          <w:p w:rsidR="00FB4E26" w:rsidRPr="00772C6A"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521,5</w:t>
            </w:r>
          </w:p>
        </w:tc>
        <w:tc>
          <w:tcPr>
            <w:tcW w:w="850" w:type="dxa"/>
          </w:tcPr>
          <w:p w:rsidR="00FB4E26" w:rsidRPr="00772C6A"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132,5</w:t>
            </w:r>
          </w:p>
        </w:tc>
        <w:tc>
          <w:tcPr>
            <w:tcW w:w="851" w:type="dxa"/>
          </w:tcPr>
          <w:p w:rsidR="00FB4E26" w:rsidRPr="00772C6A"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239,0</w:t>
            </w:r>
          </w:p>
        </w:tc>
        <w:tc>
          <w:tcPr>
            <w:tcW w:w="992" w:type="dxa"/>
          </w:tcPr>
          <w:p w:rsidR="00FB4E26" w:rsidRPr="006969D9"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150,0</w:t>
            </w:r>
          </w:p>
        </w:tc>
        <w:tc>
          <w:tcPr>
            <w:tcW w:w="850" w:type="dxa"/>
          </w:tcPr>
          <w:p w:rsidR="00FB4E26" w:rsidRPr="006969D9"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FB4E26" w:rsidRPr="006969D9"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FB4E26" w:rsidRPr="006969D9"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FB4E26" w:rsidRPr="006969D9" w:rsidRDefault="00FB4E2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3.5</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Строительство подводящих газопроводов высокого давления х. Р.Люксембург</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w:t>
            </w:r>
            <w:r w:rsidRPr="006969D9">
              <w:rPr>
                <w:rFonts w:ascii="Times New Roman" w:hAnsi="Times New Roman"/>
                <w:sz w:val="24"/>
                <w:szCs w:val="24"/>
              </w:rPr>
              <w:lastRenderedPageBreak/>
              <w:t>условий для обеспечения  населения х. Р.Люксембург</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lastRenderedPageBreak/>
              <w:t>Админист</w:t>
            </w:r>
            <w:proofErr w:type="spellEnd"/>
            <w:r w:rsidRPr="006969D9">
              <w:rPr>
                <w:rFonts w:ascii="Times New Roman" w:hAnsi="Times New Roman"/>
                <w:sz w:val="24"/>
                <w:szCs w:val="24"/>
              </w:rPr>
              <w:t>-</w:t>
            </w:r>
            <w:r w:rsidRPr="006969D9">
              <w:rPr>
                <w:rFonts w:ascii="Times New Roman" w:hAnsi="Times New Roman"/>
                <w:sz w:val="24"/>
                <w:szCs w:val="24"/>
              </w:rPr>
              <w:lastRenderedPageBreak/>
              <w:t>рация</w:t>
            </w:r>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3.6</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х. </w:t>
            </w:r>
            <w:proofErr w:type="gramStart"/>
            <w:r w:rsidRPr="006969D9">
              <w:rPr>
                <w:rFonts w:ascii="Times New Roman" w:hAnsi="Times New Roman"/>
                <w:sz w:val="24"/>
                <w:szCs w:val="24"/>
              </w:rPr>
              <w:t>Полтавский</w:t>
            </w:r>
            <w:proofErr w:type="gramEnd"/>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3.7</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х. </w:t>
            </w:r>
            <w:proofErr w:type="gramStart"/>
            <w:r w:rsidRPr="006969D9">
              <w:rPr>
                <w:rFonts w:ascii="Times New Roman" w:hAnsi="Times New Roman"/>
                <w:sz w:val="24"/>
                <w:szCs w:val="24"/>
              </w:rPr>
              <w:t>Полтавский</w:t>
            </w:r>
            <w:proofErr w:type="gramEnd"/>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rPr>
          <w:trHeight w:val="623"/>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3.8</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п. </w:t>
            </w:r>
            <w:proofErr w:type="gramStart"/>
            <w:r w:rsidRPr="006969D9">
              <w:rPr>
                <w:rFonts w:ascii="Times New Roman" w:hAnsi="Times New Roman"/>
                <w:sz w:val="24"/>
                <w:szCs w:val="24"/>
              </w:rPr>
              <w:t>Красноармейский</w:t>
            </w:r>
            <w:proofErr w:type="gramEnd"/>
            <w:r w:rsidRPr="006969D9">
              <w:rPr>
                <w:rFonts w:ascii="Times New Roman" w:hAnsi="Times New Roman"/>
                <w:sz w:val="24"/>
                <w:szCs w:val="24"/>
              </w:rPr>
              <w:t xml:space="preserve"> (ПСД,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lastRenderedPageBreak/>
              <w:t>Красноармейский</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lastRenderedPageBreak/>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791AEB" w:rsidRPr="00497355" w:rsidRDefault="00791AEB" w:rsidP="00791AEB">
      <w:pPr>
        <w:widowControl w:val="0"/>
        <w:suppressAutoHyphens/>
        <w:spacing w:after="0" w:line="240" w:lineRule="auto"/>
        <w:jc w:val="center"/>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1040F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6E467A" w:rsidRDefault="00585AC1"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6858,4</w:t>
            </w:r>
          </w:p>
        </w:tc>
        <w:tc>
          <w:tcPr>
            <w:tcW w:w="1134"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1134" w:type="dxa"/>
            <w:vAlign w:val="center"/>
          </w:tcPr>
          <w:p w:rsidR="000A5889" w:rsidRPr="006969D9" w:rsidRDefault="00585AC1"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5486,9</w:t>
            </w:r>
          </w:p>
        </w:tc>
        <w:tc>
          <w:tcPr>
            <w:tcW w:w="1134" w:type="dxa"/>
            <w:vAlign w:val="center"/>
          </w:tcPr>
          <w:p w:rsidR="000A5889" w:rsidRPr="006969D9" w:rsidRDefault="000A5889" w:rsidP="001040FB">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9C7CEA"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0A5889" w:rsidRPr="009C7CEA" w:rsidTr="001040FB">
        <w:tc>
          <w:tcPr>
            <w:tcW w:w="653"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0A5889" w:rsidRPr="006E467A" w:rsidRDefault="000A5889" w:rsidP="005D158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22</w:t>
            </w:r>
            <w:r w:rsidR="005D158A">
              <w:rPr>
                <w:rFonts w:ascii="Times New Roman" w:hAnsi="Times New Roman"/>
                <w:sz w:val="24"/>
                <w:szCs w:val="24"/>
              </w:rPr>
              <w:t>7</w:t>
            </w:r>
            <w:r>
              <w:rPr>
                <w:rFonts w:ascii="Times New Roman" w:hAnsi="Times New Roman"/>
                <w:sz w:val="24"/>
                <w:szCs w:val="24"/>
              </w:rPr>
              <w:t>4,6</w:t>
            </w:r>
          </w:p>
        </w:tc>
        <w:tc>
          <w:tcPr>
            <w:tcW w:w="1134"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1134" w:type="dxa"/>
            <w:vAlign w:val="center"/>
          </w:tcPr>
          <w:p w:rsidR="000A5889" w:rsidRPr="006969D9" w:rsidRDefault="005D158A"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w:t>
            </w:r>
            <w:r w:rsidR="000A5889">
              <w:rPr>
                <w:rFonts w:ascii="Times New Roman" w:hAnsi="Times New Roman"/>
                <w:sz w:val="24"/>
                <w:szCs w:val="24"/>
              </w:rPr>
              <w:t>3</w:t>
            </w:r>
            <w:r w:rsidR="000A5889" w:rsidRPr="006969D9">
              <w:rPr>
                <w:rFonts w:ascii="Times New Roman" w:hAnsi="Times New Roman"/>
                <w:sz w:val="24"/>
                <w:szCs w:val="24"/>
              </w:rPr>
              <w:t>,0</w:t>
            </w:r>
          </w:p>
        </w:tc>
        <w:tc>
          <w:tcPr>
            <w:tcW w:w="1134" w:type="dxa"/>
            <w:vAlign w:val="center"/>
          </w:tcPr>
          <w:p w:rsidR="000A5889" w:rsidRPr="006969D9" w:rsidRDefault="000A5889" w:rsidP="001040FB">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485CA6" w:rsidRPr="00497355"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1B3FC9"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1B3FC9" w:rsidRPr="00485CA6" w:rsidSect="008E088C">
          <w:pgSz w:w="16838" w:h="11906" w:orient="landscape"/>
          <w:pgMar w:top="1701" w:right="1134" w:bottom="851" w:left="1134" w:header="709" w:footer="709" w:gutter="0"/>
          <w:cols w:space="708"/>
          <w:docGrid w:linePitch="360"/>
        </w:sect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Pr="00497355">
        <w:rPr>
          <w:rFonts w:ascii="Times New Roman" w:hAnsi="Times New Roman"/>
          <w:color w:val="000000" w:themeColor="text1"/>
          <w:sz w:val="24"/>
          <w:szCs w:val="24"/>
        </w:rPr>
        <w:t>В.Н.Афанасьева</w:t>
      </w: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8"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11103"/>
            <w:r w:rsidRPr="00497355">
              <w:rPr>
                <w:rFonts w:ascii="Times New Roman" w:hAnsi="Times New Roman" w:cs="Times New Roman"/>
                <w:color w:val="000000" w:themeColor="text1"/>
                <w:sz w:val="28"/>
                <w:szCs w:val="28"/>
              </w:rPr>
              <w:t>Цели подпрограммы</w:t>
            </w:r>
            <w:bookmarkEnd w:id="69"/>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505"/>
            <w:r w:rsidRPr="00497355">
              <w:rPr>
                <w:rFonts w:ascii="Times New Roman" w:hAnsi="Times New Roman" w:cs="Times New Roman"/>
                <w:color w:val="000000" w:themeColor="text1"/>
                <w:sz w:val="28"/>
                <w:szCs w:val="28"/>
              </w:rPr>
              <w:t>Перечень целевых показателей подпрограммы</w:t>
            </w:r>
            <w:bookmarkEnd w:id="70"/>
          </w:p>
        </w:tc>
        <w:tc>
          <w:tcPr>
            <w:tcW w:w="6379" w:type="dxa"/>
            <w:tcBorders>
              <w:top w:val="single" w:sz="4" w:space="0" w:color="auto"/>
              <w:left w:val="single" w:sz="4" w:space="0" w:color="auto"/>
              <w:bottom w:val="single" w:sz="4" w:space="0" w:color="auto"/>
            </w:tcBorders>
          </w:tcPr>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удельный расход электрической энергии, </w:t>
            </w:r>
            <w:r w:rsidRPr="00497355">
              <w:rPr>
                <w:rFonts w:ascii="Times New Roman" w:hAnsi="Times New Roman" w:cs="Times New Roman"/>
                <w:bCs/>
                <w:color w:val="000000" w:themeColor="text1"/>
                <w:sz w:val="28"/>
                <w:szCs w:val="28"/>
              </w:rPr>
              <w:lastRenderedPageBreak/>
              <w:t>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горячей воды, расчеты за которую осуществляются с использованием приборов </w:t>
            </w:r>
            <w:r w:rsidRPr="00497355">
              <w:rPr>
                <w:rFonts w:ascii="Times New Roman" w:hAnsi="Times New Roman" w:cs="Times New Roman"/>
                <w:bCs/>
                <w:color w:val="000000" w:themeColor="text1"/>
                <w:sz w:val="28"/>
                <w:szCs w:val="28"/>
              </w:rPr>
              <w:lastRenderedPageBreak/>
              <w:t>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3"/>
            <w:r w:rsidRPr="00497355">
              <w:rPr>
                <w:rFonts w:ascii="Times New Roman" w:hAnsi="Times New Roman" w:cs="Times New Roman"/>
                <w:color w:val="000000" w:themeColor="text1"/>
                <w:sz w:val="28"/>
                <w:szCs w:val="28"/>
              </w:rPr>
              <w:lastRenderedPageBreak/>
              <w:t>Этапы и сроки реализации подпрограммы</w:t>
            </w:r>
            <w:bookmarkEnd w:id="71"/>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2"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2"/>
          </w:p>
        </w:tc>
        <w:tc>
          <w:tcPr>
            <w:tcW w:w="6379" w:type="dxa"/>
            <w:tcBorders>
              <w:top w:val="single" w:sz="4" w:space="0" w:color="auto"/>
              <w:left w:val="single" w:sz="4" w:space="0" w:color="auto"/>
              <w:bottom w:val="single" w:sz="4" w:space="0" w:color="auto"/>
            </w:tcBorders>
          </w:tcPr>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общий объ</w:t>
            </w:r>
            <w:r>
              <w:rPr>
                <w:rFonts w:ascii="Times New Roman" w:hAnsi="Times New Roman"/>
                <w:color w:val="000000"/>
                <w:sz w:val="28"/>
                <w:szCs w:val="28"/>
              </w:rPr>
              <w:t xml:space="preserve">ем финансирования составляет </w:t>
            </w:r>
            <w:r w:rsidR="000A5889">
              <w:rPr>
                <w:rFonts w:ascii="Times New Roman" w:hAnsi="Times New Roman"/>
                <w:color w:val="000000"/>
                <w:sz w:val="28"/>
                <w:szCs w:val="28"/>
              </w:rPr>
              <w:t>1682,4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 </w:t>
            </w:r>
            <w:r w:rsidR="000A5889">
              <w:rPr>
                <w:rFonts w:ascii="Times New Roman" w:hAnsi="Times New Roman"/>
                <w:color w:val="000000"/>
                <w:sz w:val="28"/>
                <w:szCs w:val="28"/>
              </w:rPr>
              <w:t>200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в том числе и</w:t>
            </w:r>
            <w:r>
              <w:rPr>
                <w:rFonts w:ascii="Times New Roman" w:hAnsi="Times New Roman"/>
                <w:color w:val="000000"/>
                <w:sz w:val="28"/>
                <w:szCs w:val="28"/>
              </w:rPr>
              <w:t xml:space="preserve">з средств местного бюджета – </w:t>
            </w:r>
            <w:r w:rsidR="000A5889">
              <w:rPr>
                <w:rFonts w:ascii="Times New Roman" w:hAnsi="Times New Roman"/>
                <w:color w:val="000000"/>
                <w:sz w:val="28"/>
                <w:szCs w:val="28"/>
              </w:rPr>
              <w:t>1682,4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 </w:t>
            </w:r>
            <w:r>
              <w:rPr>
                <w:rFonts w:ascii="Times New Roman" w:hAnsi="Times New Roman"/>
                <w:color w:val="000000"/>
                <w:sz w:val="28"/>
                <w:szCs w:val="28"/>
              </w:rPr>
              <w:t>200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7F0C47" w:rsidRPr="00B03E53"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Pr>
                <w:rFonts w:ascii="Times New Roman" w:hAnsi="Times New Roman"/>
                <w:color w:val="000000"/>
                <w:sz w:val="28"/>
                <w:szCs w:val="28"/>
              </w:rPr>
              <w:t>150,0 тысяч рублей</w:t>
            </w:r>
            <w:r w:rsidR="001A1AFB" w:rsidRPr="00B872DA">
              <w:rPr>
                <w:rFonts w:ascii="Times New Roman" w:hAnsi="Times New Roman"/>
                <w:color w:val="000000"/>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4"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5"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3"/>
      <w:r w:rsidRPr="00497355">
        <w:rPr>
          <w:rFonts w:ascii="Times New Roman" w:hAnsi="Times New Roman" w:cs="Times New Roman"/>
          <w:b/>
          <w:bCs/>
          <w:color w:val="000000" w:themeColor="text1"/>
          <w:sz w:val="28"/>
          <w:szCs w:val="28"/>
        </w:rPr>
        <w:t>3. Перечень мероприятий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7"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8"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9" w:name="sub_15"/>
      <w:r w:rsidRPr="00497355">
        <w:rPr>
          <w:rFonts w:ascii="Times New Roman" w:hAnsi="Times New Roman" w:cs="Times New Roman"/>
          <w:b/>
          <w:bCs/>
          <w:color w:val="000000" w:themeColor="text1"/>
          <w:sz w:val="28"/>
          <w:szCs w:val="28"/>
        </w:rPr>
        <w:t>5. Механизм реализации подпрограммы</w:t>
      </w:r>
    </w:p>
    <w:bookmarkEnd w:id="79"/>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w:t>
            </w:r>
            <w:proofErr w:type="spellEnd"/>
            <w:r w:rsidRPr="006969D9">
              <w:rPr>
                <w:rFonts w:ascii="Times New Roman" w:hAnsi="Times New Roman"/>
                <w:sz w:val="24"/>
                <w:szCs w:val="24"/>
              </w:rPr>
              <w:t>-рения</w:t>
            </w:r>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9</w:t>
            </w:r>
            <w:r w:rsidRPr="006969D9">
              <w:rPr>
                <w:rFonts w:ascii="Times New Roman" w:hAnsi="Times New Roman"/>
                <w:sz w:val="24"/>
                <w:szCs w:val="24"/>
              </w:rPr>
              <w:t>50</w:t>
            </w:r>
          </w:p>
        </w:tc>
        <w:tc>
          <w:tcPr>
            <w:tcW w:w="851" w:type="dxa"/>
          </w:tcPr>
          <w:p w:rsidR="00B03E53" w:rsidRDefault="00B03E53">
            <w:r w:rsidRPr="00560451">
              <w:rPr>
                <w:rFonts w:ascii="Times New Roman" w:hAnsi="Times New Roman"/>
                <w:sz w:val="24"/>
                <w:szCs w:val="24"/>
              </w:rPr>
              <w:t>950</w:t>
            </w:r>
          </w:p>
        </w:tc>
        <w:tc>
          <w:tcPr>
            <w:tcW w:w="850" w:type="dxa"/>
          </w:tcPr>
          <w:p w:rsidR="00B03E53" w:rsidRDefault="00B03E53">
            <w:r w:rsidRPr="00560451">
              <w:rPr>
                <w:rFonts w:ascii="Times New Roman" w:hAnsi="Times New Roman"/>
                <w:sz w:val="24"/>
                <w:szCs w:val="24"/>
              </w:rPr>
              <w:t>950</w:t>
            </w:r>
          </w:p>
        </w:tc>
        <w:tc>
          <w:tcPr>
            <w:tcW w:w="813" w:type="dxa"/>
          </w:tcPr>
          <w:p w:rsidR="00B03E53" w:rsidRDefault="00B03E53">
            <w:r w:rsidRPr="00560451">
              <w:rPr>
                <w:rFonts w:ascii="Times New Roman" w:hAnsi="Times New Roman"/>
                <w:sz w:val="24"/>
                <w:szCs w:val="24"/>
              </w:rPr>
              <w:t>950</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1.2</w:t>
            </w:r>
          </w:p>
        </w:tc>
        <w:tc>
          <w:tcPr>
            <w:tcW w:w="13149" w:type="dxa"/>
            <w:gridSpan w:val="8"/>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6969D9"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куб.м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тыс.куб.м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тыс.куб.м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w:t>
      </w:r>
      <w:r w:rsidRPr="00C262F7">
        <w:rPr>
          <w:rFonts w:ascii="Times New Roman" w:hAnsi="Times New Roman"/>
          <w:sz w:val="24"/>
          <w:szCs w:val="24"/>
        </w:rPr>
        <w:lastRenderedPageBreak/>
        <w:t xml:space="preserve">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1A1AFB" w:rsidP="00960F74">
            <w:pPr>
              <w:spacing w:after="0" w:line="240" w:lineRule="auto"/>
              <w:jc w:val="center"/>
              <w:rPr>
                <w:rFonts w:ascii="Times New Roman" w:hAnsi="Times New Roman"/>
                <w:sz w:val="24"/>
                <w:szCs w:val="24"/>
              </w:rPr>
            </w:pPr>
            <w:r>
              <w:rPr>
                <w:rFonts w:ascii="Times New Roman" w:hAnsi="Times New Roman"/>
                <w:sz w:val="24"/>
                <w:szCs w:val="24"/>
              </w:rPr>
              <w:t>3</w:t>
            </w:r>
            <w:r w:rsidR="00960F74">
              <w:rPr>
                <w:rFonts w:ascii="Times New Roman" w:hAnsi="Times New Roman"/>
                <w:sz w:val="24"/>
                <w:szCs w:val="24"/>
              </w:rPr>
              <w:t>41</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341</w:t>
            </w:r>
            <w:r w:rsidRPr="009C7CEA">
              <w:rPr>
                <w:rFonts w:ascii="Times New Roman" w:hAnsi="Times New Roman"/>
                <w:sz w:val="24"/>
                <w:szCs w:val="24"/>
              </w:rPr>
              <w:t>,0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4</w:t>
            </w:r>
            <w:r w:rsidRPr="009C7CEA">
              <w:rPr>
                <w:rFonts w:ascii="Times New Roman" w:hAnsi="Times New Roman"/>
                <w:sz w:val="24"/>
                <w:szCs w:val="24"/>
              </w:rPr>
              <w:t>5,0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 xml:space="preserve">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2</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958,4</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100</w:t>
            </w:r>
            <w:r w:rsidR="001A1AFB" w:rsidRPr="009C7CEA">
              <w:rPr>
                <w:rFonts w:ascii="Times New Roman" w:hAnsi="Times New Roman"/>
                <w:sz w:val="24"/>
                <w:szCs w:val="24"/>
              </w:rPr>
              <w:t>,0</w:t>
            </w:r>
          </w:p>
        </w:tc>
        <w:tc>
          <w:tcPr>
            <w:tcW w:w="936" w:type="dxa"/>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992" w:type="dxa"/>
            <w:gridSpan w:val="2"/>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137</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0205BB" w:rsidRPr="009C7CEA" w:rsidTr="003046F1">
        <w:tc>
          <w:tcPr>
            <w:tcW w:w="663" w:type="dxa"/>
            <w:vMerge/>
            <w:shd w:val="clear" w:color="auto" w:fill="auto"/>
          </w:tcPr>
          <w:p w:rsidR="000205BB" w:rsidRPr="009C7CEA"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958,4</w:t>
            </w:r>
          </w:p>
        </w:tc>
        <w:tc>
          <w:tcPr>
            <w:tcW w:w="1037" w:type="dxa"/>
            <w:gridSpan w:val="3"/>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100</w:t>
            </w:r>
            <w:r w:rsidRPr="009C7CEA">
              <w:rPr>
                <w:rFonts w:ascii="Times New Roman" w:hAnsi="Times New Roman"/>
                <w:sz w:val="24"/>
                <w:szCs w:val="24"/>
              </w:rPr>
              <w:t>,0</w:t>
            </w:r>
          </w:p>
        </w:tc>
        <w:tc>
          <w:tcPr>
            <w:tcW w:w="936" w:type="dxa"/>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992" w:type="dxa"/>
            <w:gridSpan w:val="2"/>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137</w:t>
            </w:r>
            <w:r w:rsidRPr="009C7CEA">
              <w:rPr>
                <w:rFonts w:ascii="Times New Roman" w:hAnsi="Times New Roman"/>
                <w:sz w:val="24"/>
                <w:szCs w:val="24"/>
              </w:rPr>
              <w:t>,0</w:t>
            </w:r>
          </w:p>
        </w:tc>
        <w:tc>
          <w:tcPr>
            <w:tcW w:w="1007"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854"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1417" w:type="dxa"/>
            <w:gridSpan w:val="2"/>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9C7CEA" w:rsidRDefault="000205BB" w:rsidP="000205BB">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0205BB">
        <w:trPr>
          <w:trHeight w:val="466"/>
        </w:trPr>
        <w:tc>
          <w:tcPr>
            <w:tcW w:w="15418" w:type="dxa"/>
            <w:gridSpan w:val="28"/>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tc>
      </w:tr>
      <w:tr w:rsidR="001A1AFB" w:rsidRPr="009C7CEA" w:rsidTr="000205BB">
        <w:trPr>
          <w:trHeight w:val="699"/>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533</w:t>
            </w:r>
            <w:r w:rsidR="001A1AFB"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85</w:t>
            </w:r>
            <w:r w:rsidR="001A1AFB" w:rsidRPr="009C7CEA">
              <w:rPr>
                <w:rFonts w:ascii="Times New Roman" w:hAnsi="Times New Roman"/>
                <w:sz w:val="24"/>
                <w:szCs w:val="24"/>
              </w:rPr>
              <w:t>,0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190,0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11</w:t>
            </w:r>
            <w:r w:rsidR="001A1AFB" w:rsidRPr="009C7CEA">
              <w:rPr>
                <w:rFonts w:ascii="Times New Roman" w:hAnsi="Times New Roman"/>
                <w:sz w:val="24"/>
                <w:szCs w:val="24"/>
              </w:rPr>
              <w:t>5,0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Администрация МО Кавказский </w:t>
            </w:r>
            <w:r w:rsidRPr="009C7CEA">
              <w:rPr>
                <w:rFonts w:ascii="Times New Roman" w:hAnsi="Times New Roman"/>
                <w:sz w:val="24"/>
                <w:szCs w:val="24"/>
              </w:rPr>
              <w:lastRenderedPageBreak/>
              <w:t>район</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lastRenderedPageBreak/>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120,4</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51,4</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15,0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0205BB">
        <w:trPr>
          <w:trHeight w:val="487"/>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lastRenderedPageBreak/>
              <w:t>1.3.</w:t>
            </w:r>
          </w:p>
        </w:tc>
        <w:tc>
          <w:tcPr>
            <w:tcW w:w="14755" w:type="dxa"/>
            <w:gridSpan w:val="27"/>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9C7CEA" w:rsidTr="003046F1">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Мероприятие №3</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Ремонт систем отопления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231,0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pStyle w:val="ConsPlusNonformat"/>
              <w:widowControl/>
              <w:rPr>
                <w:rFonts w:ascii="Times New Roman" w:hAnsi="Times New Roman" w:cs="Times New Roman"/>
                <w:sz w:val="24"/>
                <w:szCs w:val="24"/>
              </w:rPr>
            </w:pPr>
            <w:r w:rsidRPr="009C7CEA">
              <w:rPr>
                <w:rFonts w:ascii="Times New Roman" w:hAnsi="Times New Roman" w:cs="Times New Roman"/>
                <w:sz w:val="24"/>
                <w:szCs w:val="24"/>
              </w:rPr>
              <w:t>го района</w:t>
            </w:r>
          </w:p>
        </w:tc>
      </w:tr>
      <w:tr w:rsidR="000205BB" w:rsidRPr="009C7CEA" w:rsidTr="003046F1">
        <w:tc>
          <w:tcPr>
            <w:tcW w:w="663" w:type="dxa"/>
            <w:vMerge/>
            <w:shd w:val="clear" w:color="auto" w:fill="auto"/>
          </w:tcPr>
          <w:p w:rsidR="000205BB" w:rsidRPr="009C7CEA"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9C7CEA" w:rsidRDefault="000205BB" w:rsidP="000205B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231,0</w:t>
            </w:r>
          </w:p>
        </w:tc>
        <w:tc>
          <w:tcPr>
            <w:tcW w:w="1007" w:type="dxa"/>
            <w:gridSpan w:val="2"/>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vMerge/>
            <w:shd w:val="clear" w:color="auto" w:fill="FFFF00"/>
          </w:tcPr>
          <w:p w:rsidR="000205BB" w:rsidRPr="009C7CEA"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9C7CEA" w:rsidRDefault="000205BB" w:rsidP="000205BB">
            <w:pPr>
              <w:spacing w:after="0" w:line="240" w:lineRule="auto"/>
              <w:rPr>
                <w:rFonts w:ascii="Times New Roman" w:hAnsi="Times New Roman"/>
                <w:sz w:val="24"/>
                <w:szCs w:val="24"/>
              </w:rPr>
            </w:pPr>
          </w:p>
        </w:tc>
      </w:tr>
      <w:tr w:rsidR="001A1AFB" w:rsidRPr="009C7CEA" w:rsidTr="003046F1">
        <w:trPr>
          <w:trHeight w:val="417"/>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22"/>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15418" w:type="dxa"/>
            <w:gridSpan w:val="28"/>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 том числе по гл. распорядителям:</w:t>
            </w:r>
          </w:p>
        </w:tc>
      </w:tr>
      <w:tr w:rsidR="001A1AFB" w:rsidRPr="009C7CEA" w:rsidTr="003046F1">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91,0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5D7CDB">
        <w:trPr>
          <w:trHeight w:val="802"/>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140,0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Мероприятия  № 4</w:t>
            </w:r>
          </w:p>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Отдел культуры.</w:t>
            </w: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краевой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федеральный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внебюджетные источники</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Отдел культуры</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Мероприятие № 5</w:t>
            </w:r>
          </w:p>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Замена окон</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52,0</w:t>
            </w:r>
          </w:p>
        </w:tc>
        <w:tc>
          <w:tcPr>
            <w:tcW w:w="1007"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992"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Администрация МО Кавказского района</w:t>
            </w: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52,0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краевой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федеральный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внебюджетные источники</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Default="005D7CDB" w:rsidP="005D7CDB">
            <w:pPr>
              <w:spacing w:after="0" w:line="240" w:lineRule="auto"/>
              <w:jc w:val="center"/>
              <w:rPr>
                <w:rFonts w:ascii="Times New Roman" w:hAnsi="Times New Roman"/>
                <w:sz w:val="24"/>
                <w:szCs w:val="24"/>
              </w:rPr>
            </w:pP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rPr>
          <w:trHeight w:val="291"/>
        </w:trPr>
        <w:tc>
          <w:tcPr>
            <w:tcW w:w="663" w:type="dxa"/>
            <w:vMerge w:val="restart"/>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ИТОГО по подпрограмме</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1682,4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341,4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541,0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200,0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417" w:type="dxa"/>
            <w:gridSpan w:val="2"/>
            <w:vMerge w:val="restart"/>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1682,4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341,4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541,0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200,0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733,0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124,0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324,0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85,0</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377,0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55</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400,0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65,0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90,0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4</w:t>
            </w:r>
            <w:r w:rsidRPr="0069264B">
              <w:rPr>
                <w:rFonts w:ascii="Times New Roman" w:hAnsi="Times New Roman"/>
                <w:sz w:val="24"/>
                <w:szCs w:val="24"/>
              </w:rPr>
              <w:t>5,0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 xml:space="preserve">Администрация </w:t>
            </w:r>
            <w:r w:rsidRPr="009C7CEA">
              <w:rPr>
                <w:rFonts w:ascii="Times New Roman" w:hAnsi="Times New Roman"/>
                <w:sz w:val="24"/>
                <w:szCs w:val="24"/>
              </w:rPr>
              <w:lastRenderedPageBreak/>
              <w:t>МО Кавказский район</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lastRenderedPageBreak/>
              <w:t xml:space="preserve">местный </w:t>
            </w:r>
            <w:r w:rsidRPr="009C7CEA">
              <w:rPr>
                <w:rFonts w:ascii="Times New Roman" w:hAnsi="Times New Roman"/>
                <w:sz w:val="24"/>
                <w:szCs w:val="24"/>
              </w:rPr>
              <w:lastRenderedPageBreak/>
              <w:t>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lastRenderedPageBreak/>
              <w:t>172,4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26,0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15</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bl>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lastRenderedPageBreak/>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9C7CEA" w:rsidRDefault="00E0673B" w:rsidP="003046F1">
            <w:pPr>
              <w:spacing w:after="0" w:line="240" w:lineRule="auto"/>
              <w:jc w:val="center"/>
              <w:rPr>
                <w:rFonts w:ascii="Times New Roman" w:hAnsi="Times New Roman"/>
                <w:sz w:val="24"/>
                <w:szCs w:val="24"/>
              </w:rPr>
            </w:pPr>
            <w:r>
              <w:rPr>
                <w:rFonts w:ascii="Times New Roman" w:hAnsi="Times New Roman"/>
                <w:sz w:val="24"/>
                <w:szCs w:val="24"/>
              </w:rPr>
              <w:t>1682,4</w:t>
            </w:r>
          </w:p>
        </w:tc>
        <w:tc>
          <w:tcPr>
            <w:tcW w:w="1134" w:type="dxa"/>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134"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150</w:t>
            </w:r>
            <w:r w:rsidRPr="009C7CEA">
              <w:rPr>
                <w:rFonts w:ascii="Times New Roman" w:hAnsi="Times New Roman"/>
                <w:sz w:val="24"/>
                <w:szCs w:val="24"/>
              </w:rPr>
              <w:t>,0</w:t>
            </w:r>
          </w:p>
        </w:tc>
        <w:tc>
          <w:tcPr>
            <w:tcW w:w="1134" w:type="dxa"/>
          </w:tcPr>
          <w:p w:rsidR="00E0673B" w:rsidRDefault="00E0673B">
            <w:r w:rsidRPr="00507307">
              <w:rPr>
                <w:rFonts w:ascii="Times New Roman" w:hAnsi="Times New Roman"/>
                <w:sz w:val="24"/>
                <w:szCs w:val="24"/>
              </w:rPr>
              <w:t>150,0</w:t>
            </w:r>
          </w:p>
        </w:tc>
        <w:tc>
          <w:tcPr>
            <w:tcW w:w="1134" w:type="dxa"/>
          </w:tcPr>
          <w:p w:rsidR="00E0673B" w:rsidRDefault="00E0673B">
            <w:r w:rsidRPr="00507307">
              <w:rPr>
                <w:rFonts w:ascii="Times New Roman" w:hAnsi="Times New Roman"/>
                <w:sz w:val="24"/>
                <w:szCs w:val="24"/>
              </w:rPr>
              <w:t>150,0</w:t>
            </w:r>
          </w:p>
        </w:tc>
        <w:tc>
          <w:tcPr>
            <w:tcW w:w="1134" w:type="dxa"/>
          </w:tcPr>
          <w:p w:rsidR="00E0673B" w:rsidRDefault="00E0673B">
            <w:r w:rsidRPr="00507307">
              <w:rPr>
                <w:rFonts w:ascii="Times New Roman" w:hAnsi="Times New Roman"/>
                <w:sz w:val="24"/>
                <w:szCs w:val="24"/>
              </w:rPr>
              <w:t>150,0</w:t>
            </w:r>
          </w:p>
        </w:tc>
      </w:tr>
      <w:tr w:rsidR="00E0673B" w:rsidRPr="009C7CEA" w:rsidTr="001040FB">
        <w:tc>
          <w:tcPr>
            <w:tcW w:w="653" w:type="dxa"/>
            <w:vMerge/>
            <w:vAlign w:val="center"/>
          </w:tcPr>
          <w:p w:rsidR="00E0673B" w:rsidRPr="009C7CEA" w:rsidRDefault="00E0673B" w:rsidP="003046F1">
            <w:pPr>
              <w:spacing w:after="0" w:line="240" w:lineRule="auto"/>
              <w:jc w:val="center"/>
              <w:outlineLvl w:val="2"/>
              <w:rPr>
                <w:rFonts w:ascii="Times New Roman" w:hAnsi="Times New Roman"/>
                <w:sz w:val="24"/>
                <w:szCs w:val="24"/>
              </w:rPr>
            </w:pPr>
          </w:p>
        </w:tc>
        <w:tc>
          <w:tcPr>
            <w:tcW w:w="2716" w:type="dxa"/>
            <w:vMerge/>
            <w:vAlign w:val="center"/>
          </w:tcPr>
          <w:p w:rsidR="00E0673B" w:rsidRPr="009C7CEA" w:rsidRDefault="00E0673B" w:rsidP="003046F1">
            <w:pPr>
              <w:spacing w:after="0" w:line="240" w:lineRule="auto"/>
              <w:jc w:val="center"/>
              <w:outlineLvl w:val="2"/>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E0673B" w:rsidRPr="009C7CEA" w:rsidRDefault="00E0673B" w:rsidP="001040FB">
            <w:pPr>
              <w:spacing w:after="0" w:line="240" w:lineRule="auto"/>
              <w:jc w:val="center"/>
              <w:rPr>
                <w:rFonts w:ascii="Times New Roman" w:hAnsi="Times New Roman"/>
                <w:sz w:val="24"/>
                <w:szCs w:val="24"/>
              </w:rPr>
            </w:pPr>
            <w:r>
              <w:rPr>
                <w:rFonts w:ascii="Times New Roman" w:hAnsi="Times New Roman"/>
                <w:sz w:val="24"/>
                <w:szCs w:val="24"/>
              </w:rPr>
              <w:t>1682,4</w:t>
            </w:r>
          </w:p>
        </w:tc>
        <w:tc>
          <w:tcPr>
            <w:tcW w:w="1134" w:type="dxa"/>
            <w:vAlign w:val="center"/>
          </w:tcPr>
          <w:p w:rsidR="00E0673B" w:rsidRPr="009C7CEA" w:rsidRDefault="00E0673B" w:rsidP="001040FB">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E0673B" w:rsidRPr="009C7CEA" w:rsidRDefault="00E0673B" w:rsidP="001040FB">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E0673B" w:rsidRPr="009C7CEA" w:rsidRDefault="00E0673B" w:rsidP="001040FB">
            <w:pPr>
              <w:spacing w:after="0" w:line="240" w:lineRule="auto"/>
              <w:jc w:val="center"/>
              <w:outlineLvl w:val="2"/>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134" w:type="dxa"/>
            <w:vAlign w:val="center"/>
          </w:tcPr>
          <w:p w:rsidR="00E0673B" w:rsidRPr="009C7CEA" w:rsidRDefault="00E0673B" w:rsidP="001040FB">
            <w:pPr>
              <w:spacing w:after="0" w:line="240" w:lineRule="auto"/>
              <w:jc w:val="center"/>
              <w:outlineLvl w:val="2"/>
              <w:rPr>
                <w:rFonts w:ascii="Times New Roman" w:hAnsi="Times New Roman"/>
                <w:sz w:val="24"/>
                <w:szCs w:val="24"/>
              </w:rPr>
            </w:pPr>
            <w:r>
              <w:rPr>
                <w:rFonts w:ascii="Times New Roman" w:hAnsi="Times New Roman"/>
                <w:sz w:val="24"/>
                <w:szCs w:val="24"/>
              </w:rPr>
              <w:t>150</w:t>
            </w:r>
            <w:r w:rsidRPr="009C7CEA">
              <w:rPr>
                <w:rFonts w:ascii="Times New Roman" w:hAnsi="Times New Roman"/>
                <w:sz w:val="24"/>
                <w:szCs w:val="24"/>
              </w:rPr>
              <w:t>,0</w:t>
            </w:r>
          </w:p>
        </w:tc>
        <w:tc>
          <w:tcPr>
            <w:tcW w:w="1134" w:type="dxa"/>
          </w:tcPr>
          <w:p w:rsidR="00E0673B" w:rsidRDefault="00E0673B" w:rsidP="001040FB">
            <w:r w:rsidRPr="00507307">
              <w:rPr>
                <w:rFonts w:ascii="Times New Roman" w:hAnsi="Times New Roman"/>
                <w:sz w:val="24"/>
                <w:szCs w:val="24"/>
              </w:rPr>
              <w:t>150,0</w:t>
            </w:r>
          </w:p>
        </w:tc>
        <w:tc>
          <w:tcPr>
            <w:tcW w:w="1134" w:type="dxa"/>
          </w:tcPr>
          <w:p w:rsidR="00E0673B" w:rsidRDefault="00E0673B" w:rsidP="001040FB">
            <w:r w:rsidRPr="00507307">
              <w:rPr>
                <w:rFonts w:ascii="Times New Roman" w:hAnsi="Times New Roman"/>
                <w:sz w:val="24"/>
                <w:szCs w:val="24"/>
              </w:rPr>
              <w:t>150,0</w:t>
            </w:r>
          </w:p>
        </w:tc>
        <w:tc>
          <w:tcPr>
            <w:tcW w:w="1134" w:type="dxa"/>
          </w:tcPr>
          <w:p w:rsidR="00E0673B" w:rsidRDefault="00E0673B" w:rsidP="001040FB">
            <w:r w:rsidRPr="00507307">
              <w:rPr>
                <w:rFonts w:ascii="Times New Roman" w:hAnsi="Times New Roman"/>
                <w:sz w:val="24"/>
                <w:szCs w:val="24"/>
              </w:rPr>
              <w:t>150,0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общий объем финансирования составляет </w:t>
            </w:r>
            <w:r w:rsidR="005D158A">
              <w:rPr>
                <w:rFonts w:ascii="Times New Roman" w:hAnsi="Times New Roman" w:cs="Times New Roman"/>
                <w:color w:val="000000" w:themeColor="text1"/>
                <w:sz w:val="28"/>
                <w:szCs w:val="28"/>
              </w:rPr>
              <w:t>940</w:t>
            </w:r>
            <w:r w:rsidRPr="00497355">
              <w:rPr>
                <w:rFonts w:ascii="Times New Roman" w:hAnsi="Times New Roman" w:cs="Times New Roman"/>
                <w:color w:val="000000" w:themeColor="text1"/>
                <w:sz w:val="28"/>
                <w:szCs w:val="28"/>
              </w:rPr>
              <w:t>,0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2017 год – </w:t>
            </w:r>
            <w:r w:rsidR="005D158A">
              <w:rPr>
                <w:rFonts w:ascii="Times New Roman" w:hAnsi="Times New Roman" w:cs="Times New Roman"/>
                <w:color w:val="000000" w:themeColor="text1"/>
                <w:sz w:val="28"/>
                <w:szCs w:val="28"/>
              </w:rPr>
              <w:t>540,</w:t>
            </w:r>
            <w:r w:rsidRPr="00497355">
              <w:rPr>
                <w:rFonts w:ascii="Times New Roman" w:hAnsi="Times New Roman" w:cs="Times New Roman"/>
                <w:color w:val="000000" w:themeColor="text1"/>
                <w:sz w:val="28"/>
                <w:szCs w:val="28"/>
              </w:rPr>
              <w:t>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том числе из средств местного бюджета – </w:t>
            </w:r>
            <w:r w:rsidR="005D158A">
              <w:rPr>
                <w:rFonts w:ascii="Times New Roman" w:hAnsi="Times New Roman" w:cs="Times New Roman"/>
                <w:color w:val="000000" w:themeColor="text1"/>
                <w:sz w:val="28"/>
                <w:szCs w:val="28"/>
              </w:rPr>
              <w:t>940,</w:t>
            </w:r>
            <w:r w:rsidRPr="00497355">
              <w:rPr>
                <w:rFonts w:ascii="Times New Roman" w:hAnsi="Times New Roman" w:cs="Times New Roman"/>
                <w:color w:val="000000" w:themeColor="text1"/>
                <w:sz w:val="28"/>
                <w:szCs w:val="28"/>
              </w:rPr>
              <w:t>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w:t>
            </w:r>
            <w:r w:rsidR="002861E2">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w:t>
            </w:r>
            <w:r w:rsidR="005D158A">
              <w:rPr>
                <w:rFonts w:ascii="Times New Roman" w:hAnsi="Times New Roman" w:cs="Times New Roman"/>
                <w:color w:val="000000" w:themeColor="text1"/>
                <w:sz w:val="28"/>
                <w:szCs w:val="28"/>
              </w:rPr>
              <w:t xml:space="preserve"> - </w:t>
            </w:r>
            <w:r w:rsidRPr="00497355">
              <w:rPr>
                <w:rFonts w:ascii="Times New Roman" w:hAnsi="Times New Roman" w:cs="Times New Roman"/>
                <w:color w:val="000000" w:themeColor="text1"/>
                <w:sz w:val="28"/>
                <w:szCs w:val="28"/>
              </w:rPr>
              <w:t xml:space="preserve"> </w:t>
            </w:r>
            <w:r w:rsidR="005D158A">
              <w:rPr>
                <w:rFonts w:ascii="Times New Roman" w:hAnsi="Times New Roman" w:cs="Times New Roman"/>
                <w:color w:val="000000" w:themeColor="text1"/>
                <w:sz w:val="28"/>
                <w:szCs w:val="28"/>
              </w:rPr>
              <w:t>540</w:t>
            </w:r>
            <w:r w:rsidRPr="00497355">
              <w:rPr>
                <w:rFonts w:ascii="Times New Roman" w:hAnsi="Times New Roman" w:cs="Times New Roman"/>
                <w:color w:val="000000" w:themeColor="text1"/>
                <w:sz w:val="28"/>
                <w:szCs w:val="28"/>
              </w:rPr>
              <w:t>,0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lastRenderedPageBreak/>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511103">
        <w:rPr>
          <w:rFonts w:ascii="Times New Roman" w:hAnsi="Times New Roman" w:cs="Times New Roman"/>
          <w:color w:val="000000" w:themeColor="text1"/>
          <w:sz w:val="28"/>
          <w:szCs w:val="28"/>
        </w:rPr>
        <w:t>750</w:t>
      </w:r>
      <w:r w:rsidR="004A017A" w:rsidRPr="00497355">
        <w:rPr>
          <w:rFonts w:ascii="Times New Roman" w:hAnsi="Times New Roman" w:cs="Times New Roman"/>
          <w:color w:val="000000" w:themeColor="text1"/>
          <w:sz w:val="28"/>
          <w:szCs w:val="28"/>
        </w:rPr>
        <w:t>,0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4"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511103" w:rsidP="00E215AA">
            <w:pPr>
              <w:spacing w:after="0" w:line="240" w:lineRule="auto"/>
              <w:jc w:val="center"/>
              <w:outlineLvl w:val="2"/>
              <w:rPr>
                <w:rFonts w:ascii="Times New Roman" w:hAnsi="Times New Roman"/>
                <w:sz w:val="24"/>
                <w:szCs w:val="28"/>
              </w:rPr>
            </w:pPr>
            <w:r>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418"/>
        <w:gridCol w:w="1701"/>
        <w:gridCol w:w="992"/>
        <w:gridCol w:w="851"/>
        <w:gridCol w:w="992"/>
        <w:gridCol w:w="850"/>
        <w:gridCol w:w="851"/>
        <w:gridCol w:w="850"/>
        <w:gridCol w:w="851"/>
        <w:gridCol w:w="850"/>
        <w:gridCol w:w="142"/>
        <w:gridCol w:w="1276"/>
        <w:gridCol w:w="283"/>
        <w:gridCol w:w="1134"/>
      </w:tblGrid>
      <w:tr w:rsidR="003B5AA9" w:rsidRPr="009D4C37" w:rsidTr="00E215AA">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095"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Задача</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2418" w:type="dxa"/>
            <w:vMerge w:val="restart"/>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94</w:t>
            </w:r>
            <w:r w:rsidR="00E0673B">
              <w:rPr>
                <w:rFonts w:ascii="Times New Roman" w:hAnsi="Times New Roman"/>
                <w:sz w:val="24"/>
                <w:szCs w:val="28"/>
              </w:rPr>
              <w:t>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E0673B" w:rsidRPr="009D4C37" w:rsidTr="00E215AA">
        <w:trPr>
          <w:trHeight w:val="280"/>
        </w:trPr>
        <w:tc>
          <w:tcPr>
            <w:tcW w:w="809"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E0673B" w:rsidRPr="009D4C37" w:rsidRDefault="005D158A" w:rsidP="001040FB">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94</w:t>
            </w:r>
            <w:r w:rsidR="00E0673B">
              <w:rPr>
                <w:rFonts w:ascii="Times New Roman" w:hAnsi="Times New Roman"/>
                <w:sz w:val="24"/>
                <w:szCs w:val="28"/>
              </w:rPr>
              <w:t>0</w:t>
            </w:r>
            <w:r w:rsidR="00E0673B" w:rsidRPr="009D4C37">
              <w:rPr>
                <w:rFonts w:ascii="Times New Roman" w:hAnsi="Times New Roman"/>
                <w:sz w:val="24"/>
                <w:szCs w:val="28"/>
              </w:rPr>
              <w:t>,0</w:t>
            </w:r>
          </w:p>
        </w:tc>
        <w:tc>
          <w:tcPr>
            <w:tcW w:w="851" w:type="dxa"/>
          </w:tcPr>
          <w:p w:rsidR="00E0673B" w:rsidRPr="009D4C37" w:rsidRDefault="00E0673B" w:rsidP="001040FB">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E0673B" w:rsidRPr="009D4C37" w:rsidRDefault="00E0673B" w:rsidP="001040FB">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E0673B" w:rsidRPr="009D4C37" w:rsidRDefault="005D158A" w:rsidP="001040FB">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E0673B" w:rsidRPr="009D4C37">
              <w:rPr>
                <w:rFonts w:ascii="Times New Roman" w:hAnsi="Times New Roman"/>
                <w:sz w:val="24"/>
                <w:szCs w:val="28"/>
              </w:rPr>
              <w:t>,0</w:t>
            </w:r>
          </w:p>
        </w:tc>
        <w:tc>
          <w:tcPr>
            <w:tcW w:w="851" w:type="dxa"/>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 том числе:</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3.1.</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1:</w:t>
            </w:r>
          </w:p>
          <w:p w:rsidR="003B5AA9" w:rsidRPr="009D4C37" w:rsidRDefault="003B5AA9" w:rsidP="005D158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w:t>
            </w:r>
            <w:r w:rsidR="005D158A">
              <w:rPr>
                <w:rFonts w:ascii="Times New Roman" w:hAnsi="Times New Roman"/>
                <w:sz w:val="24"/>
                <w:szCs w:val="28"/>
              </w:rPr>
              <w:t>ой</w:t>
            </w:r>
            <w:r w:rsidRPr="009D4C37">
              <w:rPr>
                <w:rFonts w:ascii="Times New Roman" w:hAnsi="Times New Roman"/>
                <w:sz w:val="24"/>
                <w:szCs w:val="28"/>
              </w:rPr>
              <w:t xml:space="preserve"> котельн</w:t>
            </w:r>
            <w:r w:rsidR="005D158A">
              <w:rPr>
                <w:rFonts w:ascii="Times New Roman" w:hAnsi="Times New Roman"/>
                <w:sz w:val="24"/>
                <w:szCs w:val="28"/>
              </w:rPr>
              <w:t>ой</w:t>
            </w:r>
            <w:r w:rsidRPr="009D4C37">
              <w:rPr>
                <w:rFonts w:ascii="Times New Roman" w:hAnsi="Times New Roman"/>
                <w:sz w:val="24"/>
                <w:szCs w:val="28"/>
              </w:rPr>
              <w:t xml:space="preserve"> МБОУ СОШ № 19 в ст. Казанской</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5D158A" w:rsidP="005D158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E0673B"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w:t>
            </w:r>
            <w:r w:rsidR="00E0673B">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roofErr w:type="spellStart"/>
            <w:r w:rsidRPr="009D4C37">
              <w:rPr>
                <w:rFonts w:ascii="Times New Roman" w:hAnsi="Times New Roman"/>
                <w:sz w:val="24"/>
                <w:szCs w:val="28"/>
              </w:rPr>
              <w:t>Обеспечениебесперебойной</w:t>
            </w:r>
            <w:proofErr w:type="spellEnd"/>
            <w:r w:rsidRPr="009D4C37">
              <w:rPr>
                <w:rFonts w:ascii="Times New Roman" w:hAnsi="Times New Roman"/>
                <w:sz w:val="24"/>
                <w:szCs w:val="28"/>
              </w:rPr>
              <w:t xml:space="preserve"> подачи тепла в СОШ № 19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E0673B">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3.2</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2:</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 (ПСД)</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619"/>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415"/>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3.3</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3:</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3.4</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4:</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Расширение системы газоснабжения п. Мирского МДОУ № </w:t>
            </w:r>
            <w:r w:rsidRPr="009D4C37">
              <w:rPr>
                <w:rFonts w:ascii="Times New Roman" w:hAnsi="Times New Roman"/>
                <w:sz w:val="24"/>
                <w:szCs w:val="28"/>
              </w:rPr>
              <w:lastRenderedPageBreak/>
              <w:t>31 (корректировка проекта)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w:t>
            </w:r>
            <w:r w:rsidRPr="009D4C37">
              <w:rPr>
                <w:rFonts w:ascii="Times New Roman" w:hAnsi="Times New Roman"/>
                <w:sz w:val="24"/>
                <w:szCs w:val="28"/>
              </w:rPr>
              <w:lastRenderedPageBreak/>
              <w:t xml:space="preserve">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 xml:space="preserve">управление образования МО </w:t>
            </w:r>
            <w:r w:rsidRPr="009D4C37">
              <w:rPr>
                <w:rFonts w:ascii="Times New Roman" w:hAnsi="Times New Roman"/>
                <w:sz w:val="24"/>
                <w:szCs w:val="28"/>
              </w:rPr>
              <w:lastRenderedPageBreak/>
              <w:t>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федеральный </w:t>
            </w:r>
            <w:r w:rsidRPr="009D4C37">
              <w:rPr>
                <w:rFonts w:ascii="Times New Roman" w:hAnsi="Times New Roman"/>
                <w:sz w:val="24"/>
                <w:szCs w:val="28"/>
              </w:rPr>
              <w:lastRenderedPageBreak/>
              <w:t>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5D158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r w:rsidR="005D158A">
              <w:rPr>
                <w:rFonts w:ascii="Times New Roman" w:hAnsi="Times New Roman"/>
                <w:sz w:val="24"/>
                <w:szCs w:val="28"/>
              </w:rPr>
              <w:t>5</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5:</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Расширение системы газоснабжения п. Мирского МДОУ № 31 (СМР)</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bl>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gramStart"/>
            <w:r w:rsidRPr="00497355">
              <w:rPr>
                <w:rFonts w:ascii="Times New Roman" w:hAnsi="Times New Roman"/>
                <w:color w:val="000000" w:themeColor="text1"/>
                <w:sz w:val="24"/>
                <w:szCs w:val="28"/>
              </w:rPr>
              <w:t>п</w:t>
            </w:r>
            <w:proofErr w:type="gramEnd"/>
            <w:r w:rsidRPr="00497355">
              <w:rPr>
                <w:rFonts w:ascii="Times New Roman" w:hAnsi="Times New Roman"/>
                <w:color w:val="000000" w:themeColor="text1"/>
                <w:sz w:val="24"/>
                <w:szCs w:val="28"/>
              </w:rPr>
              <w:t>/п</w:t>
            </w:r>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1040FB">
        <w:trPr>
          <w:trHeight w:val="119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511103" w:rsidRPr="00497355" w:rsidTr="001040FB">
        <w:tc>
          <w:tcPr>
            <w:tcW w:w="675" w:type="dxa"/>
            <w:vMerge w:val="restart"/>
            <w:vAlign w:val="center"/>
          </w:tcPr>
          <w:p w:rsidR="00511103" w:rsidRPr="00497355" w:rsidRDefault="00511103" w:rsidP="001040FB">
            <w:pPr>
              <w:pStyle w:val="a8"/>
              <w:widowControl w:val="0"/>
              <w:numPr>
                <w:ilvl w:val="0"/>
                <w:numId w:val="1"/>
              </w:numPr>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111111.</w:t>
            </w:r>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2268"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94</w:t>
            </w:r>
            <w:r w:rsidR="00511103">
              <w:rPr>
                <w:rFonts w:ascii="Times New Roman" w:hAnsi="Times New Roman"/>
                <w:color w:val="000000" w:themeColor="text1"/>
                <w:sz w:val="24"/>
                <w:szCs w:val="28"/>
              </w:rPr>
              <w:t>0</w:t>
            </w:r>
            <w:r w:rsidR="00511103" w:rsidRPr="00497355">
              <w:rPr>
                <w:rFonts w:ascii="Times New Roman" w:hAnsi="Times New Roman"/>
                <w:color w:val="000000" w:themeColor="text1"/>
                <w:sz w:val="24"/>
                <w:szCs w:val="28"/>
              </w:rPr>
              <w:t>,0</w:t>
            </w:r>
          </w:p>
        </w:tc>
        <w:tc>
          <w:tcPr>
            <w:tcW w:w="851"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540</w:t>
            </w:r>
            <w:r w:rsidR="00511103" w:rsidRPr="00497355">
              <w:rPr>
                <w:rFonts w:ascii="Times New Roman" w:hAnsi="Times New Roman"/>
                <w:color w:val="000000" w:themeColor="text1"/>
                <w:sz w:val="24"/>
                <w:szCs w:val="28"/>
              </w:rPr>
              <w:t>,0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2268"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2268"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2268"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940</w:t>
            </w:r>
            <w:r w:rsidR="00511103" w:rsidRPr="00497355">
              <w:rPr>
                <w:rFonts w:ascii="Times New Roman" w:hAnsi="Times New Roman"/>
                <w:color w:val="000000" w:themeColor="text1"/>
                <w:sz w:val="24"/>
                <w:szCs w:val="28"/>
              </w:rPr>
              <w:t>,0</w:t>
            </w:r>
          </w:p>
        </w:tc>
        <w:tc>
          <w:tcPr>
            <w:tcW w:w="851"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54</w:t>
            </w:r>
            <w:r w:rsidR="00511103"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2268"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851"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r>
    </w:tbl>
    <w:p w:rsidR="00511103" w:rsidRPr="00497355" w:rsidRDefault="00511103" w:rsidP="00511103">
      <w:pPr>
        <w:spacing w:after="0" w:line="240" w:lineRule="auto"/>
        <w:jc w:val="both"/>
        <w:rPr>
          <w:rFonts w:ascii="Times New Roman" w:hAnsi="Times New Roman"/>
          <w:color w:val="000000" w:themeColor="text1"/>
          <w:sz w:val="24"/>
          <w:szCs w:val="28"/>
        </w:rPr>
      </w:pPr>
    </w:p>
    <w:p w:rsidR="00511103" w:rsidRPr="00497355" w:rsidRDefault="00511103" w:rsidP="00511103">
      <w:pPr>
        <w:spacing w:after="0" w:line="240" w:lineRule="auto"/>
        <w:jc w:val="both"/>
        <w:rPr>
          <w:rFonts w:ascii="Times New Roman" w:hAnsi="Times New Roman"/>
          <w:color w:val="000000" w:themeColor="text1"/>
          <w:sz w:val="28"/>
          <w:szCs w:val="28"/>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511103">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1AA6"/>
    <w:rsid w:val="000068B0"/>
    <w:rsid w:val="000205BB"/>
    <w:rsid w:val="00021429"/>
    <w:rsid w:val="000440CC"/>
    <w:rsid w:val="00046544"/>
    <w:rsid w:val="00053C85"/>
    <w:rsid w:val="0006306F"/>
    <w:rsid w:val="00084716"/>
    <w:rsid w:val="000A5889"/>
    <w:rsid w:val="000B2288"/>
    <w:rsid w:val="000C09BD"/>
    <w:rsid w:val="000C2C2A"/>
    <w:rsid w:val="000C46FC"/>
    <w:rsid w:val="000D760E"/>
    <w:rsid w:val="001040FB"/>
    <w:rsid w:val="00121516"/>
    <w:rsid w:val="00130A9A"/>
    <w:rsid w:val="001454F2"/>
    <w:rsid w:val="00162E35"/>
    <w:rsid w:val="0016545F"/>
    <w:rsid w:val="001A1AFB"/>
    <w:rsid w:val="001A58C9"/>
    <w:rsid w:val="001B085F"/>
    <w:rsid w:val="001B3FC9"/>
    <w:rsid w:val="00224BFC"/>
    <w:rsid w:val="002346E4"/>
    <w:rsid w:val="00262E9E"/>
    <w:rsid w:val="00265705"/>
    <w:rsid w:val="00277A72"/>
    <w:rsid w:val="002861E2"/>
    <w:rsid w:val="002D1ADA"/>
    <w:rsid w:val="002E40D4"/>
    <w:rsid w:val="00300913"/>
    <w:rsid w:val="003046F1"/>
    <w:rsid w:val="00334C35"/>
    <w:rsid w:val="003B1F73"/>
    <w:rsid w:val="003B5AA9"/>
    <w:rsid w:val="003D34DB"/>
    <w:rsid w:val="004268AE"/>
    <w:rsid w:val="00440B79"/>
    <w:rsid w:val="00456543"/>
    <w:rsid w:val="00470DBB"/>
    <w:rsid w:val="00481F80"/>
    <w:rsid w:val="004836AD"/>
    <w:rsid w:val="00485CA6"/>
    <w:rsid w:val="00497355"/>
    <w:rsid w:val="004A017A"/>
    <w:rsid w:val="004A0292"/>
    <w:rsid w:val="004A3CEE"/>
    <w:rsid w:val="004C509B"/>
    <w:rsid w:val="004C593E"/>
    <w:rsid w:val="004C6A88"/>
    <w:rsid w:val="004C7214"/>
    <w:rsid w:val="004D4DBD"/>
    <w:rsid w:val="004E65D2"/>
    <w:rsid w:val="00511103"/>
    <w:rsid w:val="00514584"/>
    <w:rsid w:val="00520A65"/>
    <w:rsid w:val="00527F0F"/>
    <w:rsid w:val="00544DF7"/>
    <w:rsid w:val="005463A6"/>
    <w:rsid w:val="00585AC1"/>
    <w:rsid w:val="005865A8"/>
    <w:rsid w:val="005D158A"/>
    <w:rsid w:val="005D7CDB"/>
    <w:rsid w:val="00672D6B"/>
    <w:rsid w:val="00682974"/>
    <w:rsid w:val="00682A96"/>
    <w:rsid w:val="00692F11"/>
    <w:rsid w:val="006F211F"/>
    <w:rsid w:val="00701BCD"/>
    <w:rsid w:val="007059FD"/>
    <w:rsid w:val="00724DA0"/>
    <w:rsid w:val="00736D86"/>
    <w:rsid w:val="00791AEB"/>
    <w:rsid w:val="007D1DCA"/>
    <w:rsid w:val="007D6971"/>
    <w:rsid w:val="007F0C47"/>
    <w:rsid w:val="007F4529"/>
    <w:rsid w:val="007F6006"/>
    <w:rsid w:val="00863FF4"/>
    <w:rsid w:val="00870A10"/>
    <w:rsid w:val="00872A4F"/>
    <w:rsid w:val="008A1938"/>
    <w:rsid w:val="008E088C"/>
    <w:rsid w:val="008F6559"/>
    <w:rsid w:val="00925FFD"/>
    <w:rsid w:val="00960372"/>
    <w:rsid w:val="00960F74"/>
    <w:rsid w:val="009748A5"/>
    <w:rsid w:val="00994365"/>
    <w:rsid w:val="009966F4"/>
    <w:rsid w:val="009A5BD4"/>
    <w:rsid w:val="009E4A33"/>
    <w:rsid w:val="009F33DE"/>
    <w:rsid w:val="00A062EF"/>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36642"/>
    <w:rsid w:val="00B769F7"/>
    <w:rsid w:val="00B8709F"/>
    <w:rsid w:val="00B9563C"/>
    <w:rsid w:val="00BD329E"/>
    <w:rsid w:val="00BE3B66"/>
    <w:rsid w:val="00C0498F"/>
    <w:rsid w:val="00C0727E"/>
    <w:rsid w:val="00C119F3"/>
    <w:rsid w:val="00C47CEA"/>
    <w:rsid w:val="00C51616"/>
    <w:rsid w:val="00C51EB4"/>
    <w:rsid w:val="00C62052"/>
    <w:rsid w:val="00C66043"/>
    <w:rsid w:val="00CA7AAD"/>
    <w:rsid w:val="00CC5C60"/>
    <w:rsid w:val="00CC79AA"/>
    <w:rsid w:val="00CD291D"/>
    <w:rsid w:val="00D100AD"/>
    <w:rsid w:val="00D63D9F"/>
    <w:rsid w:val="00D90808"/>
    <w:rsid w:val="00DE5382"/>
    <w:rsid w:val="00E0564F"/>
    <w:rsid w:val="00E0673B"/>
    <w:rsid w:val="00E215AA"/>
    <w:rsid w:val="00E7368B"/>
    <w:rsid w:val="00E91268"/>
    <w:rsid w:val="00E94610"/>
    <w:rsid w:val="00EA0279"/>
    <w:rsid w:val="00F04372"/>
    <w:rsid w:val="00F06FA4"/>
    <w:rsid w:val="00F107A1"/>
    <w:rsid w:val="00F1117B"/>
    <w:rsid w:val="00F34330"/>
    <w:rsid w:val="00F469DB"/>
    <w:rsid w:val="00FA7706"/>
    <w:rsid w:val="00FB4E26"/>
    <w:rsid w:val="00FC49FB"/>
    <w:rsid w:val="00FD526F"/>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hyperlink" Target="garantF1://12012604.20001"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hyperlink" Target="garantF1://12012604.20001"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hyperlink" Target="garantF1://70253464.0" TargetMode="Externa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C18C-96AB-47C4-85D5-14C2DB6F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16762</Words>
  <Characters>95544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Matyshova</cp:lastModifiedBy>
  <cp:revision>4</cp:revision>
  <dcterms:created xsi:type="dcterms:W3CDTF">2017-02-22T08:45:00Z</dcterms:created>
  <dcterms:modified xsi:type="dcterms:W3CDTF">2017-04-10T11:56:00Z</dcterms:modified>
</cp:coreProperties>
</file>