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429" w:rsidRPr="00300D7A" w:rsidRDefault="006C6429" w:rsidP="00BD64E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муниципального образования Кавказский район "Развитие культуры"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(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утв. </w:t>
      </w:r>
      <w:hyperlink w:anchor="sub_0" w:history="1">
        <w:r w:rsidRPr="00BD64E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D64E8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дминистрациимуниципального образования Кавказский район от 24 октября 2014 г. N 1693</w:t>
      </w:r>
      <w:r w:rsid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BD64E8" w:rsidRPr="00300D7A">
        <w:rPr>
          <w:rFonts w:ascii="Times New Roman" w:hAnsi="Times New Roman" w:cs="Times New Roman"/>
          <w:bCs/>
          <w:sz w:val="28"/>
          <w:szCs w:val="28"/>
        </w:rPr>
        <w:t xml:space="preserve">с изменениями и дополнениями </w:t>
      </w:r>
      <w:r w:rsidR="00AE4CB5" w:rsidRPr="00AE4CB5">
        <w:rPr>
          <w:rFonts w:ascii="Times New Roman" w:hAnsi="Times New Roman" w:cs="Times New Roman"/>
          <w:bCs/>
          <w:sz w:val="28"/>
          <w:szCs w:val="28"/>
        </w:rPr>
        <w:t>от 18 февраля, 29 мая, 11 августа, 16 сентября, 28 октября, 11 декабря, 30 декабря 2015 г., 24</w:t>
      </w:r>
      <w:r w:rsidR="00AE4CB5"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="00AE4CB5" w:rsidRPr="00AE4CB5">
        <w:rPr>
          <w:rFonts w:ascii="Times New Roman" w:hAnsi="Times New Roman" w:cs="Times New Roman"/>
          <w:bCs/>
          <w:sz w:val="28"/>
          <w:szCs w:val="28"/>
        </w:rPr>
        <w:t>2016г, 20</w:t>
      </w:r>
      <w:r w:rsidR="00AE4CB5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="00AE4CB5" w:rsidRPr="00AE4CB5">
        <w:rPr>
          <w:rFonts w:ascii="Times New Roman" w:hAnsi="Times New Roman" w:cs="Times New Roman"/>
          <w:bCs/>
          <w:sz w:val="28"/>
          <w:szCs w:val="28"/>
        </w:rPr>
        <w:t>2016г., 23</w:t>
      </w:r>
      <w:r w:rsidR="00AE4CB5">
        <w:rPr>
          <w:rFonts w:ascii="Times New Roman" w:hAnsi="Times New Roman" w:cs="Times New Roman"/>
          <w:bCs/>
          <w:sz w:val="28"/>
          <w:szCs w:val="28"/>
        </w:rPr>
        <w:t xml:space="preserve"> июня </w:t>
      </w:r>
      <w:r w:rsidR="00AE4CB5" w:rsidRPr="00AE4CB5">
        <w:rPr>
          <w:rFonts w:ascii="Times New Roman" w:hAnsi="Times New Roman" w:cs="Times New Roman"/>
          <w:bCs/>
          <w:sz w:val="28"/>
          <w:szCs w:val="28"/>
        </w:rPr>
        <w:t>2016г., 24</w:t>
      </w:r>
      <w:r w:rsidR="00AE4CB5">
        <w:rPr>
          <w:rFonts w:ascii="Times New Roman" w:hAnsi="Times New Roman" w:cs="Times New Roman"/>
          <w:bCs/>
          <w:sz w:val="28"/>
          <w:szCs w:val="28"/>
        </w:rPr>
        <w:t xml:space="preserve"> ноября </w:t>
      </w:r>
      <w:r w:rsidR="00AE4CB5" w:rsidRPr="00AE4CB5">
        <w:rPr>
          <w:rFonts w:ascii="Times New Roman" w:hAnsi="Times New Roman" w:cs="Times New Roman"/>
          <w:bCs/>
          <w:sz w:val="28"/>
          <w:szCs w:val="28"/>
        </w:rPr>
        <w:t>2016г.</w:t>
      </w:r>
      <w:r w:rsidR="00AE4CB5">
        <w:rPr>
          <w:rFonts w:ascii="Times New Roman" w:hAnsi="Times New Roman" w:cs="Times New Roman"/>
          <w:bCs/>
          <w:sz w:val="28"/>
          <w:szCs w:val="28"/>
        </w:rPr>
        <w:t>,</w:t>
      </w:r>
      <w:r w:rsidR="00F84D0D" w:rsidRPr="00300D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7699" w:rsidRPr="00300D7A">
        <w:rPr>
          <w:rFonts w:ascii="Times New Roman" w:hAnsi="Times New Roman" w:cs="Times New Roman"/>
          <w:bCs/>
          <w:sz w:val="28"/>
          <w:szCs w:val="28"/>
        </w:rPr>
        <w:t>20</w:t>
      </w:r>
      <w:r w:rsidR="00AE4CB5"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 w:rsidR="00227699" w:rsidRPr="00300D7A">
        <w:rPr>
          <w:rFonts w:ascii="Times New Roman" w:hAnsi="Times New Roman" w:cs="Times New Roman"/>
          <w:bCs/>
          <w:sz w:val="28"/>
          <w:szCs w:val="28"/>
        </w:rPr>
        <w:t>2017г</w:t>
      </w:r>
      <w:r w:rsidR="005C687D" w:rsidRPr="00300D7A">
        <w:rPr>
          <w:rFonts w:ascii="Times New Roman" w:hAnsi="Times New Roman" w:cs="Times New Roman"/>
          <w:bCs/>
          <w:sz w:val="28"/>
          <w:szCs w:val="28"/>
        </w:rPr>
        <w:t>.</w:t>
      </w:r>
      <w:r w:rsidRPr="00300D7A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429" w:rsidRPr="000101A1" w:rsidRDefault="006C6429" w:rsidP="006C642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Паспорт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муниципальной программы муниципального образования Кавказский район "Развитие культуры" (далее - муниципальная программа)</w:t>
      </w:r>
    </w:p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95"/>
      </w:tblGrid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муниципального образования Кавказский район (далее - отдел культуры)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не предус</w:t>
            </w:r>
            <w:bookmarkStart w:id="0" w:name="_GoBack"/>
            <w:bookmarkEnd w:id="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мотрены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5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  <w:bookmarkEnd w:id="1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учреждения, подведомственные отделу культуры администрации муниципального образования Кавказский район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176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  <w:bookmarkEnd w:id="2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Развитие и реализация культурного и духовного потенциала каждой личности, повышение качества и доступности муниципальных услуг сферы культуры муниципального образования Кавказский район для всех категорий потребителей.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свободного и оперативного доступа к информационным ресурсам и знаниям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устойчивого развития сферы культуры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сохранение и предотвращение утраты культурного наследия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услуг, предоставляемых учреждениями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профессионального искусства в </w:t>
            </w:r>
            <w:proofErr w:type="gramStart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proofErr w:type="gramEnd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учебно-методических, консультационных мероприятий для учреждений культуры района, организационно-методическое и информационно-аналитическое обеспечение учреждений культуры района, организация мероприятий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обеспечение прав граждан на участие в культурной жизни и пользование библиотеками, на свободный доступ к культурным ценностям, на поиск и получение информации, на доступность библиотек и библиотечных ресурсов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учреждений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муниципальной политики в области развития культуры, искусства, дополнительного образования детей, библиотечного обслуживания населения и кино, сохранения и использования историко-культурного достояния в интересах всех категорий населения Кавказского района в пределах своей компетенции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 организация социально-эффективного и экономически целесообразного библиотечного обслуживания населения района предоставление компенсационных выплат на возмещение расходов по оплате жилья, отопления и освещения специалистами села муниципальных учреждений культуры и искусства, работающим и проживающим в сельских населенных пунктах, в порядке, по нормам и нормативам, определенным действующим законодательством</w:t>
            </w:r>
            <w:proofErr w:type="gramEnd"/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упорядочение системы сбора, регистрации и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обобщение информации об имуществе, обязательствах обслуживаемых учреждений и их движении путём сплошного, непрерывного и документального оформления всех хозяйственных операций, а также ведение учёта и отчетности по поступающим средствам различных уровней бюджета и внебюджетных источников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6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  <w:bookmarkEnd w:id="3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охват детей школьного возраста (5 - 18 лет) эстетическим образованием, предоставляемым детскими музыкальными, художественными школами и школами искусств;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детей, обучающихся в школах дополнительного образования;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число учебных, консультативных и методических мероприятий, проведенных для учреждений в сфере культуры и искусства;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число пользователей библиотеками в расчете на 1000 человек населения;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количество культурно-массовых мероприятий, проведенных на территории муниципального образования Кавказский район;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количество краевых (всероссийских) мероприятий, в которых приняло участие муниципальное образование Кавказский район;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количество получателей услуг (пользователей библиотек муниципального образования Кавказский район, физических лиц);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обновление книжных фондов библиотек муниципального образования Кавказский район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 культуры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7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  <w:bookmarkEnd w:id="4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реализации: 2015 - 2021 годы, этапы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не предусмотрены</w:t>
            </w:r>
          </w:p>
        </w:tc>
      </w:tr>
    </w:tbl>
    <w:p w:rsidR="00404936" w:rsidRPr="00404936" w:rsidRDefault="00404936" w:rsidP="00522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23" w:type="dxa"/>
        <w:tblLook w:val="00A0" w:firstRow="1" w:lastRow="0" w:firstColumn="1" w:lastColumn="0" w:noHBand="0" w:noVBand="0"/>
      </w:tblPr>
      <w:tblGrid>
        <w:gridCol w:w="2683"/>
        <w:gridCol w:w="6666"/>
        <w:gridCol w:w="222"/>
      </w:tblGrid>
      <w:tr w:rsidR="00102862" w:rsidRPr="00404936" w:rsidTr="007B1ACF">
        <w:tc>
          <w:tcPr>
            <w:tcW w:w="8901" w:type="dxa"/>
            <w:gridSpan w:val="2"/>
          </w:tcPr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2114"/>
              <w:gridCol w:w="7525"/>
            </w:tblGrid>
            <w:tr w:rsidR="00102862" w:rsidRPr="00B36982" w:rsidTr="007B1ACF">
              <w:trPr>
                <w:trHeight w:val="1842"/>
              </w:trPr>
              <w:tc>
                <w:tcPr>
                  <w:tcW w:w="2114" w:type="dxa"/>
                </w:tcPr>
                <w:p w:rsidR="00102862" w:rsidRPr="00B36982" w:rsidRDefault="00102862" w:rsidP="00FF171E">
                  <w:pPr>
                    <w:pStyle w:val="msonormalbullet2gif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36982">
                    <w:rPr>
                      <w:sz w:val="28"/>
                      <w:szCs w:val="28"/>
                    </w:rPr>
                    <w:t>Объемы бюджетных ассигнований муниципальной программы</w:t>
                  </w:r>
                </w:p>
              </w:tc>
              <w:tc>
                <w:tcPr>
                  <w:tcW w:w="7525" w:type="dxa"/>
                </w:tcPr>
                <w:p w:rsidR="007B1ACF" w:rsidRDefault="00102862" w:rsidP="007B1AC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6982">
                    <w:rPr>
                      <w:rFonts w:ascii="Times New Roman" w:hAnsi="Times New Roman"/>
                      <w:sz w:val="28"/>
                      <w:szCs w:val="28"/>
                    </w:rPr>
                    <w:t>Всего на 2015-2021 годы –</w:t>
                  </w:r>
                  <w:r w:rsidR="007B1AC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B1ACF" w:rsidRPr="0042488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506360,8 </w:t>
                  </w:r>
                  <w:r w:rsidRPr="00B36982">
                    <w:rPr>
                      <w:rFonts w:ascii="Times New Roman" w:hAnsi="Times New Roman"/>
                      <w:sz w:val="28"/>
                      <w:szCs w:val="28"/>
                    </w:rPr>
                    <w:t>тыс. руб., из них по годам:</w:t>
                  </w:r>
                </w:p>
                <w:p w:rsidR="007B1ACF" w:rsidRDefault="007B1ACF" w:rsidP="007B1ACF">
                  <w:pP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</w:t>
                  </w:r>
                  <w:r w:rsidRPr="0042488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2015 год -  </w:t>
                  </w:r>
                  <w:r w:rsidRPr="00424885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74429,2 </w:t>
                  </w:r>
                  <w:r w:rsidRPr="0042488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тыс. рублей;</w:t>
                  </w:r>
                </w:p>
                <w:p w:rsidR="007B1ACF" w:rsidRPr="007B1ACF" w:rsidRDefault="007B1ACF" w:rsidP="007B1AC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</w:t>
                  </w:r>
                  <w:r w:rsidRPr="0042488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2016 год -  71364,6 тыс. рублей;</w:t>
                  </w:r>
                </w:p>
              </w:tc>
            </w:tr>
          </w:tbl>
          <w:p w:rsidR="00102862" w:rsidRDefault="00102862"/>
        </w:tc>
        <w:tc>
          <w:tcPr>
            <w:tcW w:w="222" w:type="dxa"/>
          </w:tcPr>
          <w:p w:rsidR="00102862" w:rsidRDefault="00102862"/>
        </w:tc>
      </w:tr>
      <w:tr w:rsidR="007B1ACF" w:rsidRPr="00EA0668" w:rsidTr="007B1ACF">
        <w:tc>
          <w:tcPr>
            <w:tcW w:w="2376" w:type="dxa"/>
          </w:tcPr>
          <w:p w:rsidR="007B1ACF" w:rsidRPr="009B5311" w:rsidRDefault="007B1ACF" w:rsidP="007B1ACF">
            <w:pPr>
              <w:pStyle w:val="msonormalbullet2gi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747" w:type="dxa"/>
            <w:gridSpan w:val="2"/>
          </w:tcPr>
          <w:p w:rsidR="007B1ACF" w:rsidRPr="00424885" w:rsidRDefault="007B1ACF" w:rsidP="007B1ACF">
            <w:pPr>
              <w:pStyle w:val="a3"/>
              <w:ind w:left="-415" w:firstLine="41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4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 год -  80390,2 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2018 год -  70935,8 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2019 год -  70935,8  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2020 год -  69152,6 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90A70">
              <w:rPr>
                <w:rFonts w:ascii="Times New Roman" w:hAnsi="Times New Roman"/>
                <w:sz w:val="28"/>
                <w:szCs w:val="28"/>
              </w:rPr>
              <w:t xml:space="preserve">  69152,6 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из сре</w:t>
            </w:r>
            <w:r>
              <w:rPr>
                <w:rFonts w:ascii="Times New Roman" w:hAnsi="Times New Roman"/>
                <w:sz w:val="28"/>
                <w:szCs w:val="28"/>
              </w:rPr>
              <w:t>дств местного бюджета – 463660,8</w:t>
            </w:r>
            <w:r w:rsidRPr="00790A70">
              <w:rPr>
                <w:rFonts w:ascii="Times New Roman" w:hAnsi="Times New Roman"/>
                <w:sz w:val="28"/>
                <w:szCs w:val="28"/>
              </w:rPr>
              <w:t xml:space="preserve">  тыс.  руб., в том числе по годам: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2015 год -  59036,3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2016 год -  61335,1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 год -  72221,4</w:t>
            </w:r>
            <w:r w:rsidRPr="00790A70">
              <w:rPr>
                <w:rFonts w:ascii="Times New Roman" w:hAnsi="Times New Roman"/>
                <w:sz w:val="28"/>
                <w:szCs w:val="28"/>
              </w:rPr>
              <w:t>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2018 год -  67767,0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2019 год -  67767,0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2020 год -  67767,0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2021 год -  67767,0 тыс. рублей;</w:t>
            </w:r>
          </w:p>
          <w:p w:rsidR="007B1ACF" w:rsidRPr="007B1ACF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из сре</w:t>
            </w:r>
            <w:proofErr w:type="gramStart"/>
            <w:r w:rsidRPr="00790A70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90A70">
              <w:rPr>
                <w:rFonts w:ascii="Times New Roman" w:hAnsi="Times New Roman"/>
                <w:sz w:val="28"/>
                <w:szCs w:val="28"/>
              </w:rPr>
              <w:t xml:space="preserve">аевого бюджета </w:t>
            </w:r>
            <w:r w:rsidRPr="007B1ACF">
              <w:rPr>
                <w:rFonts w:ascii="Times New Roman" w:hAnsi="Times New Roman"/>
                <w:sz w:val="28"/>
                <w:szCs w:val="28"/>
              </w:rPr>
              <w:t>– 28165,0 тыс. руб., в том числе по годам:</w:t>
            </w:r>
          </w:p>
          <w:p w:rsidR="007B1ACF" w:rsidRPr="007B1ACF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ACF">
              <w:rPr>
                <w:rFonts w:ascii="Times New Roman" w:hAnsi="Times New Roman"/>
                <w:sz w:val="28"/>
                <w:szCs w:val="28"/>
              </w:rPr>
              <w:t>2015 год -  8624,4 тыс. рублей;</w:t>
            </w:r>
          </w:p>
          <w:p w:rsidR="007B1ACF" w:rsidRPr="007B1ACF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ACF">
              <w:rPr>
                <w:rFonts w:ascii="Times New Roman" w:hAnsi="Times New Roman"/>
                <w:sz w:val="28"/>
                <w:szCs w:val="28"/>
              </w:rPr>
              <w:t>2016 год -  8441,0 тыс. рублей;</w:t>
            </w:r>
          </w:p>
          <w:p w:rsidR="007B1ACF" w:rsidRPr="007B1ACF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ACF">
              <w:rPr>
                <w:rFonts w:ascii="Times New Roman" w:hAnsi="Times New Roman"/>
                <w:sz w:val="28"/>
                <w:szCs w:val="28"/>
              </w:rPr>
              <w:t>2017 год -  6933,2 тыс. рублей;</w:t>
            </w:r>
          </w:p>
          <w:p w:rsidR="007B1ACF" w:rsidRPr="007B1ACF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ACF">
              <w:rPr>
                <w:rFonts w:ascii="Times New Roman" w:hAnsi="Times New Roman"/>
                <w:sz w:val="28"/>
                <w:szCs w:val="28"/>
              </w:rPr>
              <w:t>2018 год -      1933,2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2019 год -      1933,2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2020 год -        150,0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2021 год -        150,0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из средств федерального бюджета –111,0 тыс. руб., в том числе по годам: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 xml:space="preserve">2015 год -      </w:t>
            </w:r>
            <w:r w:rsidR="006876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0A70">
              <w:rPr>
                <w:rFonts w:ascii="Times New Roman" w:hAnsi="Times New Roman"/>
                <w:sz w:val="28"/>
                <w:szCs w:val="28"/>
              </w:rPr>
              <w:t>55,0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 xml:space="preserve">2016 год -      </w:t>
            </w:r>
            <w:r w:rsidR="006876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0A70">
              <w:rPr>
                <w:rFonts w:ascii="Times New Roman" w:hAnsi="Times New Roman"/>
                <w:sz w:val="28"/>
                <w:szCs w:val="28"/>
              </w:rPr>
              <w:t>56,0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2017 год -        0,0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2018 год -        0,0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2019 год -        0,0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2020 год -        0,0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2021 год -        0,0 тыс. рублей;</w:t>
            </w:r>
          </w:p>
          <w:p w:rsidR="007B1ACF" w:rsidRPr="004367A9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 xml:space="preserve">из внебюджетных источников  </w:t>
            </w:r>
            <w:r w:rsidRPr="004367A9">
              <w:rPr>
                <w:rFonts w:ascii="Times New Roman" w:hAnsi="Times New Roman"/>
                <w:sz w:val="28"/>
                <w:szCs w:val="28"/>
              </w:rPr>
              <w:t>– 14424,0 тыс. руб., в том числе по годам:</w:t>
            </w:r>
          </w:p>
          <w:p w:rsidR="007B1ACF" w:rsidRPr="004367A9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367A9">
              <w:rPr>
                <w:rFonts w:ascii="Times New Roman" w:hAnsi="Times New Roman"/>
                <w:sz w:val="28"/>
                <w:szCs w:val="28"/>
              </w:rPr>
              <w:t>2015 год -   6713,5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367A9">
              <w:rPr>
                <w:rFonts w:ascii="Times New Roman" w:hAnsi="Times New Roman"/>
                <w:sz w:val="28"/>
                <w:szCs w:val="28"/>
              </w:rPr>
              <w:t>2016 год -   1532,5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lastRenderedPageBreak/>
              <w:t>2017 год -   1235,6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2018 год -   1235,6 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2019 год -   1235,6 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2020 год -   1235,6 тыс. рублей;</w:t>
            </w:r>
          </w:p>
          <w:p w:rsidR="007B1ACF" w:rsidRPr="00790A70" w:rsidRDefault="007B1ACF" w:rsidP="007B1A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 1235,6  тыс. рублей</w:t>
            </w:r>
            <w:r w:rsidRPr="00790A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B1ACF" w:rsidRPr="00404936" w:rsidRDefault="007B1ACF" w:rsidP="0040493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A82" w:rsidRPr="00404936" w:rsidRDefault="00227A82" w:rsidP="00227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1. Характеристика текущего состояния и прогноз развития в сфере культуры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Прошедшие годы наступившего XXI столетия стали периодом поступательного развития культуры и искусства муниципального образования Кавказский район. Существенно укрепилась материально-техническая база муниципальных учреждений культуры и искусства, их деятельность наполнилась новым содержанием.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Продолжают развиваться и совершенствовать свою деятельность образовательные учреждения в сфере культуры. Проводимые краевые, межрегиональные и российские конкурсы исполнительского мастерства, в которых принимают участие учащиеся и выпускники образовательных учреждений муниципального образования Кавказский район, свидетельствуют о постоянном повышении их уровня и возросшем авторитете школ дополнительного образования муниципального образования Кавказский район.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Вместе с тем в отрасли "Культура, искусство и кинематография" муниципального образования Кавказский район в целом за многие годы накопились трудно решаемые проблемы. Первоочередная из них - заработная плата работников культуры и искусства значительно ниже, чем в среднем по отраслям социальной сферы, что не способствует привлечению в отрасль молодых талантливых специалистов.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Структурные изменения в отрасли, связанные с реформой местного самоуправления, требуют дополнительных усилий и финансовых вливаний для сохранения единого культурного пространства в районе в целом, налаживания на новой основе культурных связей, диалога национальных культур, поддержки традиционной народной культуры.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Процессы информатизации современной жизни настоятельно требуют от учреждений культуры и искусства района внедрения информационных технологий с целью более оперативного и качественного удовлетворения запросов посетителей.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Разрабатываемую Программу предполагается ориентировать на последовательное реформирование отрасли, что позволит обеспечить: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создание условий для развития культуры района и всестороннее участие граждан в культурной жизни;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lastRenderedPageBreak/>
        <w:t>- активизацию деятельности учреждений отрасли по предоставлению (государственных) и муниципальных услуг в сфере культуры их конкурентоспособности;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повышение роли культуры в укреплении институтов гражданского общества, формировании социально активной личности, защите социально уязвимых категорий населения района;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активное использование в воспитательных целях историко-культурного наследия;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концентрацию бюджетных средств на приоритетных направлениях развития отрасли.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Программа охватывает все основные виды деятельности в сфере культуры, искусства и кинематографии.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настоящее время инфраструктура в области культуры насчитывает 5</w:t>
      </w:r>
      <w:r w:rsidR="0012093E">
        <w:rPr>
          <w:rFonts w:ascii="Times New Roman" w:hAnsi="Times New Roman" w:cs="Times New Roman"/>
          <w:sz w:val="28"/>
          <w:szCs w:val="28"/>
        </w:rPr>
        <w:t>7</w:t>
      </w:r>
      <w:r w:rsidRPr="000101A1">
        <w:rPr>
          <w:rFonts w:ascii="Times New Roman" w:hAnsi="Times New Roman" w:cs="Times New Roman"/>
          <w:sz w:val="28"/>
          <w:szCs w:val="28"/>
        </w:rPr>
        <w:t xml:space="preserve"> учреждений: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16 - домов культуры и клубов;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5 - учреждений дополнительного образования детей;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2 - кинотеатра;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2</w:t>
      </w:r>
      <w:r w:rsidR="0012093E">
        <w:rPr>
          <w:rFonts w:ascii="Times New Roman" w:hAnsi="Times New Roman" w:cs="Times New Roman"/>
          <w:sz w:val="28"/>
          <w:szCs w:val="28"/>
        </w:rPr>
        <w:t>8</w:t>
      </w:r>
      <w:r w:rsidRPr="000101A1">
        <w:rPr>
          <w:rFonts w:ascii="Times New Roman" w:hAnsi="Times New Roman" w:cs="Times New Roman"/>
          <w:sz w:val="28"/>
          <w:szCs w:val="28"/>
        </w:rPr>
        <w:t xml:space="preserve"> - библиотек;</w:t>
      </w:r>
    </w:p>
    <w:p w:rsidR="00FC1769" w:rsidRPr="000101A1" w:rsidRDefault="00D42054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музей</w:t>
      </w:r>
      <w:r w:rsidR="00FC1769" w:rsidRPr="000101A1">
        <w:rPr>
          <w:rFonts w:ascii="Times New Roman" w:hAnsi="Times New Roman" w:cs="Times New Roman"/>
          <w:sz w:val="28"/>
          <w:szCs w:val="28"/>
        </w:rPr>
        <w:t>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1 - парк культуры и отдыха;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1 - организационно-методический центр культуры;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2 - цент</w:t>
      </w:r>
      <w:r w:rsidR="00D42054">
        <w:rPr>
          <w:rFonts w:ascii="Times New Roman" w:hAnsi="Times New Roman" w:cs="Times New Roman"/>
          <w:sz w:val="28"/>
          <w:szCs w:val="28"/>
        </w:rPr>
        <w:t>рализованные</w:t>
      </w:r>
      <w:r w:rsidRPr="000101A1">
        <w:rPr>
          <w:rFonts w:ascii="Times New Roman" w:hAnsi="Times New Roman" w:cs="Times New Roman"/>
          <w:sz w:val="28"/>
          <w:szCs w:val="28"/>
        </w:rPr>
        <w:t xml:space="preserve"> бухгалтерии.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Сеть клубных учреждений в муниципальном образовании Кавказский район представлена 15 единицами: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8 социально-культурных центров;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1 дом культуры;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6 клубов.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клубных учреждениях в 2013 году осуществляли свою деятельность: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- 213 клубных формирований, на 3 единицы больше чем в 2010 и 2011 году с количеством участников 7498 человек, (6 % охвата населения);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из них для детей и подростков до 14 лет - 114 клубных формирований с количеством участников 2633 человека (23,5 % охвата от учащихся района);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из общего числа формирований - 109 коллективов художественной самодеятельности, которые посещают 2625 человек (2 % охвата населения);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из них для детей до 14 лет - 69 коллективов, которые посещают 1818 человек (16 % охвата от учащихся района).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24 - коллектива имеют звание 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народный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, образцовый.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5-ти школах дополнительного образования детей обучаются 1347 человек (13,5 % от учащихся по району);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районе работает 29 библиотек. В них зарегистрировано 53,2 тыс. чел. или 42,6 % населения района (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по краю % охвата населения 31,9).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Охват детского населения - почти 100 %.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lastRenderedPageBreak/>
        <w:t>За 2013 год учреждениями культуры проведено более 11 тысяч мероприятий, на которых присутствовало более 800 тысяч человек (многократный охват населения).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Использование программно-целевого метода позволит путем конкурсного отбора поддержать и профинансировать наиболее социально значимые творческие проекты, связанные как с внутренними процессами развития отрасли "Культура, искусство и кинематография" в целом и составляющих ее </w:t>
      </w:r>
      <w:proofErr w:type="spellStart"/>
      <w:r w:rsidRPr="000101A1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0101A1">
        <w:rPr>
          <w:rFonts w:ascii="Times New Roman" w:hAnsi="Times New Roman" w:cs="Times New Roman"/>
          <w:sz w:val="28"/>
          <w:szCs w:val="28"/>
        </w:rPr>
        <w:t>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Система планируемых к реализации мероприятий в сфере культуры включает в себя: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создание благоприятных условий для приобщения жителей Кавказского района к культурным ценностям, развитие и взаимодействие национальных культур народов и этнических групп, проживающих на территории района;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повышение качества, доступности и эффективности организации досуга населения Кавказского района, сохранение, популяризация и охрана объектов культурного наследия (памятников истории и культуры);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расширение доступа различных категорий населения Кавказского района к достижениям культуры, искусства и кинематографии, информационным ресурсам;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формирование у детей и молодежи ценностных ориентиров и нравственных норм, основанных на культурно-исторических и духовных традициях России, Кубани и Кавказского района;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совершенствование форм и методов духовно-нравственного, информационного развития детей и молодежи, поддержка одаренных детей.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DE74A6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показатели, сроки и этапы реализации муниципальной программы, позволяющие оценить эффективность ее реализации по годам, приведены в </w:t>
      </w:r>
      <w:hyperlink w:anchor="sub_1100" w:history="1">
        <w:r w:rsidRPr="00DE74A6">
          <w:rPr>
            <w:rFonts w:ascii="Times New Roman" w:hAnsi="Times New Roman" w:cs="Times New Roman"/>
            <w:sz w:val="28"/>
            <w:szCs w:val="28"/>
          </w:rPr>
          <w:t>приложении N 1</w:t>
        </w:r>
      </w:hyperlink>
      <w:r w:rsidRPr="00DE74A6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90"/>
      <w:r w:rsidRPr="00DE74A6">
        <w:rPr>
          <w:rFonts w:ascii="Times New Roman" w:hAnsi="Times New Roman" w:cs="Times New Roman"/>
          <w:sz w:val="28"/>
          <w:szCs w:val="28"/>
        </w:rPr>
        <w:t>Срок реализации программы 2015 - 2021 год</w:t>
      </w:r>
      <w:r w:rsidRPr="000101A1">
        <w:rPr>
          <w:rFonts w:ascii="Times New Roman" w:hAnsi="Times New Roman" w:cs="Times New Roman"/>
          <w:sz w:val="28"/>
          <w:szCs w:val="28"/>
        </w:rPr>
        <w:t>ы.</w:t>
      </w:r>
    </w:p>
    <w:bookmarkEnd w:id="5"/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6" w:name="sub_300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3. Перечень и краткое описание подпрограмм, ведомственных целевых программ и основных мероприятий муниципальной программы</w:t>
      </w:r>
    </w:p>
    <w:bookmarkEnd w:id="6"/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рамках муниципальной программы предусмотрены отдельные мероприятия, направленные на осуществление муниципальной политики в области культуры и искусства, осуществляемые отделом культуры.</w:t>
      </w:r>
    </w:p>
    <w:p w:rsidR="00E0656A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представлен в </w:t>
      </w:r>
      <w:hyperlink w:anchor="sub_1200" w:history="1">
        <w:r w:rsidRPr="00DE74A6">
          <w:rPr>
            <w:rFonts w:ascii="Times New Roman" w:hAnsi="Times New Roman" w:cs="Times New Roman"/>
            <w:sz w:val="28"/>
            <w:szCs w:val="28"/>
          </w:rPr>
          <w:t>приложении N 2</w:t>
        </w:r>
      </w:hyperlink>
      <w:r w:rsidRPr="00DE74A6">
        <w:rPr>
          <w:rFonts w:ascii="Times New Roman" w:hAnsi="Times New Roman" w:cs="Times New Roman"/>
          <w:sz w:val="28"/>
          <w:szCs w:val="28"/>
        </w:rPr>
        <w:t>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7" w:name="sub_400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4. Обоснование ресурсного обеспечения муниципальной программы</w:t>
      </w:r>
    </w:p>
    <w:bookmarkEnd w:id="7"/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lastRenderedPageBreak/>
        <w:t>Финансирование мероприятий муниципальной программы предусматривается осуществлять за счет средств местного бюджета с возможным привлечением сре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аевого бюджета, федерального бюджета и внебюджетных источников.</w:t>
      </w:r>
    </w:p>
    <w:p w:rsidR="003C6570" w:rsidRPr="001F0DAF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финансовых ресурсов, предусмотренных на реализацию муниципальной программы представлен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300" w:history="1">
        <w:r w:rsidRPr="001F0DAF">
          <w:rPr>
            <w:rFonts w:ascii="Times New Roman" w:hAnsi="Times New Roman" w:cs="Times New Roman"/>
            <w:sz w:val="28"/>
            <w:szCs w:val="28"/>
          </w:rPr>
          <w:t>приложении N 3</w:t>
        </w:r>
      </w:hyperlink>
      <w:r w:rsidRPr="001F0DAF">
        <w:rPr>
          <w:rFonts w:ascii="Times New Roman" w:hAnsi="Times New Roman" w:cs="Times New Roman"/>
          <w:sz w:val="28"/>
          <w:szCs w:val="28"/>
        </w:rPr>
        <w:t>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sz w:val="28"/>
          <w:szCs w:val="28"/>
        </w:rPr>
        <w:t>Предоставление субсидии муниципальным учреждениям, подведомственным отделу культуры, на выполнение муниципального задания осуществляется координатором муниципальной программы в порядке, установленном постановлением администрации муниципального образования Кавказский район от 8 ноября 2010 года N 1014 "О порядке формирования муниципального задания в отношении муниципальных казенных, бюджетных и автономных учреждений муниципального образования Кавказский район и финансового обеспечения выполнения муниципального задания".</w:t>
      </w:r>
      <w:proofErr w:type="gramEnd"/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случае привлечения сре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аевого бюджета порядок предоставления и распределения указанных средств муниципальным образованиям Краснодарского края устанавливается соответствующим нормативным правовым актом администрации Краснодарского края.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случае привлечения средств федерального бюджета порядок предоставления и распределения указанных средств определяется соответствующим нормативным правовым актом Правительства Российской Федерации.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sz w:val="28"/>
          <w:szCs w:val="28"/>
        </w:rPr>
        <w:t xml:space="preserve">Так, субвенции органам местного самоуправления муниципальных образований Краснодарского края на реализацию переданных государственных полномочий по предоставлению компенсации педагогическим работникам образовательных учреждений предоставляются в соответствии </w:t>
      </w:r>
      <w:r w:rsidRPr="001F0DAF">
        <w:rPr>
          <w:rFonts w:ascii="Times New Roman" w:hAnsi="Times New Roman" w:cs="Times New Roman"/>
          <w:sz w:val="28"/>
          <w:szCs w:val="28"/>
        </w:rPr>
        <w:t xml:space="preserve">с </w:t>
      </w:r>
      <w:hyperlink r:id="rId7" w:history="1">
        <w:r w:rsidRPr="001F0DA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0DAF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r w:rsidRPr="000101A1">
        <w:rPr>
          <w:rFonts w:ascii="Times New Roman" w:hAnsi="Times New Roman" w:cs="Times New Roman"/>
          <w:sz w:val="28"/>
          <w:szCs w:val="28"/>
        </w:rPr>
        <w:t xml:space="preserve"> края от 15 декабря 2004 года N 805-КЗ "О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сферы".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Порядок предоставления и расходования указанных субвенций определяется нормативным правовым актом главы администрации (губернатора) Краснодарского края.</w:t>
      </w:r>
    </w:p>
    <w:p w:rsidR="00D62F34" w:rsidRPr="00D62F34" w:rsidRDefault="00D62F34" w:rsidP="00D62F3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8" w:name="sub_500"/>
      <w:r w:rsidRPr="00D62F34">
        <w:rPr>
          <w:rFonts w:ascii="Times New Roman" w:hAnsi="Times New Roman" w:cs="Times New Roman"/>
          <w:b/>
          <w:bCs/>
          <w:color w:val="26282F"/>
          <w:sz w:val="28"/>
          <w:szCs w:val="28"/>
        </w:rPr>
        <w:t>5. 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на очередной финансовый год и плановый период</w:t>
      </w:r>
    </w:p>
    <w:bookmarkEnd w:id="8"/>
    <w:p w:rsidR="00D62F34" w:rsidRPr="00D62F34" w:rsidRDefault="00D62F34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2F34" w:rsidRPr="001F0DAF" w:rsidRDefault="00D62F34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2F34">
        <w:rPr>
          <w:rFonts w:ascii="Times New Roman" w:hAnsi="Times New Roman" w:cs="Times New Roman"/>
          <w:sz w:val="28"/>
          <w:szCs w:val="28"/>
        </w:rPr>
        <w:t xml:space="preserve">Прогноз сводных показателей муниципальных заданий на оказание муниципальных услуг муниципальными учреждениями, подведомственными </w:t>
      </w:r>
      <w:r w:rsidRPr="00D62F34">
        <w:rPr>
          <w:rFonts w:ascii="Times New Roman" w:hAnsi="Times New Roman" w:cs="Times New Roman"/>
          <w:sz w:val="28"/>
          <w:szCs w:val="28"/>
        </w:rPr>
        <w:lastRenderedPageBreak/>
        <w:t xml:space="preserve">отделу культуры, на очередной финансовый год и плановый период представлен в </w:t>
      </w:r>
      <w:hyperlink w:anchor="sub_1400" w:history="1">
        <w:r w:rsidRPr="001F0DAF">
          <w:rPr>
            <w:rFonts w:ascii="Times New Roman" w:hAnsi="Times New Roman" w:cs="Times New Roman"/>
            <w:sz w:val="28"/>
            <w:szCs w:val="28"/>
          </w:rPr>
          <w:t>приложении N 4</w:t>
        </w:r>
      </w:hyperlink>
      <w:r w:rsidRPr="001F0DAF">
        <w:rPr>
          <w:rFonts w:ascii="Times New Roman" w:hAnsi="Times New Roman" w:cs="Times New Roman"/>
          <w:sz w:val="28"/>
          <w:szCs w:val="28"/>
        </w:rPr>
        <w:t>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6. Меры муниципального регулирования и управления рисками с целью минимизации их влияния на достижение целей муниципальной программы не предусмотрены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Реализация мероприятий муниципальной программы сопряжена со следующими рисками, способными существенно повлиять на сроки и результаты реализации муниципальной программы: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61"/>
      <w:r w:rsidRPr="00E56859">
        <w:rPr>
          <w:rFonts w:ascii="Times New Roman" w:hAnsi="Times New Roman" w:cs="Times New Roman"/>
          <w:sz w:val="28"/>
          <w:szCs w:val="28"/>
        </w:rPr>
        <w:t>1) 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62"/>
      <w:bookmarkEnd w:id="9"/>
      <w:r w:rsidRPr="00E56859">
        <w:rPr>
          <w:rFonts w:ascii="Times New Roman" w:hAnsi="Times New Roman" w:cs="Times New Roman"/>
          <w:sz w:val="28"/>
          <w:szCs w:val="28"/>
        </w:rPr>
        <w:t>2) 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63"/>
      <w:bookmarkEnd w:id="10"/>
      <w:r w:rsidRPr="00E56859">
        <w:rPr>
          <w:rFonts w:ascii="Times New Roman" w:hAnsi="Times New Roman" w:cs="Times New Roman"/>
          <w:sz w:val="28"/>
          <w:szCs w:val="28"/>
        </w:rPr>
        <w:t>3) 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района и переориентации на ликвидацию последствий техногенных или экологических катастроф.</w:t>
      </w:r>
    </w:p>
    <w:bookmarkEnd w:id="11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В целях управления указанными рисками в процессе реализации муниципальной программы предусматривается: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обеспечение сбалансированного распределения финансовых средств по основным мероприятиям в соответствии с ожидаемыми конечными результатами, ежегодное уточнение объемов финансовых средств, предусмотренных на реализацию программных мероприятий, в зависимости от достигнутых результатов;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проведение мониторинга выполнения государственной программы, регулярного анализа и при необходимости ежегодной корректировки целевых показателей, а так же мероприятий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2" w:name="sub_700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7. Меры правового регулирования в сфере реализации муниципальной программы</w:t>
      </w:r>
    </w:p>
    <w:bookmarkEnd w:id="12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Меры правового регулирования в сфере реализации муниципальной программы не предусмотрены.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3" w:name="sub_800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 Методика оценки эффективности реализации муниципальной программы</w:t>
      </w:r>
    </w:p>
    <w:bookmarkEnd w:id="13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4" w:name="sub_801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8.1. Общие положения</w:t>
      </w:r>
    </w:p>
    <w:bookmarkEnd w:id="14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802"/>
      <w:r w:rsidRPr="00E56859">
        <w:rPr>
          <w:rFonts w:ascii="Times New Roman" w:hAnsi="Times New Roman" w:cs="Times New Roman"/>
          <w:sz w:val="28"/>
          <w:szCs w:val="28"/>
        </w:rPr>
        <w:lastRenderedPageBreak/>
        <w:t>8.1.1. Оценка эффективности реализации муниципальной программы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803"/>
      <w:bookmarkEnd w:id="15"/>
      <w:r w:rsidRPr="00E56859">
        <w:rPr>
          <w:rFonts w:ascii="Times New Roman" w:hAnsi="Times New Roman" w:cs="Times New Roman"/>
          <w:sz w:val="28"/>
          <w:szCs w:val="28"/>
        </w:rPr>
        <w:t>8.1.2. Оценка эффективности реализации муниципальной программы осуществляется в два этапа.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804"/>
      <w:bookmarkEnd w:id="16"/>
      <w:r w:rsidRPr="00E56859">
        <w:rPr>
          <w:rFonts w:ascii="Times New Roman" w:hAnsi="Times New Roman" w:cs="Times New Roman"/>
          <w:sz w:val="28"/>
          <w:szCs w:val="28"/>
        </w:rPr>
        <w:t>8.1.2.1. На первом этапе осуществляется оценка эффективности реализации каждого основного мероприятия, включенного в муниципальную программу, и включает:</w:t>
      </w:r>
    </w:p>
    <w:bookmarkEnd w:id="17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оценку степени реализации основных мероприятий и достижения ожидаемых непосредственных результатов их реализации;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оценку степени соответствия запланированному уровню расходов;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оценку эффективности использования средств местного бюджета;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оценку степени достижения целей и решения задач основных мероприятий, входящих в муниципальную программу (далее - оценка степени реализации основного мероприятия);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805"/>
      <w:r w:rsidRPr="00E56859">
        <w:rPr>
          <w:rFonts w:ascii="Times New Roman" w:hAnsi="Times New Roman" w:cs="Times New Roman"/>
          <w:sz w:val="28"/>
          <w:szCs w:val="28"/>
        </w:rPr>
        <w:t>8.1.2.2.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bookmarkEnd w:id="18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9" w:name="sub_806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8.2. Оценка степени реализации основных мероприятий и достижения ожидаемых непосредственных результатов их реализации</w:t>
      </w:r>
    </w:p>
    <w:bookmarkEnd w:id="19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807"/>
      <w:r w:rsidRPr="00E56859">
        <w:rPr>
          <w:rFonts w:ascii="Times New Roman" w:hAnsi="Times New Roman" w:cs="Times New Roman"/>
          <w:sz w:val="28"/>
          <w:szCs w:val="28"/>
        </w:rPr>
        <w:t>8.2.1. Степень реализации мероприятий оценивается для каждого основного мероприятия, как доля мероприятий выполненных в полном объеме по следующей формуле:</w:t>
      </w:r>
    </w:p>
    <w:bookmarkEnd w:id="20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76300" cy="203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808"/>
      <w:r w:rsidRPr="00E56859">
        <w:rPr>
          <w:rFonts w:ascii="Times New Roman" w:hAnsi="Times New Roman" w:cs="Times New Roman"/>
          <w:sz w:val="28"/>
          <w:szCs w:val="28"/>
        </w:rPr>
        <w:t>8.2.2. Мероприятие может считаться выполненным в полном объеме при достижении следующих результатов: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809"/>
      <w:bookmarkEnd w:id="21"/>
      <w:r w:rsidRPr="00E56859">
        <w:rPr>
          <w:rFonts w:ascii="Times New Roman" w:hAnsi="Times New Roman" w:cs="Times New Roman"/>
          <w:sz w:val="28"/>
          <w:szCs w:val="28"/>
        </w:rPr>
        <w:t xml:space="preserve">8.2.2.1.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95 %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proofErr w:type="gramEnd"/>
    </w:p>
    <w:bookmarkEnd w:id="22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lastRenderedPageBreak/>
        <w:t>Выполнение данного условия подразумевает, что в случае, если степень достижения показателя результата составляет менее 100 %,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росте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</w:t>
      </w:r>
      <w:r w:rsidR="007436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При этом мероприятие может считаться выполненным только в случае, если темпы ухудшения значений показателя результата, ниже темпов сокращения расходов на реализацию мероприятия (например, допускается снижение на 1 % значения показателя результата, если расходы сократились не менее чем на 1 % в отчетном году по сравнению с годом, предшествующим отчетному.</w:t>
      </w:r>
      <w:proofErr w:type="gramEnd"/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810"/>
      <w:r w:rsidRPr="00E56859">
        <w:rPr>
          <w:rFonts w:ascii="Times New Roman" w:hAnsi="Times New Roman" w:cs="Times New Roman"/>
          <w:sz w:val="28"/>
          <w:szCs w:val="28"/>
        </w:rPr>
        <w:t xml:space="preserve">8.2.2.2.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местного бюджета,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>:</w:t>
      </w:r>
    </w:p>
    <w:bookmarkEnd w:id="23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- соглашением о порядке и условиях предоставления субсидии на финансовое обеспечение выполнения муниципального задания, заключаемого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бюджетным или муниципальными автономным учреждением муниципального образования Кавказский район и органом исполнительной власти муниципального образования Кавказский район, осуществляющим функции и полномочия его учредителя;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показателями бюджетной сметы муниципального казенного учреждения.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811"/>
      <w:r w:rsidRPr="00E56859">
        <w:rPr>
          <w:rFonts w:ascii="Times New Roman" w:hAnsi="Times New Roman" w:cs="Times New Roman"/>
          <w:sz w:val="28"/>
          <w:szCs w:val="28"/>
        </w:rPr>
        <w:t xml:space="preserve">8.2.2.3. По иным мероприятиям результаты реализации могут оцениваться наступление или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ненаступление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контрольного события (событий) и (или) достижение качественного результата.</w:t>
      </w:r>
    </w:p>
    <w:bookmarkEnd w:id="24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5" w:name="sub_812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8.3. Оценка степени соответствия запланированному уровню расходов</w:t>
      </w:r>
    </w:p>
    <w:bookmarkEnd w:id="25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813"/>
      <w:r w:rsidRPr="00E56859">
        <w:rPr>
          <w:rFonts w:ascii="Times New Roman" w:hAnsi="Times New Roman" w:cs="Times New Roman"/>
          <w:sz w:val="28"/>
          <w:szCs w:val="28"/>
        </w:rPr>
        <w:t>8.3.1. 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bookmarkEnd w:id="26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01700" cy="2032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основного мероприятия в отчетном году;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56859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объемы бюджетных ассигнований, предусмотренные на реализацию основного мероприятия в краевом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  <w:proofErr w:type="gramEnd"/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814"/>
      <w:r w:rsidRPr="00E56859">
        <w:rPr>
          <w:rFonts w:ascii="Times New Roman" w:hAnsi="Times New Roman" w:cs="Times New Roman"/>
          <w:sz w:val="28"/>
          <w:szCs w:val="28"/>
        </w:rPr>
        <w:t>8.3.2.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"степень соответствия запланированному уровню расходов" только бюджетные расходы либо расходы из всех источников.</w:t>
      </w:r>
    </w:p>
    <w:bookmarkEnd w:id="27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8" w:name="sub_815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8.4. Оценка эффективности использования средств местного бюджета</w:t>
      </w:r>
    </w:p>
    <w:bookmarkEnd w:id="28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Эффективность использования бюджетных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формуле:</w:t>
      </w:r>
    </w:p>
    <w:p w:rsidR="00E56859" w:rsidRPr="00CD44A7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CD44A7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44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0300" cy="203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44A7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CD44A7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местного бюджета;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местного бюджета;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средств местного бюджета.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Если доля финансового обеспечения реализации основного мероприятия из местного бюджета составляет менее 75 %,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основного мероприятия. Данный показатель рассчитывается по формуле: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0300" cy="203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всех источников.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9" w:name="sub_816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>8.5. Оценка степени достижения целей и решения задач основных мероприятий</w:t>
      </w:r>
    </w:p>
    <w:bookmarkEnd w:id="29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817"/>
      <w:r w:rsidRPr="00E56859">
        <w:rPr>
          <w:rFonts w:ascii="Times New Roman" w:hAnsi="Times New Roman" w:cs="Times New Roman"/>
          <w:sz w:val="28"/>
          <w:szCs w:val="28"/>
        </w:rPr>
        <w:t>8.5.1. Для оценки степени достижения целей и решения задач (далее - степень реализации) основных мероприятий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818"/>
      <w:bookmarkEnd w:id="30"/>
      <w:r w:rsidRPr="00E56859">
        <w:rPr>
          <w:rFonts w:ascii="Times New Roman" w:hAnsi="Times New Roman" w:cs="Times New Roman"/>
          <w:sz w:val="28"/>
          <w:szCs w:val="28"/>
        </w:rPr>
        <w:t>8.5.2. Степень достижения планового значения целевого показателя рассчитывается по следующим формулам:</w:t>
      </w:r>
    </w:p>
    <w:bookmarkEnd w:id="31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увеличение значений: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9600" cy="203200"/>
            <wp:effectExtent l="1905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9600" cy="2032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 (ведомственной целевой программы, основного мероприятия);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основного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фактически достигнутое на конец отчетного периода;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основного мероприятия.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819"/>
      <w:r w:rsidRPr="00E56859">
        <w:rPr>
          <w:rFonts w:ascii="Times New Roman" w:hAnsi="Times New Roman" w:cs="Times New Roman"/>
          <w:sz w:val="28"/>
          <w:szCs w:val="28"/>
        </w:rPr>
        <w:t>8.5.3. Степень реализации подпрограммы основного мероприятия рассчитывается по формуле:</w:t>
      </w:r>
    </w:p>
    <w:bookmarkEnd w:id="32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0200" cy="635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N - число целевых показателей подпрограммы основного мероприятия.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формуле в случаях, если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&gt; 1,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При оценке степени реализации основного мероприятия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следующую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>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62100" cy="635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удельный вес, отражающий значимость целевого показателя, </w:t>
      </w: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330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 xml:space="preserve"> = 1.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3" w:name="sub_820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8.6. Оценка эффективности реализации основных мероприятий</w:t>
      </w:r>
    </w:p>
    <w:bookmarkEnd w:id="33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821"/>
      <w:r w:rsidRPr="00E56859">
        <w:rPr>
          <w:rFonts w:ascii="Times New Roman" w:hAnsi="Times New Roman" w:cs="Times New Roman"/>
          <w:sz w:val="28"/>
          <w:szCs w:val="28"/>
        </w:rPr>
        <w:t>8.6.1. Эффективность реализации основных мероприятий оценивается в зависимости от значений оценки степени реализации и оценки эффективности использования средств местного бюджета по следующей формуле:</w:t>
      </w:r>
    </w:p>
    <w:bookmarkEnd w:id="34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60500" cy="2032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- эффективность реализации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56859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бюджетных средств (либо - по решению координатора муниципальной программы - эффективность использования финансовых ресурсов на реализацию основного мероприятия.</w:t>
      </w:r>
      <w:proofErr w:type="gramEnd"/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822"/>
      <w:r w:rsidRPr="00E56859">
        <w:rPr>
          <w:rFonts w:ascii="Times New Roman" w:hAnsi="Times New Roman" w:cs="Times New Roman"/>
          <w:sz w:val="28"/>
          <w:szCs w:val="28"/>
        </w:rPr>
        <w:t xml:space="preserve">8.6.2. Эффективность реализации основного мероприятия признается высокой в случае, если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bookmarkEnd w:id="35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Эффективность реализации основного мероприятия признается средней в случае, если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Эффективность реализации основного мероприятия признается удовлетворительной в случае, если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6" w:name="sub_823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8.7. Оценка степени достижения целей и решения задач муниципальной программы</w:t>
      </w:r>
    </w:p>
    <w:bookmarkEnd w:id="36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824"/>
      <w:r w:rsidRPr="00E56859">
        <w:rPr>
          <w:rFonts w:ascii="Times New Roman" w:hAnsi="Times New Roman" w:cs="Times New Roman"/>
          <w:sz w:val="28"/>
          <w:szCs w:val="28"/>
        </w:rPr>
        <w:t>8.7.1.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825"/>
      <w:bookmarkEnd w:id="37"/>
      <w:r w:rsidRPr="00E56859">
        <w:rPr>
          <w:rFonts w:ascii="Times New Roman" w:hAnsi="Times New Roman" w:cs="Times New Roman"/>
          <w:sz w:val="28"/>
          <w:szCs w:val="28"/>
        </w:rPr>
        <w:t>8.7.2.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bookmarkEnd w:id="38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62100" cy="2032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0" cy="2032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ЗПГПП - плановое значение целевого показателя, характеризующего цели и задачи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826"/>
      <w:r w:rsidRPr="00E56859">
        <w:rPr>
          <w:rFonts w:ascii="Times New Roman" w:hAnsi="Times New Roman" w:cs="Times New Roman"/>
          <w:sz w:val="28"/>
          <w:szCs w:val="28"/>
        </w:rPr>
        <w:t>8.7.3. Степень реализации муниципальной программы рассчитывается по формуле:</w:t>
      </w:r>
    </w:p>
    <w:bookmarkEnd w:id="39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2400" cy="584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М - число целевых показателей, характеризующих цели и задачи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&gt; 1,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следующую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>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58900" cy="584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удельный вес, отражающий значимость показателя, </w:t>
      </w: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3302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 xml:space="preserve"> = 1.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40" w:name="sub_827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8.8. Оценка эффективности реализации муниципальной программы</w:t>
      </w:r>
    </w:p>
    <w:bookmarkEnd w:id="40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8.8.1.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</w:t>
      </w:r>
      <w:r w:rsidRPr="00E56859">
        <w:rPr>
          <w:rFonts w:ascii="Times New Roman" w:hAnsi="Times New Roman" w:cs="Times New Roman"/>
          <w:sz w:val="28"/>
          <w:szCs w:val="28"/>
        </w:rPr>
        <w:lastRenderedPageBreak/>
        <w:t>нее подпрограмм (ведомственных целевых программ, основных мероприятий) по следующей формуле: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8812"/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6200" cy="635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bookmarkEnd w:id="41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- эффективность реализации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коэффициент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0400" cy="203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местного бюджета (кассового исполнения) на реализацию основного мероприятия в отчетном году;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Ф - объем фактических расходов из местного бюджета (кассового исполнения) на реализацию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829"/>
      <w:r w:rsidRPr="00E56859">
        <w:rPr>
          <w:rFonts w:ascii="Times New Roman" w:hAnsi="Times New Roman" w:cs="Times New Roman"/>
          <w:sz w:val="28"/>
          <w:szCs w:val="28"/>
        </w:rPr>
        <w:t xml:space="preserve">8.8.2. Эффективность реализации муниципальной программы признается высокой в случае, если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составляет не менее 0,90.</w:t>
      </w:r>
    </w:p>
    <w:bookmarkEnd w:id="42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, составляет не менее 0,80.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составляет не менее 0,70.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8F019E" w:rsidRDefault="008F019E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56859" w:rsidRPr="008F019E" w:rsidRDefault="008F019E" w:rsidP="008F019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9. Механизм реализации муниципальной программы и </w:t>
      </w:r>
      <w:proofErr w:type="gramStart"/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контроль за</w:t>
      </w:r>
      <w:proofErr w:type="gramEnd"/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ее выполнением</w:t>
      </w:r>
    </w:p>
    <w:p w:rsidR="003C6570" w:rsidRPr="000101A1" w:rsidRDefault="003C6570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«9.1. Текущее управление муниципальной программой осуществляет ее координатор, который: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формирует структуру муниципальной программы и перечень участников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принимает решение о необходимости внесения в установленном порядке изменений в муниципальную программу;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несет ответственность за достижение целевых показателей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разрабатывает формы отчетности для участников муниципальной программы, необходимые для осуществления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участниками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муниципального образования Кавказский район в информационно-телекоммуникационной сети "Интернет" (далее - сайт);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сайте;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муниципальной программой.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9.2. Координатор муниципальной программы ежегодно, не                           позднее 31 декабря текущего финансового года, утверждает согласованный с участниками муниципальной программы план реализации муниципальной программы на очередной год (далее - план реализации муниципальной программы) по форме согласно Приложению № 5 к муниципальной программе.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результаты ее реализации в очередном году.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основного мероприятия, нулевая длительность, возможность однозначной оценки достижения (0% или 100%), </w:t>
      </w:r>
      <w:r w:rsidRPr="00DE12EB">
        <w:rPr>
          <w:rFonts w:ascii="Times New Roman" w:hAnsi="Times New Roman" w:cs="Times New Roman"/>
          <w:sz w:val="28"/>
          <w:szCs w:val="28"/>
        </w:rPr>
        <w:tab/>
        <w:t>документальное подтверждение результата.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В обязательном порядке контрольные события выделяются по основным мероприятиям,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</w:t>
      </w:r>
      <w:r w:rsidRPr="00DE12EB">
        <w:rPr>
          <w:rFonts w:ascii="Times New Roman" w:hAnsi="Times New Roman" w:cs="Times New Roman"/>
          <w:sz w:val="28"/>
          <w:szCs w:val="28"/>
        </w:rPr>
        <w:lastRenderedPageBreak/>
        <w:t>осуществлению муниципального контроля и надзора, управлению муниципальным имуществом.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Контрольные события определяются в зависимости от содержания основных мероприятий, по которым они выделяются. 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Для основных мероприятий: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направленных на обеспечение реализации муниципальных функций (предоставление муниципальных услуг), в качестве контрольных событий при необходимости следует использовать достижение заданных показателей объема и (или) качества исполнения муниципальных функций (предоставления муниципальных услуг);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предусматривающих реализацию функций по осуществлению муниципального контроля (надзора), следует использовать контрольные события, отражающие качество, сроки, результативность осуществления контрольных (надзорных) мероприятий. 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плане реализации муниципальной программы при необходимости следует обеспечивать равномерное распределение контрольных событий в течение года.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ее координатор по согласованию с  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9.3.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финансовое управление муниципального образования Кавказский район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  <w:proofErr w:type="gramEnd"/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9.4. Мониторинг реализации муниципальной программы осуществляется по отчетным формам, утверждаемым финансовым управлением.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9.5. Координатор муниципальной программы ежеквартально, до 20-го числа месяца, следующего за отчетным кварталом, представляет в финансовое управление заполненные отчетные формы мониторинга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9.6. Координатор муниципальной программы ежегодно, до 15 февраля года, следующего за отчетным годом, направляет в финансовое управление доклад о ходе реализации муниципальной программы на бумажных и электронных носителях.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 и по каждому мероприятию подпрограмм, включенных в муниципальную программу, и основных мероприятий в разрезе источников финансирования и главных распорядителей (распорядителей) средств местного бюджета;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сведения о фактическом выполнении основных мероприятий с указанием причин их невыполнения или неполного выполнения;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сведения о соответствии фактически достигнутых целевых показателей реализации муниципальной программы и  основных мероприятий плановым показателям, установленным муниципальной программой;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оценку эффективности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основных мероприятий,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факторов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 xml:space="preserve"> и указываются в докладе о ходе реализации муниципальной программы причины, повлиявшие на такие расхождения.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По муниципальной программе, срок реализации которой завершился в отчетном году, координатор муниципальной программы представляет в финансовое управление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9.7. При реализации мероприятия муниципальной программы (основного мероприятия) координатор муниципальной программы,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9.8. Муниципальный заказчик: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заключает муниципальные контракты в установленном законодательством порядке на основании положений Федерального закона от 5 апреля 2013 года N 44-ФЗ "О контрактной системе в сфере закупок товаров, работ, услуг для обеспечения муниципальных и муниципальных нужд";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 xml:space="preserve"> проводит анализ выполнения мероприятия;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 xml:space="preserve"> несет ответственность за нецелевое и неэффективное использование выделенных в его распоряжение бюджетных средств;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формирует бюджетные заявки на финансирование мероприятия основного мероприятия, а также осуществляет иные полномочия, установленные муниципальной программой.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9.9. Главный распорядитель (распорядитель) бюджетных сре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>еделах полномочий, установленных бюджетным законодательством Российской Федерации: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предоставление субсидий и бюджетных инвестиций в установленном порядке;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соблюдение получателями субсидий и бюджетных инвестиций условий, целей и порядка, установленных при их предоставлении;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полномочия, установленные бюджетным законодательством Российской Федерации.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9.10. Исполнитель: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обеспечивает реализацию мероприятия и проводит анализ его выполнения;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представляет отчетность координатору муниципальной программы  о результатах выполнения основного мероприятия;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осуществляет иные полномочия, установленные муниципальной программой».</w:t>
      </w:r>
    </w:p>
    <w:p w:rsidR="003C6570" w:rsidRPr="000101A1" w:rsidRDefault="003C6570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5A33" w:rsidRDefault="00ED5A33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33F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3FEE" w:rsidRP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33FEE" w:rsidRP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233FEE" w:rsidRP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t>муниципального образования Кавказский район</w:t>
      </w:r>
    </w:p>
    <w:p w:rsid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t>«Развитие культуры»</w:t>
      </w:r>
    </w:p>
    <w:p w:rsidR="007B1ACF" w:rsidRPr="00790A70" w:rsidRDefault="007B1ACF" w:rsidP="007B1ACF">
      <w:pPr>
        <w:suppressAutoHyphens/>
        <w:jc w:val="center"/>
        <w:rPr>
          <w:rFonts w:ascii="Times New Roman" w:hAnsi="Times New Roman"/>
        </w:rPr>
      </w:pPr>
      <w:r w:rsidRPr="00790A70">
        <w:rPr>
          <w:rFonts w:ascii="Times New Roman" w:hAnsi="Times New Roman"/>
        </w:rPr>
        <w:t>Цели, задачи и целевые показатели муниципальной программы «Развитие культуры»</w:t>
      </w:r>
    </w:p>
    <w:p w:rsidR="007B1ACF" w:rsidRPr="00790A70" w:rsidRDefault="007B1ACF" w:rsidP="007B1ACF">
      <w:pPr>
        <w:suppressAutoHyphens/>
        <w:jc w:val="center"/>
        <w:rPr>
          <w:rFonts w:ascii="Times New Roman" w:hAnsi="Times New Roman"/>
        </w:rPr>
      </w:pPr>
    </w:p>
    <w:tbl>
      <w:tblPr>
        <w:tblW w:w="1531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10"/>
        <w:gridCol w:w="6666"/>
        <w:gridCol w:w="994"/>
        <w:gridCol w:w="708"/>
        <w:gridCol w:w="993"/>
        <w:gridCol w:w="850"/>
        <w:gridCol w:w="992"/>
        <w:gridCol w:w="851"/>
        <w:gridCol w:w="850"/>
        <w:gridCol w:w="851"/>
        <w:gridCol w:w="850"/>
      </w:tblGrid>
      <w:tr w:rsidR="007B1ACF" w:rsidRPr="00790A70" w:rsidTr="007B1ACF">
        <w:trPr>
          <w:trHeight w:val="1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 xml:space="preserve">№ </w:t>
            </w:r>
            <w:proofErr w:type="gramStart"/>
            <w:r w:rsidRPr="00790A70">
              <w:rPr>
                <w:rFonts w:ascii="Times New Roman" w:hAnsi="Times New Roman"/>
              </w:rPr>
              <w:t>п</w:t>
            </w:r>
            <w:proofErr w:type="gramEnd"/>
            <w:r w:rsidRPr="00790A70">
              <w:rPr>
                <w:rFonts w:ascii="Times New Roman" w:hAnsi="Times New Roman"/>
              </w:rPr>
              <w:t>/п</w:t>
            </w:r>
          </w:p>
        </w:tc>
        <w:tc>
          <w:tcPr>
            <w:tcW w:w="66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Ед. изм.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proofErr w:type="gramStart"/>
            <w:r w:rsidRPr="00790A70">
              <w:rPr>
                <w:rFonts w:ascii="Times New Roman" w:hAnsi="Times New Roman"/>
              </w:rPr>
              <w:t>Ста-</w:t>
            </w:r>
            <w:proofErr w:type="spellStart"/>
            <w:r w:rsidRPr="00790A70">
              <w:rPr>
                <w:rFonts w:ascii="Times New Roman" w:hAnsi="Times New Roman"/>
              </w:rPr>
              <w:t>тус</w:t>
            </w:r>
            <w:proofErr w:type="spellEnd"/>
            <w:proofErr w:type="gramEnd"/>
            <w:r w:rsidRPr="00790A70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7B1ACF" w:rsidRPr="00790A70" w:rsidTr="007B1ACF">
        <w:trPr>
          <w:trHeight w:val="3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6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 xml:space="preserve">2021 </w:t>
            </w:r>
          </w:p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год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Муниципальная программа «Развитие культуры»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pStyle w:val="a3"/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Цель: развитие и реализация культурного и духовного потенциала каждой личности, повышение эффективности муниципального управления в сфере культуры муниципального образования Кавказский район для всех категорий потребителей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2.1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pStyle w:val="a3"/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  <w:i/>
              </w:rPr>
              <w:t>Основное мероприятие № 1</w:t>
            </w:r>
            <w:r w:rsidRPr="00790A70">
              <w:rPr>
                <w:rFonts w:ascii="Times New Roman" w:hAnsi="Times New Roman"/>
              </w:rPr>
              <w:t xml:space="preserve"> «Руководство и управление в сфере культуры и искусства»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pStyle w:val="a3"/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осуществление муниципальной политики в области развития культуры, искусства, дополнительного образования детей, библиотечного обслуживания населения и кино, сохранения и использования историко-культурного достояния в интересах всех категорий населения Кавказского района в пределах своей компетенции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 xml:space="preserve">2.1.1 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pStyle w:val="a3"/>
              <w:suppressAutoHyphens/>
              <w:jc w:val="both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pStyle w:val="a3"/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054" w:rsidRPr="00D42054" w:rsidRDefault="00D42054" w:rsidP="00D42054">
            <w:pPr>
              <w:suppressAutoHyphens/>
              <w:jc w:val="center"/>
              <w:rPr>
                <w:rFonts w:ascii="Times New Roman" w:hAnsi="Times New Roman"/>
              </w:rPr>
            </w:pPr>
          </w:p>
          <w:p w:rsidR="007B1ACF" w:rsidRPr="00D42054" w:rsidRDefault="007B1ACF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D42054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054" w:rsidRPr="00D42054" w:rsidRDefault="00D42054" w:rsidP="00D42054">
            <w:pPr>
              <w:suppressAutoHyphens/>
              <w:jc w:val="center"/>
              <w:rPr>
                <w:rFonts w:ascii="Times New Roman" w:hAnsi="Times New Roman"/>
              </w:rPr>
            </w:pPr>
          </w:p>
          <w:p w:rsidR="007B1ACF" w:rsidRPr="00D42054" w:rsidRDefault="007B1ACF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D42054">
              <w:rPr>
                <w:rFonts w:ascii="Times New Roman" w:hAnsi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75</w:t>
            </w:r>
          </w:p>
        </w:tc>
      </w:tr>
      <w:tr w:rsidR="007B1ACF" w:rsidRPr="00790A70" w:rsidTr="007B1ACF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2 «Реализация дополнительных предпрофессиональных общеобразовательных программ в области искусств»</w:t>
            </w:r>
          </w:p>
        </w:tc>
      </w:tr>
      <w:tr w:rsidR="007B1ACF" w:rsidRPr="00790A70" w:rsidTr="007B1ACF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</w:rPr>
              <w:t xml:space="preserve">Задача: 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  </w:t>
            </w:r>
          </w:p>
        </w:tc>
      </w:tr>
      <w:tr w:rsidR="007B1ACF" w:rsidRPr="00790A70" w:rsidTr="007B1ACF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охват детей школьного возраста (5 - 18 лет) эстетическим образованием, предоставляемым детскими музыкальными, художественными школами и школами искусств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</w:tr>
      <w:tr w:rsidR="007B1ACF" w:rsidRPr="00790A70" w:rsidTr="007B1ACF">
        <w:trPr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lastRenderedPageBreak/>
              <w:t>2.2.2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увеличение количества детей, обучающихся в школах дополнительного 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</w:tr>
      <w:tr w:rsidR="007B1ACF" w:rsidRPr="00790A70" w:rsidTr="007B1ACF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2.2.3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</w:tr>
      <w:tr w:rsidR="007B1ACF" w:rsidRPr="00790A70" w:rsidTr="007B1ACF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2.2.4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присужденных учащимся детских школ иску</w:t>
            </w:r>
            <w:proofErr w:type="gramStart"/>
            <w:r w:rsidRPr="00790A70">
              <w:rPr>
                <w:rFonts w:ascii="Times New Roman" w:hAnsi="Times New Roman"/>
              </w:rPr>
              <w:t>сств  ст</w:t>
            </w:r>
            <w:proofErr w:type="gramEnd"/>
            <w:r w:rsidRPr="00790A70">
              <w:rPr>
                <w:rFonts w:ascii="Times New Roman" w:hAnsi="Times New Roman"/>
              </w:rPr>
              <w:t>ипендий, премий, грантов различного уровня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</w:t>
            </w:r>
          </w:p>
        </w:tc>
      </w:tr>
      <w:tr w:rsidR="007B1ACF" w:rsidRPr="00790A70" w:rsidTr="007B1ACF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3 «Организация библиотечного обслуживания населения муниципального образования Кавказский район»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обеспечение прав граждан на участие в культурной жизни и пользование библиотеками, на свободный доступ к культурным ценностям, на поиск и получение информации, на доступность библиотек и библиотечных ресурсов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число пользователей библиотеками в расчете на 1000 человек населения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460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</w:tr>
      <w:tr w:rsidR="007B1ACF" w:rsidRPr="00790A70" w:rsidTr="007B1ACF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2.3.3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обновление книжных фондов библиотек муниципального образования Кавказский район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</w:tr>
      <w:tr w:rsidR="007B1ACF" w:rsidRPr="00790A70" w:rsidTr="007B1ACF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2.3.4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получателей услуг (пользователей библиотек муниципального образования Кавказский район, физических лиц)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</w:tr>
      <w:tr w:rsidR="007B1ACF" w:rsidRPr="00790A70" w:rsidTr="007B1ACF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2.4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4 «Методическое обслуживание учреждений культуры»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организация и проведение учебно-методических, консультационных мероприятий для учреждений культуры района, организационно-методическое и информационно-аналитическое обеспечение учреждений культуры района, организация мероприятий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2.4.1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проведенных мероприятий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lastRenderedPageBreak/>
              <w:t>2.4.2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2.4.3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учреждений культуры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</w:tr>
      <w:tr w:rsidR="007B1ACF" w:rsidRPr="00790A70" w:rsidTr="007B1ACF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2.5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5 «Обеспечение организации и осуществления бухгалтерского учета»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упорядочение системы сбора, регистрации и обобщение информации об имуществе, обязательствах обслуживаемых учреждений и их движении путём сплошного, непрерывного и документального оформления всех хозяйственных операций, а также ведение учёта и отчетности по поступающим средствам различных уровней бюджета и внебюджетных источников</w:t>
            </w:r>
          </w:p>
        </w:tc>
      </w:tr>
      <w:tr w:rsidR="007B1ACF" w:rsidRPr="00790A70" w:rsidTr="007B1ACF">
        <w:trPr>
          <w:trHeight w:val="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2.5.1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3B6A79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Целевой показатель: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 xml:space="preserve">кол-во </w:t>
            </w:r>
            <w:proofErr w:type="spellStart"/>
            <w:r w:rsidRPr="003B6A79">
              <w:rPr>
                <w:rFonts w:ascii="Times New Roman" w:hAnsi="Times New Roman"/>
              </w:rPr>
              <w:t>обслуж</w:t>
            </w:r>
            <w:proofErr w:type="spellEnd"/>
            <w:r w:rsidRPr="003B6A79">
              <w:rPr>
                <w:rFonts w:ascii="Times New Roman" w:hAnsi="Times New Roman"/>
              </w:rPr>
              <w:t xml:space="preserve">. </w:t>
            </w:r>
            <w:proofErr w:type="spellStart"/>
            <w:r w:rsidRPr="003B6A79">
              <w:rPr>
                <w:rFonts w:ascii="Times New Roman" w:hAnsi="Times New Roman"/>
              </w:rPr>
              <w:t>учр</w:t>
            </w:r>
            <w:proofErr w:type="spellEnd"/>
            <w:r w:rsidRPr="003B6A79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</w:tr>
      <w:tr w:rsidR="007B1ACF" w:rsidRPr="00790A70" w:rsidTr="007B1ACF">
        <w:trPr>
          <w:trHeight w:val="2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2.6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6 «Создание условий для организации досуга и культуры»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создание благоприятных условий для устойчивого развития сферы культуры муниципального образования Кавказский район</w:t>
            </w:r>
          </w:p>
        </w:tc>
      </w:tr>
      <w:tr w:rsidR="007B1ACF" w:rsidRPr="00790A70" w:rsidTr="007B1ACF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2.6.1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культурно-массовых мероприятий, проведенных на территории муниципального образования Кавказский район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11300</w:t>
            </w:r>
          </w:p>
        </w:tc>
      </w:tr>
      <w:tr w:rsidR="007B1ACF" w:rsidRPr="00790A70" w:rsidTr="007B1ACF">
        <w:trPr>
          <w:trHeight w:val="1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2.6.2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краевых (всероссийских) мероприятий, в которых приняло участие муниципальное образование Кавказский район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</w:tr>
    </w:tbl>
    <w:p w:rsidR="007B1ACF" w:rsidRPr="00790A70" w:rsidRDefault="007B1ACF" w:rsidP="007B1AC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70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790A70">
        <w:rPr>
          <w:rFonts w:ascii="Times New Roman" w:hAnsi="Times New Roman" w:cs="Times New Roman"/>
          <w:sz w:val="24"/>
          <w:szCs w:val="24"/>
        </w:rPr>
        <w:t xml:space="preserve"> Отмечается: если целевой показатель определяется на основе данных муниципального статистического наблюдения, присваивается статус «1» с указанием в сноске срока представ</w:t>
      </w:r>
      <w:r>
        <w:rPr>
          <w:rFonts w:ascii="Times New Roman" w:hAnsi="Times New Roman" w:cs="Times New Roman"/>
          <w:sz w:val="24"/>
          <w:szCs w:val="24"/>
        </w:rPr>
        <w:t>ления статистической информации</w:t>
      </w:r>
      <w:r w:rsidRPr="00790A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A70">
        <w:rPr>
          <w:rFonts w:ascii="Times New Roman" w:hAnsi="Times New Roman" w:cs="Times New Roman"/>
          <w:sz w:val="24"/>
          <w:szCs w:val="24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 если целевой показатель  рассчитывается по методике, включенной в состав муниципальной программы, присваивается статус «3».</w:t>
      </w:r>
    </w:p>
    <w:p w:rsidR="00102862" w:rsidRPr="00790A70" w:rsidRDefault="00102862" w:rsidP="002E71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02862" w:rsidRPr="00790A70" w:rsidRDefault="00102862" w:rsidP="0010286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2862" w:rsidRPr="00790A70" w:rsidRDefault="00102862" w:rsidP="0010286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A70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gramStart"/>
      <w:r w:rsidRPr="00790A7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FD418B" w:rsidRPr="007B1ACF" w:rsidRDefault="00102862" w:rsidP="007B1ACF">
      <w:pPr>
        <w:suppressAutoHyphens/>
        <w:rPr>
          <w:rFonts w:ascii="Times New Roman" w:hAnsi="Times New Roman"/>
        </w:rPr>
      </w:pPr>
      <w:r w:rsidRPr="00790A70">
        <w:rPr>
          <w:rFonts w:ascii="Times New Roman" w:hAnsi="Times New Roman"/>
        </w:rPr>
        <w:t>образования Кавказский район                                                                                                                                                                    С.В. Филатов</w:t>
      </w:r>
      <w:r w:rsidR="002E71E6">
        <w:rPr>
          <w:rFonts w:ascii="Times New Roman" w:hAnsi="Times New Roman"/>
        </w:rPr>
        <w:t>а</w:t>
      </w:r>
    </w:p>
    <w:p w:rsidR="0093153A" w:rsidRPr="0093153A" w:rsidRDefault="0093153A" w:rsidP="009315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3153A" w:rsidRPr="0093153A" w:rsidRDefault="0093153A" w:rsidP="009315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3153A" w:rsidRPr="0093153A" w:rsidRDefault="0093153A" w:rsidP="009315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93153A" w:rsidRPr="0093153A" w:rsidRDefault="0093153A" w:rsidP="009315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 xml:space="preserve"> «Развитие культуры»</w:t>
      </w:r>
    </w:p>
    <w:p w:rsidR="0093153A" w:rsidRPr="00DE12EB" w:rsidRDefault="0093153A" w:rsidP="0093153A">
      <w:pPr>
        <w:tabs>
          <w:tab w:val="left" w:pos="12345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B1ACF" w:rsidRPr="007B1ACF" w:rsidRDefault="007B1ACF" w:rsidP="007B1AC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Перечень основных мероприятий муниципальной программы </w:t>
      </w:r>
      <w:r>
        <w:rPr>
          <w:rFonts w:ascii="Times New Roman" w:hAnsi="Times New Roman"/>
        </w:rPr>
        <w:t>«Развитие культуры»</w:t>
      </w:r>
    </w:p>
    <w:tbl>
      <w:tblPr>
        <w:tblW w:w="1516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12"/>
        <w:gridCol w:w="2507"/>
        <w:gridCol w:w="1276"/>
        <w:gridCol w:w="1131"/>
        <w:gridCol w:w="992"/>
        <w:gridCol w:w="995"/>
        <w:gridCol w:w="990"/>
        <w:gridCol w:w="992"/>
        <w:gridCol w:w="992"/>
        <w:gridCol w:w="992"/>
        <w:gridCol w:w="993"/>
        <w:gridCol w:w="1841"/>
        <w:gridCol w:w="851"/>
      </w:tblGrid>
      <w:tr w:rsidR="007B1ACF" w:rsidTr="007B1ACF">
        <w:trPr>
          <w:trHeight w:val="330"/>
        </w:trPr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Источник финансирования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Объем финансирования, тыс. руб.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 по годам: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Непосредст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-венный</w:t>
            </w:r>
            <w:proofErr w:type="gramEnd"/>
          </w:p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Участ</w:t>
            </w:r>
            <w:proofErr w:type="spellEnd"/>
            <w:r>
              <w:rPr>
                <w:rFonts w:ascii="Times New Roman" w:hAnsi="Times New Roman"/>
                <w:color w:val="000000"/>
              </w:rPr>
              <w:t>-ник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муни-ципа-льнойпрог-раммы</w:t>
            </w:r>
            <w:proofErr w:type="spellEnd"/>
          </w:p>
        </w:tc>
      </w:tr>
      <w:tr w:rsidR="007B1ACF" w:rsidTr="007B1ACF">
        <w:trPr>
          <w:trHeight w:val="705"/>
        </w:trPr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2017 </w:t>
            </w:r>
          </w:p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B1ACF" w:rsidTr="007B1ACF">
        <w:trPr>
          <w:trHeight w:val="110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№1 «Руководство и управление в сфере культуры и искусства»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17120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EA0668">
              <w:rPr>
                <w:rFonts w:ascii="Times New Roman" w:hAnsi="Times New Roman"/>
                <w:bCs/>
              </w:rPr>
              <w:t>2630,0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EA0668">
              <w:rPr>
                <w:rFonts w:ascii="Times New Roman" w:hAnsi="Times New Roman"/>
                <w:bCs/>
              </w:rPr>
              <w:t>2454,0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2436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-повышение уровня и качества жизни населения Кавказского района за счет увеличения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дос-тупности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культур-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продукта, предоставляемого муниципальными учреждениями сферы культуры и искусства;</w:t>
            </w:r>
          </w:p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соци-альной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активности</w:t>
            </w:r>
          </w:p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жителей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Кавказ-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района, вовлечение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насе-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ления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процесс создания культур-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продукта и формирование комфортной среды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жизнедеятель-ности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Отдел </w:t>
            </w:r>
            <w:proofErr w:type="gramStart"/>
            <w:r>
              <w:rPr>
                <w:rFonts w:ascii="Times New Roman" w:hAnsi="Times New Roman"/>
                <w:color w:val="000000"/>
              </w:rPr>
              <w:t>куль-туры</w:t>
            </w:r>
            <w:proofErr w:type="gramEnd"/>
          </w:p>
        </w:tc>
      </w:tr>
      <w:tr w:rsidR="007B1ACF" w:rsidTr="007B1ACF">
        <w:trPr>
          <w:trHeight w:val="34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17120</w:t>
            </w:r>
            <w:r w:rsidRPr="00EA0668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EA0668">
              <w:rPr>
                <w:rFonts w:ascii="Times New Roman" w:hAnsi="Times New Roman"/>
              </w:rPr>
              <w:t>2630,0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EA0668">
              <w:rPr>
                <w:rFonts w:ascii="Times New Roman" w:hAnsi="Times New Roman"/>
              </w:rPr>
              <w:t>2454,0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2436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47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внебюджет</w:t>
            </w:r>
            <w:proofErr w:type="spellEnd"/>
            <w:r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Мероприятие №1.1 «Расходы на обеспечение функций органов местного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самоуправления в сфере культуры и искусства»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17120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EA0668">
              <w:rPr>
                <w:rFonts w:ascii="Times New Roman" w:hAnsi="Times New Roman"/>
                <w:bCs/>
              </w:rPr>
              <w:t>2630,0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EA0668">
              <w:rPr>
                <w:rFonts w:ascii="Times New Roman" w:hAnsi="Times New Roman"/>
                <w:bCs/>
              </w:rPr>
              <w:t>2454,0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2436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17120</w:t>
            </w:r>
            <w:r w:rsidRPr="00EA0668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EA0668">
              <w:rPr>
                <w:rFonts w:ascii="Times New Roman" w:hAnsi="Times New Roman"/>
              </w:rPr>
              <w:t>2630,0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EA0668">
              <w:rPr>
                <w:rFonts w:ascii="Times New Roman" w:hAnsi="Times New Roman"/>
              </w:rPr>
              <w:t>2454,0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2436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996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внебюджет</w:t>
            </w:r>
            <w:proofErr w:type="spellEnd"/>
            <w:r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RPr="00790A70" w:rsidTr="007B1ACF">
        <w:trPr>
          <w:trHeight w:val="412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790A7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Основное мероприятие № 2 «Реализация дополнительных предпрофессиональных общеобразовательных программ в области искусств»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377306,9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54595,8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BB12E0">
              <w:rPr>
                <w:rFonts w:ascii="Times New Roman" w:hAnsi="Times New Roman"/>
                <w:bCs/>
              </w:rPr>
              <w:t>52064,8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61043,9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>- не менее 14 % детей в возрасте от 5 до 18 лет будут получать услуги в детских школах искусств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-повышение </w:t>
            </w:r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ка-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чества</w:t>
            </w:r>
            <w:proofErr w:type="spellEnd"/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расши-рение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спектра муниципальных услуг в сфере культуры и искусства Кавказ-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района;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-повышение эффективности и </w:t>
            </w:r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результативности</w:t>
            </w:r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бюджетных 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расхо-дов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на оказание муниципальных услуг в сфере культуры и искусства Кавказ-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lastRenderedPageBreak/>
              <w:t>ского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района;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-увеличение средней </w:t>
            </w:r>
            <w:proofErr w:type="spellStart"/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заработ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>-ной</w:t>
            </w:r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платы работников сферы культуры и искусства Кавказ-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района;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 -повышение </w:t>
            </w:r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пре-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стижности</w:t>
            </w:r>
            <w:proofErr w:type="spellEnd"/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привлекатель-ности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профессий в сфере культуры и искусства;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>-сохранение и пополнение кадрового потенциала в сфере культуры и искусства.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lastRenderedPageBreak/>
              <w:t>учреждения, подведомственные отделу культуры</w:t>
            </w:r>
          </w:p>
        </w:tc>
      </w:tr>
      <w:tr w:rsidR="007B1ACF" w:rsidRPr="00790A70" w:rsidTr="007B1ACF">
        <w:trPr>
          <w:trHeight w:val="36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343391,7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41087,9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B12E0">
              <w:rPr>
                <w:rFonts w:ascii="Times New Roman" w:hAnsi="Times New Roman"/>
              </w:rPr>
              <w:t>43585,5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54658,3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51015,0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4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20262,6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7185,1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B12E0">
              <w:rPr>
                <w:rFonts w:ascii="Times New Roman" w:hAnsi="Times New Roman"/>
              </w:rPr>
              <w:t>7327,5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40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13652,6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6322,8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B12E0">
              <w:rPr>
                <w:rFonts w:ascii="Times New Roman" w:hAnsi="Times New Roman"/>
              </w:rPr>
              <w:t>1151,8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600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B1ACF" w:rsidRPr="00790A7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2.1 «Расходы на обеспечение деятельности (оказание услуг) муниципальных учреждений дополнительного образования сферы </w:t>
            </w:r>
            <w:r w:rsidRPr="00BB12E0">
              <w:rPr>
                <w:rFonts w:ascii="Times New Roman" w:hAnsi="Times New Roman"/>
              </w:rPr>
              <w:lastRenderedPageBreak/>
              <w:t>культуры», в том числе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 «Обеспечение поэтапного повышения уровня средней заработной платы педагогическим работникам муниципальных учреждений дополнительного образования в сфере культуры и искусства»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370126,2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54512,3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51835,9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54835,6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52235,6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52235,6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52235,6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52235,6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342250,4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41077,9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43572,5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53600,0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51000,0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14223,2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7111,6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7111,6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</w:t>
            </w:r>
            <w:r w:rsidRPr="00BB12E0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54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     13652,6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6322,8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1151,8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790A7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2.2 «Осуществление отдельных полномочий Краснодарского края на компенсацию расходов на оплату жилых помещений, отопления и освещения  </w:t>
            </w:r>
            <w:proofErr w:type="gramStart"/>
            <w:r w:rsidRPr="00BB12E0">
              <w:rPr>
                <w:rFonts w:ascii="Times New Roman" w:hAnsi="Times New Roman"/>
              </w:rPr>
              <w:t>педагогическим</w:t>
            </w:r>
            <w:proofErr w:type="gramEnd"/>
            <w:r w:rsidRPr="00BB12E0">
              <w:rPr>
                <w:rFonts w:ascii="Times New Roman" w:hAnsi="Times New Roman"/>
              </w:rPr>
              <w:t xml:space="preserve"> работ-</w:t>
            </w:r>
            <w:proofErr w:type="spellStart"/>
            <w:r w:rsidRPr="00BB12E0">
              <w:rPr>
                <w:rFonts w:ascii="Times New Roman" w:hAnsi="Times New Roman"/>
              </w:rPr>
              <w:t>никам</w:t>
            </w:r>
            <w:proofErr w:type="spellEnd"/>
            <w:r w:rsidRPr="00BB12E0">
              <w:rPr>
                <w:rFonts w:ascii="Times New Roman" w:hAnsi="Times New Roman"/>
              </w:rPr>
              <w:t xml:space="preserve">, муниципальных учреждений, </w:t>
            </w:r>
            <w:proofErr w:type="spellStart"/>
            <w:r w:rsidRPr="00BB12E0">
              <w:rPr>
                <w:rFonts w:ascii="Times New Roman" w:hAnsi="Times New Roman"/>
              </w:rPr>
              <w:t>прожива-ющим</w:t>
            </w:r>
            <w:proofErr w:type="spellEnd"/>
            <w:r w:rsidRPr="00BB12E0">
              <w:rPr>
                <w:rFonts w:ascii="Times New Roman" w:hAnsi="Times New Roman"/>
              </w:rPr>
              <w:t xml:space="preserve"> и работающим в сельской местности»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73,5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215,9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73,5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215,9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55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8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790A7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2.3 «Компенсация расходов на оплату жилых помещений, отопления и освещения педагогическим работникам </w:t>
            </w:r>
            <w:r w:rsidRPr="00BB12E0">
              <w:rPr>
                <w:rFonts w:ascii="Times New Roman" w:hAnsi="Times New Roman"/>
              </w:rPr>
              <w:lastRenderedPageBreak/>
              <w:t>государственных и муниципальных учреждений, проживающим и работающим в сельской местности»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7B1ACF" w:rsidRPr="00790A7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 </w:t>
            </w:r>
          </w:p>
        </w:tc>
      </w:tr>
      <w:tr w:rsidR="007B1ACF" w:rsidRPr="00790A70" w:rsidTr="007B1ACF">
        <w:trPr>
          <w:trHeight w:val="623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26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689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2.4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Мероприятие № 2.4 «Премия главы муниципального образования Кавказский район для  учащихся муниципальных бюджетных учреждений дополнительного образования за достижение выдающихся результатов в учебе и исполнительском мастерстве»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13,0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1069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13,0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893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990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87"/>
        </w:trPr>
        <w:tc>
          <w:tcPr>
            <w:tcW w:w="6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87"/>
        </w:trPr>
        <w:tc>
          <w:tcPr>
            <w:tcW w:w="61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2.5</w:t>
            </w:r>
          </w:p>
        </w:tc>
        <w:tc>
          <w:tcPr>
            <w:tcW w:w="250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2.5 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Укрепление материально-технической базы, техническое оснащения муниципальных учреждений культуры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(капитальный ремонт здания МБУ ДО ДШИ </w:t>
            </w:r>
            <w:r w:rsidRPr="00BB12E0">
              <w:rPr>
                <w:rFonts w:ascii="Times New Roman" w:hAnsi="Times New Roman"/>
              </w:rPr>
              <w:lastRenderedPageBreak/>
              <w:t xml:space="preserve">ст. </w:t>
            </w:r>
            <w:proofErr w:type="gramStart"/>
            <w:r w:rsidRPr="00BB12E0">
              <w:rPr>
                <w:rFonts w:ascii="Times New Roman" w:hAnsi="Times New Roman"/>
              </w:rPr>
              <w:t>Кавказская</w:t>
            </w:r>
            <w:proofErr w:type="gramEnd"/>
            <w:r w:rsidRPr="00BB12E0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6044,3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6044,3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520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1044,3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1044,3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520"/>
        </w:trPr>
        <w:tc>
          <w:tcPr>
            <w:tcW w:w="6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D42054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D42054">
              <w:rPr>
                <w:rFonts w:ascii="Times New Roman" w:hAnsi="Times New Roman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D42054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D42054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D42054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D42054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D42054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D42054">
              <w:rPr>
                <w:rFonts w:ascii="Times New Roman" w:hAnsi="Times New Roman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266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790A7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Основное мероприятие №3 «Организация библиотечного обслуживания населения муниципального образования Кавказский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19957,3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3020,2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2987,2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3298,7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3108,6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3108,6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2217,2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- повышение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Учреждения, подведомственные отделу культуры</w:t>
            </w:r>
          </w:p>
        </w:tc>
      </w:tr>
      <w:tr w:rsidR="00D42054" w:rsidRPr="00790A70" w:rsidTr="00D42054">
        <w:trPr>
          <w:trHeight w:val="830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2324,3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2378,1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2407,1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качества и расширение спектра </w:t>
            </w:r>
            <w:proofErr w:type="spellStart"/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муници-пальных</w:t>
            </w:r>
            <w:proofErr w:type="spellEnd"/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услуг в сфере культуры и искусства Кавказского района;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- повышение эффективности и </w:t>
            </w:r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результативности</w:t>
            </w:r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бюджетных 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расхо-дов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на оказание муниципальных услуг в сфере культуры и искусства Кавказского района;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- увеличение средней </w:t>
            </w:r>
            <w:proofErr w:type="spellStart"/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заработ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>-ной</w:t>
            </w:r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платы работников сферы культуры и искусства Кавказского района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lastRenderedPageBreak/>
              <w:t> 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36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3867,6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639,7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553,1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40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90"/>
        </w:trPr>
        <w:tc>
          <w:tcPr>
            <w:tcW w:w="61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3.1 «Расходы на обеспечение деятельности (оказание услуг) муниципальных учреждений сферы культуры»,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2859,0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2824,1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2150,0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Учреждения, подведомственные отделу культуры</w:t>
            </w: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14578,0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2218,1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2271,0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2150,0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1192,8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639,7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553,1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31"/>
        </w:trPr>
        <w:tc>
          <w:tcPr>
            <w:tcW w:w="6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10"/>
        </w:trPr>
        <w:tc>
          <w:tcPr>
            <w:tcW w:w="6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D42054">
        <w:trPr>
          <w:trHeight w:val="420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3.2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2054" w:rsidRPr="00BB12E0" w:rsidRDefault="00D42054" w:rsidP="00D42054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3.2 «Компенсация расходов на оплату жилых помещений, отопления </w:t>
            </w:r>
            <w:r w:rsidRPr="00BB12E0">
              <w:rPr>
                <w:rFonts w:ascii="Times New Roman" w:hAnsi="Times New Roman"/>
              </w:rPr>
              <w:lastRenderedPageBreak/>
              <w:t>и освещения работни-</w:t>
            </w:r>
            <w:proofErr w:type="spellStart"/>
            <w:r w:rsidRPr="00BB12E0">
              <w:rPr>
                <w:rFonts w:ascii="Times New Roman" w:hAnsi="Times New Roman"/>
              </w:rPr>
              <w:t>кам</w:t>
            </w:r>
            <w:proofErr w:type="spellEnd"/>
            <w:r w:rsidRPr="00BB12E0">
              <w:rPr>
                <w:rFonts w:ascii="Times New Roman" w:hAnsi="Times New Roman"/>
              </w:rPr>
              <w:t xml:space="preserve"> государственных и муниципальных учреждений, </w:t>
            </w:r>
            <w:proofErr w:type="gramStart"/>
            <w:r w:rsidRPr="00BB12E0">
              <w:rPr>
                <w:rFonts w:ascii="Times New Roman" w:hAnsi="Times New Roman"/>
              </w:rPr>
              <w:t>проживающим</w:t>
            </w:r>
            <w:proofErr w:type="gramEnd"/>
            <w:r w:rsidRPr="00BB12E0">
              <w:rPr>
                <w:rFonts w:ascii="Times New Roman" w:hAnsi="Times New Roman"/>
              </w:rPr>
              <w:t xml:space="preserve"> и работающим в сельской местности»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054" w:rsidRPr="00BB12E0" w:rsidRDefault="00D42054" w:rsidP="00D42054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D42054">
        <w:trPr>
          <w:trHeight w:val="64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2054" w:rsidRPr="00BB12E0" w:rsidRDefault="00D42054" w:rsidP="00D42054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25,0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D42054">
        <w:trPr>
          <w:trHeight w:val="134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D42054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D42054">
        <w:trPr>
          <w:trHeight w:val="44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054" w:rsidRPr="00BB12E0" w:rsidRDefault="00D42054" w:rsidP="00D42054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D42054">
        <w:trPr>
          <w:trHeight w:val="509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D42054">
        <w:trPr>
          <w:trHeight w:val="330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3.3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Мероприятие № 3.3 «Комплектование книжных фондов библиотек муниципального образования Кавказский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41,0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Отдел  культуры</w:t>
            </w:r>
          </w:p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46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3.4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3.4. «Осуществление полномочий по комплектованию книжных фондов библиотек поселений, переданных из поселений муниципального </w:t>
            </w:r>
            <w:r w:rsidRPr="00BB12E0">
              <w:rPr>
                <w:rFonts w:ascii="Times New Roman" w:hAnsi="Times New Roman"/>
              </w:rPr>
              <w:lastRenderedPageBreak/>
              <w:t>образования Кавказский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</w:t>
            </w:r>
            <w:r w:rsidRPr="00BB12E0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46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251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t>3.5</w:t>
            </w: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«Обеспечение поэтапного повышения уровня средней заработной платы работникам муниципальных учреждений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3485,9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1608,7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94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94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94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94"/>
        </w:trPr>
        <w:tc>
          <w:tcPr>
            <w:tcW w:w="6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94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t>4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Основное мероприятие №4 «Методическое обслуживание учреждений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18672,9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2841,3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2556,8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3091,6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2991,6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2991,6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48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14617,1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2021,1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1996,0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02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799,6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560,4</w:t>
            </w:r>
          </w:p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60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lastRenderedPageBreak/>
              <w:t>4.1</w:t>
            </w: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t>4.2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4.1 «Расходы на обеспечение деятельности (оказание услуг) муниципальных учреждений сферы культуры»,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15247,4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2841,3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2556,8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2053,0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2053,0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13866,4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2021,1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1996,0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799,6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560,4</w:t>
            </w:r>
          </w:p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8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8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«Обеспечение поэтапного повышения уровня средней заработной платы работникам муниципальных учреждений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8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8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85"/>
        </w:trPr>
        <w:tc>
          <w:tcPr>
            <w:tcW w:w="6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25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t>5.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Основное мероприятие №5 «Обеспечение организации и осуществления бухгалтерского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69729,2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10405,9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10353,3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10170,0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Учреждения, подведомственные отделу культу</w:t>
            </w:r>
            <w:r w:rsidRPr="00790A70">
              <w:rPr>
                <w:rFonts w:ascii="Times New Roman" w:hAnsi="Times New Roman"/>
              </w:rPr>
              <w:lastRenderedPageBreak/>
              <w:t>ры</w:t>
            </w:r>
          </w:p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 </w:t>
            </w: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68980,0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10037,0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9973,0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федеральный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368,9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380,3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lastRenderedPageBreak/>
              <w:t>5.1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Мероприятие № 5.1 «Расходы на обеспечение деятельности (оказание услуг) муниципальных учреждений сферы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69729,2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10405,9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10353,3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68980,0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10037,0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9973,0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10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368,9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380,3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46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t>6.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Основное мероприятие № 6 «Создание условий для организации досуга и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948,5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Отдел культуры</w:t>
            </w:r>
          </w:p>
        </w:tc>
      </w:tr>
      <w:tr w:rsidR="00D42054" w:rsidRPr="00790A70" w:rsidTr="007B1ACF">
        <w:trPr>
          <w:trHeight w:val="48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948,5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6.1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Мероприятие № 6.1 «Расходы на организацию и проведение мероприятий в области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948,5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948,5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внебюджетисточники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BB12E0">
              <w:rPr>
                <w:rFonts w:ascii="Times New Roman" w:hAnsi="Times New Roman"/>
                <w:bCs/>
              </w:rPr>
              <w:t>506360,8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74429,2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71364,6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80390,2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70935,8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70935,8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69152,6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69152,6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 </w:t>
            </w: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463660,8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59036,3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61335,1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72221,4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67767,0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67767,0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67767,0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67767,0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28165,0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8624,4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8441,0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6933,2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1933,2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1933,2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14424,0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6713,5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1532,5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</w:tbl>
    <w:p w:rsidR="007B1ACF" w:rsidRPr="00790A70" w:rsidRDefault="007B1ACF" w:rsidP="007B1ACF">
      <w:pPr>
        <w:rPr>
          <w:rFonts w:ascii="Times New Roman" w:hAnsi="Times New Roman"/>
          <w:szCs w:val="28"/>
        </w:rPr>
      </w:pPr>
    </w:p>
    <w:p w:rsidR="007B1ACF" w:rsidRPr="00790A70" w:rsidRDefault="007B1ACF" w:rsidP="007B1A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70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gramStart"/>
      <w:r w:rsidRPr="00790A7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2E71E6" w:rsidRDefault="007B1ACF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70">
        <w:rPr>
          <w:rFonts w:ascii="Times New Roman" w:hAnsi="Times New Roman" w:cs="Times New Roman"/>
          <w:sz w:val="24"/>
          <w:szCs w:val="24"/>
        </w:rPr>
        <w:t>образования Кавказский район                                                                                                                                                         С.В. Фил</w:t>
      </w:r>
      <w:r w:rsidR="00BB12E0">
        <w:rPr>
          <w:rFonts w:ascii="Times New Roman" w:hAnsi="Times New Roman" w:cs="Times New Roman"/>
          <w:sz w:val="24"/>
          <w:szCs w:val="24"/>
        </w:rPr>
        <w:t>атова</w:t>
      </w: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Pr="00BB12E0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0DAF" w:rsidRDefault="001F0DAF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</w:p>
    <w:p w:rsidR="00044896" w:rsidRPr="00DE12EB" w:rsidRDefault="00044896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lastRenderedPageBreak/>
        <w:t>ПРИЛОЖЕНИЕ № 3</w:t>
      </w:r>
    </w:p>
    <w:p w:rsidR="00044896" w:rsidRPr="00DE12EB" w:rsidRDefault="00044896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к муниципальной программе</w:t>
      </w:r>
    </w:p>
    <w:p w:rsidR="00044896" w:rsidRPr="00DE12EB" w:rsidRDefault="00044896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муниципального образования Кавказский район</w:t>
      </w:r>
    </w:p>
    <w:p w:rsidR="00044896" w:rsidRDefault="00044896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«Развитие культуры»</w:t>
      </w:r>
    </w:p>
    <w:p w:rsidR="00D42054" w:rsidRPr="00DE12EB" w:rsidRDefault="00D42054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</w:p>
    <w:p w:rsidR="00044896" w:rsidRPr="00DE12EB" w:rsidRDefault="00044896" w:rsidP="00D4205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12E0" w:rsidRDefault="00BB12E0" w:rsidP="00D42054">
      <w:pPr>
        <w:suppressAutoHyphens/>
        <w:spacing w:after="0" w:line="240" w:lineRule="auto"/>
        <w:jc w:val="center"/>
        <w:rPr>
          <w:rFonts w:ascii="Times New Roman" w:hAnsi="Times New Roman"/>
          <w:szCs w:val="28"/>
        </w:rPr>
      </w:pPr>
      <w:r w:rsidRPr="003E7C93">
        <w:rPr>
          <w:rFonts w:ascii="Times New Roman" w:hAnsi="Times New Roman"/>
          <w:szCs w:val="28"/>
        </w:rPr>
        <w:t>Объем финансовых ресурсов, предусмотренных</w:t>
      </w:r>
      <w:r>
        <w:rPr>
          <w:rFonts w:ascii="Times New Roman" w:hAnsi="Times New Roman"/>
          <w:szCs w:val="28"/>
        </w:rPr>
        <w:t xml:space="preserve"> </w:t>
      </w:r>
    </w:p>
    <w:p w:rsidR="00BB12E0" w:rsidRDefault="00BB12E0" w:rsidP="00D42054">
      <w:pPr>
        <w:suppressAutoHyphens/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 реализацию муниципальной программы  «Развитие культуры» </w:t>
      </w:r>
    </w:p>
    <w:p w:rsidR="00BB12E0" w:rsidRDefault="00BB12E0" w:rsidP="00BB12E0">
      <w:pPr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 руб.</w:t>
      </w:r>
    </w:p>
    <w:tbl>
      <w:tblPr>
        <w:tblW w:w="151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93"/>
        <w:gridCol w:w="2808"/>
        <w:gridCol w:w="2550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BB12E0" w:rsidTr="00D42054">
        <w:trPr>
          <w:trHeight w:val="31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финанси-рования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всего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 w:rsidR="00BB12E0" w:rsidTr="00D42054">
        <w:trPr>
          <w:trHeight w:val="630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</w:tr>
      <w:tr w:rsidR="00BB12E0" w:rsidTr="00D42054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  <w:iCs/>
              </w:rPr>
              <w:t>Основное мероприятие №1 «Руководство и управление в сфере культуры и искусства»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17120,0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17120,0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39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136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2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  <w:iCs/>
              </w:rPr>
              <w:t>Основное мероприятие №2 «Реализация дополнительных предпрофессиональных общеобразовательных программ в области искусств»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377306,9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54595,8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52064,8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61043,9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A43228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A43228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A43228">
              <w:rPr>
                <w:rFonts w:ascii="Times New Roman" w:hAnsi="Times New Roman"/>
                <w:bCs/>
              </w:rPr>
              <w:t>52400,6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343391,7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41087,9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43585,5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54658,3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51015,0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51015,0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51015,0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51015,0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20262,6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7185,1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7327,5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5150,0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150,0</w:t>
            </w:r>
          </w:p>
        </w:tc>
      </w:tr>
      <w:tr w:rsidR="00BB12E0" w:rsidRPr="00EC11BC" w:rsidTr="00D42054">
        <w:trPr>
          <w:trHeight w:val="29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4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13652,6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6322,8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1151,8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1235,6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  <w:iCs/>
              </w:rPr>
              <w:t>Основное мероприятие №3 «Организация библиотечного обслуживания населения муниципального образования Кавказский район»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667526">
              <w:rPr>
                <w:rFonts w:ascii="Times New Roman" w:hAnsi="Times New Roman"/>
                <w:bCs/>
              </w:rPr>
              <w:t>19957,3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667526">
              <w:rPr>
                <w:rFonts w:ascii="Times New Roman" w:hAnsi="Times New Roman"/>
                <w:bCs/>
              </w:rPr>
              <w:t>3020,2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667526">
              <w:rPr>
                <w:rFonts w:ascii="Times New Roman" w:hAnsi="Times New Roman"/>
                <w:bCs/>
              </w:rPr>
              <w:t>2987,2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667526">
              <w:rPr>
                <w:rFonts w:ascii="Times New Roman" w:hAnsi="Times New Roman"/>
                <w:bCs/>
              </w:rPr>
              <w:t>3298,7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3108,6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3108,6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2217,2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15977,5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2324,3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2378,1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2407,1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2217,0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3867,6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639,7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553,1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277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4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4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  <w:iCs/>
              </w:rPr>
              <w:t>Основное мероприятие №4 «Методическое обслуживание учреждений культуры»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18672,9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2556,8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2100,0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14617,1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2021,1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1996,0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2100,0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4034,8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799,6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2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5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  <w:iCs/>
              </w:rPr>
              <w:t>Основное мероприятие №5 «Обеспечение организации и осуществления бухгалтерского учета»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10405,9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10353,3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68</w:t>
            </w:r>
            <w:r>
              <w:rPr>
                <w:rFonts w:ascii="Times New Roman" w:hAnsi="Times New Roman"/>
              </w:rPr>
              <w:t>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10037,0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9973,0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47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4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6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  <w:iCs/>
              </w:rPr>
              <w:t>Основное мероприятие №6 «Создание условий для организации досуга и культуры»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3574,5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</w:pPr>
            <w:r w:rsidRPr="00EC11BC">
              <w:rPr>
                <w:rFonts w:ascii="Times New Roman" w:hAnsi="Times New Roman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</w:pPr>
            <w:r w:rsidRPr="00EC11BC">
              <w:rPr>
                <w:rFonts w:ascii="Times New Roman" w:hAnsi="Times New Roman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</w:pPr>
            <w:r w:rsidRPr="00EC11BC">
              <w:rPr>
                <w:rFonts w:ascii="Times New Roman" w:hAnsi="Times New Roman"/>
              </w:rPr>
              <w:t>335,0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3574,5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</w:pPr>
            <w:r w:rsidRPr="00EC11BC">
              <w:rPr>
                <w:rFonts w:ascii="Times New Roman" w:hAnsi="Times New Roman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</w:pPr>
            <w:r w:rsidRPr="00EC11BC">
              <w:rPr>
                <w:rFonts w:ascii="Times New Roman" w:hAnsi="Times New Roman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</w:pPr>
            <w:r w:rsidRPr="00EC11BC">
              <w:rPr>
                <w:rFonts w:ascii="Times New Roman" w:hAnsi="Times New Roman"/>
              </w:rPr>
              <w:t>335,0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1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3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EC11B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Итого: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506360,8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74429,2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71364,6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80390,2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70935,8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70935,8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69152,6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69152,6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463660,8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59036,3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61335,1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72221,4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67767,0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67767,0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67767,0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67767,0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28165,0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8624,4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8441,0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6933,2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1933,2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1933,2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150,0</w:t>
            </w:r>
          </w:p>
        </w:tc>
      </w:tr>
      <w:tr w:rsidR="00BB12E0" w:rsidRPr="00EC11BC" w:rsidTr="00D42054">
        <w:trPr>
          <w:trHeight w:val="397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федеральный 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19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11BC">
              <w:rPr>
                <w:rFonts w:ascii="Times New Roman" w:hAnsi="Times New Roman"/>
              </w:rPr>
              <w:t>внебюджет</w:t>
            </w:r>
            <w:proofErr w:type="spellEnd"/>
            <w:r w:rsidRPr="00EC11BC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14424,0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6713,5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1532,5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1235,6</w:t>
            </w:r>
          </w:p>
        </w:tc>
      </w:tr>
    </w:tbl>
    <w:p w:rsidR="00BB12E0" w:rsidRPr="00EC11BC" w:rsidRDefault="00BB12E0" w:rsidP="00BB12E0">
      <w:pPr>
        <w:tabs>
          <w:tab w:val="left" w:pos="7020"/>
        </w:tabs>
        <w:suppressAutoHyphens/>
        <w:rPr>
          <w:rFonts w:ascii="Times New Roman" w:hAnsi="Times New Roman"/>
          <w:sz w:val="28"/>
          <w:szCs w:val="28"/>
        </w:rPr>
      </w:pPr>
    </w:p>
    <w:p w:rsidR="00BB12E0" w:rsidRDefault="00BB12E0" w:rsidP="00BB12E0">
      <w:pPr>
        <w:tabs>
          <w:tab w:val="left" w:pos="7020"/>
        </w:tabs>
        <w:suppressAutoHyphens/>
        <w:rPr>
          <w:rFonts w:ascii="Times New Roman" w:hAnsi="Times New Roman"/>
          <w:sz w:val="28"/>
          <w:szCs w:val="28"/>
        </w:rPr>
      </w:pPr>
    </w:p>
    <w:p w:rsidR="00BB12E0" w:rsidRPr="00876588" w:rsidRDefault="00BB12E0" w:rsidP="00BB12E0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76588">
        <w:rPr>
          <w:rFonts w:ascii="Times New Roman" w:hAnsi="Times New Roman"/>
          <w:sz w:val="24"/>
          <w:szCs w:val="24"/>
        </w:rPr>
        <w:t xml:space="preserve">Заместитель главы </w:t>
      </w:r>
      <w:proofErr w:type="gramStart"/>
      <w:r w:rsidRPr="00876588"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BB12E0" w:rsidRPr="00876588" w:rsidRDefault="00BB12E0" w:rsidP="00BB12E0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76588">
        <w:rPr>
          <w:rFonts w:ascii="Times New Roman" w:hAnsi="Times New Roman"/>
          <w:sz w:val="24"/>
          <w:szCs w:val="24"/>
        </w:rPr>
        <w:t xml:space="preserve">образования Кавказский район                                                                                                                                              </w:t>
      </w:r>
      <w:r w:rsidR="00876588">
        <w:rPr>
          <w:rFonts w:ascii="Times New Roman" w:hAnsi="Times New Roman"/>
          <w:sz w:val="24"/>
          <w:szCs w:val="24"/>
        </w:rPr>
        <w:t xml:space="preserve">                        </w:t>
      </w:r>
      <w:r w:rsidRPr="00876588">
        <w:rPr>
          <w:rFonts w:ascii="Times New Roman" w:hAnsi="Times New Roman"/>
          <w:sz w:val="24"/>
          <w:szCs w:val="24"/>
        </w:rPr>
        <w:t>С.В.Филатова</w:t>
      </w:r>
    </w:p>
    <w:p w:rsidR="00BB12E0" w:rsidRPr="00876588" w:rsidRDefault="00BB12E0" w:rsidP="00BB12E0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2E0" w:rsidRPr="00876588" w:rsidRDefault="00BB12E0" w:rsidP="00BB12E0">
      <w:pPr>
        <w:tabs>
          <w:tab w:val="left" w:pos="7020"/>
        </w:tabs>
        <w:suppressAutoHyphens/>
        <w:rPr>
          <w:rFonts w:ascii="Times New Roman" w:hAnsi="Times New Roman"/>
          <w:sz w:val="24"/>
          <w:szCs w:val="24"/>
        </w:rPr>
      </w:pPr>
    </w:p>
    <w:p w:rsidR="000876DD" w:rsidRDefault="000876DD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7C8" w:rsidRDefault="003177C8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1E6" w:rsidRDefault="002E71E6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1E6" w:rsidRDefault="002E71E6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588" w:rsidRDefault="00876588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1E6" w:rsidRDefault="002E71E6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1E6" w:rsidRDefault="002E71E6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1E6" w:rsidRDefault="002E71E6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1E6" w:rsidRDefault="002E71E6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054" w:rsidRDefault="00D42054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412" w:rsidRDefault="00C44412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212" w:rsidRDefault="00FD1212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lastRenderedPageBreak/>
        <w:t>ПРИЛОЖЕНИЕ № 4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к муниципальной программе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муниципального образования Кавказский район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«Развитие культуры»</w:t>
      </w:r>
    </w:p>
    <w:p w:rsidR="003D610D" w:rsidRPr="00DE12EB" w:rsidRDefault="003D610D" w:rsidP="003D610D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10D" w:rsidRPr="00DE12EB" w:rsidRDefault="003D610D" w:rsidP="003D610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 Прогноз сводных показателей муниципальных заданий на оказание муниципальных услуг муниципальными учреждениями в сфере реализации муниципальной программы «Развитие культуры»  </w:t>
      </w:r>
    </w:p>
    <w:p w:rsidR="003D610D" w:rsidRPr="00DE12EB" w:rsidRDefault="003D610D" w:rsidP="003D6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Таблица №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126"/>
        <w:gridCol w:w="709"/>
        <w:gridCol w:w="1842"/>
        <w:gridCol w:w="3905"/>
      </w:tblGrid>
      <w:tr w:rsidR="003D610D" w:rsidRPr="00090E36" w:rsidTr="00F56953">
        <w:tc>
          <w:tcPr>
            <w:tcW w:w="6204" w:type="dxa"/>
            <w:vMerge w:val="restart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(работы),</w:t>
            </w:r>
          </w:p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3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местного бюджета на оказание муниципальной услуги (работы) на 2015 год, тыс. рублей</w:t>
            </w:r>
          </w:p>
        </w:tc>
      </w:tr>
      <w:tr w:rsidR="003D610D" w:rsidRPr="00090E36" w:rsidTr="00F56953">
        <w:tc>
          <w:tcPr>
            <w:tcW w:w="6204" w:type="dxa"/>
            <w:vMerge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gridSpan w:val="2"/>
            <w:vAlign w:val="center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3905" w:type="dxa"/>
            <w:vMerge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2.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Реализация дополнительных предпрофессиональных общеобразовательных программ в области искусств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2.1.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в области искусств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(качества) услуги (работы) –  Количество учащихся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41077,9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3.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3.1.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(качества) услуги (работы) – Количество получателей услуг (пользователей библиотек МО Кавказский район)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53140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2218,1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4.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обслуживание учреждений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4.1.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обслуживание учреждений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учреждений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2021,1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Основное мероприятие № 5.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и осуществления бухгалтерского учета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5.1.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и осуществления бухгалтерского учета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обслуживаемых учреждений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10037,0</w:t>
            </w:r>
          </w:p>
        </w:tc>
      </w:tr>
    </w:tbl>
    <w:p w:rsidR="00663A83" w:rsidRPr="00090E36" w:rsidRDefault="00663A83" w:rsidP="00AA32FE">
      <w:pPr>
        <w:rPr>
          <w:rFonts w:ascii="Times New Roman" w:hAnsi="Times New Roman" w:cs="Times New Roman"/>
          <w:sz w:val="24"/>
          <w:szCs w:val="24"/>
        </w:rPr>
      </w:pPr>
    </w:p>
    <w:p w:rsidR="00AA32FE" w:rsidRPr="00090E36" w:rsidRDefault="00AA32FE" w:rsidP="00AA3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Таблица № 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2126"/>
        <w:gridCol w:w="2551"/>
        <w:gridCol w:w="3905"/>
      </w:tblGrid>
      <w:tr w:rsidR="00AA32FE" w:rsidRPr="00090E36" w:rsidTr="00FF171E">
        <w:tc>
          <w:tcPr>
            <w:tcW w:w="6204" w:type="dxa"/>
            <w:vMerge w:val="restart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(работы),</w:t>
            </w: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2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(работы) на 2016 год, тыс. рублей</w:t>
            </w:r>
          </w:p>
        </w:tc>
      </w:tr>
      <w:tr w:rsidR="00AA32FE" w:rsidRPr="00090E36" w:rsidTr="00FF171E">
        <w:tc>
          <w:tcPr>
            <w:tcW w:w="6204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2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 общеобразовательных программ в области искусств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дополнительного образования сферы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общеразвивающих программ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(работы)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–  число </w:t>
            </w:r>
            <w:proofErr w:type="gram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3905" w:type="dxa"/>
            <w:vMerge w:val="restart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50684,1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детей, ставших победителями и призерами всероссийских и международных мероприятий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услуги (работы) –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3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AA32FE" w:rsidRPr="00090E36" w:rsidTr="00FF171E">
        <w:trPr>
          <w:trHeight w:val="469"/>
        </w:trPr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объема (качества) услуги (работы)- количество посещений ЦМБ МО Кавказский район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1082,0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tcBorders>
              <w:top w:val="nil"/>
              <w:bottom w:val="nil"/>
            </w:tcBorders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объема (качества) услуги (работы) – количество документов (экземпляров обработанной литературы)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1742,1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4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обслуживание учреждений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проведенных мероприятий 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2556,4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5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и осуществления бухгалтерского учета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консультационных и методических услуг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количество отчетов составленных по результатам работы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9973,0</w:t>
            </w:r>
          </w:p>
        </w:tc>
      </w:tr>
    </w:tbl>
    <w:p w:rsidR="00AA32FE" w:rsidRPr="00090E36" w:rsidRDefault="00AA32FE" w:rsidP="00AA32FE">
      <w:pPr>
        <w:suppressAutoHyphens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2FE" w:rsidRPr="00090E36" w:rsidRDefault="00AA32FE" w:rsidP="00AA3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Таблица № 3.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2126"/>
        <w:gridCol w:w="2551"/>
        <w:gridCol w:w="3905"/>
      </w:tblGrid>
      <w:tr w:rsidR="00BB12E0" w:rsidRPr="00090E36" w:rsidTr="00D42054">
        <w:tc>
          <w:tcPr>
            <w:tcW w:w="6204" w:type="dxa"/>
            <w:vMerge w:val="restart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(работы),</w:t>
            </w:r>
          </w:p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2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(работы) на 2017 год, тыс. рублей</w:t>
            </w:r>
          </w:p>
        </w:tc>
      </w:tr>
      <w:tr w:rsidR="00BB12E0" w:rsidRPr="00090E36" w:rsidTr="00D42054">
        <w:tc>
          <w:tcPr>
            <w:tcW w:w="6204" w:type="dxa"/>
            <w:vMerge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3905" w:type="dxa"/>
            <w:vMerge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2</w:t>
            </w:r>
          </w:p>
        </w:tc>
        <w:tc>
          <w:tcPr>
            <w:tcW w:w="8582" w:type="dxa"/>
            <w:gridSpan w:val="3"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 общеобразовательных программ в области искусств </w:t>
            </w: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дополнительного образования сферы культуры </w:t>
            </w: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общеразвивающих программ</w:t>
            </w: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(работы) </w:t>
            </w:r>
          </w:p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–  число </w:t>
            </w:r>
            <w:proofErr w:type="gram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51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3905" w:type="dxa"/>
            <w:vMerge w:val="restart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53600,0</w:t>
            </w: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2126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vMerge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услуги (работы) –  Доля детей, </w:t>
            </w: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ставших победителями и призерами всероссийских и международных мероприятий</w:t>
            </w:r>
          </w:p>
        </w:tc>
        <w:tc>
          <w:tcPr>
            <w:tcW w:w="2126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551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Merge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услуги (работы) –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2126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05" w:type="dxa"/>
            <w:vMerge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2E0" w:rsidRPr="00090E36" w:rsidRDefault="00BB12E0" w:rsidP="00BB12E0">
      <w:pPr>
        <w:rPr>
          <w:rFonts w:ascii="Times New Roman" w:hAnsi="Times New Roman" w:cs="Times New Roman"/>
          <w:sz w:val="24"/>
          <w:szCs w:val="24"/>
        </w:rPr>
      </w:pPr>
    </w:p>
    <w:p w:rsidR="00BB12E0" w:rsidRPr="00090E36" w:rsidRDefault="00BB12E0" w:rsidP="00BB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>Заместитель главы муниципального образования</w:t>
      </w:r>
    </w:p>
    <w:p w:rsidR="00BB12E0" w:rsidRPr="00090E36" w:rsidRDefault="00BB12E0" w:rsidP="00BB12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BB12E0" w:rsidRPr="00090E36" w:rsidSect="00FF171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090E36">
        <w:rPr>
          <w:rFonts w:ascii="Times New Roman" w:hAnsi="Times New Roman" w:cs="Times New Roman"/>
          <w:sz w:val="24"/>
          <w:szCs w:val="24"/>
        </w:rPr>
        <w:t>Кавказский район                                                                                                                                                                      С.В. Филатова</w:t>
      </w:r>
    </w:p>
    <w:p w:rsidR="003D610D" w:rsidRPr="00DE12EB" w:rsidRDefault="003D610D" w:rsidP="002E71E6">
      <w:pPr>
        <w:spacing w:after="0" w:line="240" w:lineRule="auto"/>
        <w:rPr>
          <w:rFonts w:ascii="Times New Roman" w:hAnsi="Times New Roman" w:cs="Times New Roman"/>
        </w:rPr>
      </w:pP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ПРИЛОЖЕНИЕ № 5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к муниципальной программе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муниципального образования Кавказский район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«Развитие культуры»</w:t>
      </w:r>
    </w:p>
    <w:p w:rsidR="003D610D" w:rsidRPr="00DE12EB" w:rsidRDefault="003D610D" w:rsidP="003D610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18"/>
        <w:gridCol w:w="277"/>
        <w:gridCol w:w="1553"/>
        <w:gridCol w:w="1187"/>
        <w:gridCol w:w="818"/>
        <w:gridCol w:w="327"/>
        <w:gridCol w:w="382"/>
        <w:gridCol w:w="25"/>
        <w:gridCol w:w="1959"/>
        <w:gridCol w:w="118"/>
        <w:gridCol w:w="1725"/>
        <w:gridCol w:w="1701"/>
        <w:gridCol w:w="1276"/>
        <w:gridCol w:w="992"/>
        <w:gridCol w:w="992"/>
        <w:gridCol w:w="851"/>
        <w:gridCol w:w="108"/>
      </w:tblGrid>
      <w:tr w:rsidR="003D610D" w:rsidRPr="00DE12EB" w:rsidTr="00F56953">
        <w:tc>
          <w:tcPr>
            <w:tcW w:w="14709" w:type="dxa"/>
            <w:gridSpan w:val="17"/>
          </w:tcPr>
          <w:p w:rsidR="003D610D" w:rsidRPr="00DE12EB" w:rsidRDefault="003D610D" w:rsidP="00F569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EB">
              <w:rPr>
                <w:rFonts w:ascii="Times New Roman" w:hAnsi="Times New Roman" w:cs="Times New Roman"/>
                <w:sz w:val="28"/>
                <w:szCs w:val="28"/>
              </w:rPr>
              <w:t>План реализации муниципальной программы муниципального образования Кавказский район</w:t>
            </w:r>
          </w:p>
          <w:p w:rsidR="003D610D" w:rsidRPr="00DE12EB" w:rsidRDefault="003D610D" w:rsidP="00F569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EB">
              <w:rPr>
                <w:rFonts w:ascii="Times New Roman" w:hAnsi="Times New Roman" w:cs="Times New Roman"/>
                <w:sz w:val="28"/>
                <w:szCs w:val="28"/>
              </w:rPr>
              <w:t>«Развитие культуры»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1"/>
          <w:wAfter w:w="10129" w:type="dxa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 xml:space="preserve">N </w:t>
            </w:r>
            <w:proofErr w:type="gramStart"/>
            <w:r w:rsidRPr="00DE12EB">
              <w:rPr>
                <w:rFonts w:ascii="Times New Roman" w:hAnsi="Times New Roman"/>
              </w:rPr>
              <w:t>п</w:t>
            </w:r>
            <w:proofErr w:type="gramEnd"/>
            <w:r w:rsidRPr="00DE12EB">
              <w:rPr>
                <w:rFonts w:ascii="Times New Roman" w:hAnsi="Times New Roman"/>
              </w:rPr>
              <w:t>/п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Наименование подпрограммы, основного мероприятия, ведомственной целевой программы, контрольного события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proofErr w:type="gramStart"/>
            <w:r w:rsidRPr="00DE12EB">
              <w:rPr>
                <w:rFonts w:ascii="Times New Roman" w:hAnsi="Times New Roman"/>
              </w:rPr>
              <w:t>Ста-</w:t>
            </w:r>
            <w:proofErr w:type="spellStart"/>
            <w:r w:rsidRPr="00DE12EB">
              <w:rPr>
                <w:rFonts w:ascii="Times New Roman" w:hAnsi="Times New Roman"/>
              </w:rPr>
              <w:t>тус</w:t>
            </w:r>
            <w:proofErr w:type="spellEnd"/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proofErr w:type="gramStart"/>
            <w:r w:rsidRPr="00DE12EB">
              <w:rPr>
                <w:rFonts w:ascii="Times New Roman" w:hAnsi="Times New Roman"/>
              </w:rPr>
              <w:t>Ответственный</w:t>
            </w:r>
            <w:proofErr w:type="gramEnd"/>
            <w:r w:rsidRPr="00DE12EB">
              <w:rPr>
                <w:rFonts w:ascii="Times New Roman" w:hAnsi="Times New Roman"/>
              </w:rPr>
              <w:t xml:space="preserve"> за реализацию мероприятия, выполнение контрольное событие </w:t>
            </w:r>
            <w:r w:rsidRPr="00DE12EB">
              <w:rPr>
                <w:rFonts w:ascii="Times New Roman" w:hAnsi="Times New Roman"/>
                <w:b/>
                <w:vertAlign w:val="superscript"/>
              </w:rPr>
              <w:t>3)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  <w:vertAlign w:val="superscript"/>
              </w:rPr>
            </w:pPr>
            <w:r w:rsidRPr="00DE12EB">
              <w:rPr>
                <w:rFonts w:ascii="Times New Roman" w:hAnsi="Times New Roman"/>
              </w:rPr>
              <w:t>Срок реализации мероприятия, дата контрольного события</w:t>
            </w:r>
            <w:proofErr w:type="gramStart"/>
            <w:r w:rsidRPr="00DE12EB">
              <w:rPr>
                <w:rFonts w:ascii="Times New Roman" w:hAnsi="Times New Roman"/>
                <w:b/>
                <w:vertAlign w:val="superscript"/>
              </w:rPr>
              <w:t>4</w:t>
            </w:r>
            <w:proofErr w:type="gramEnd"/>
            <w:r w:rsidRPr="00DE12EB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 xml:space="preserve">Код </w:t>
            </w:r>
            <w:proofErr w:type="spellStart"/>
            <w:proofErr w:type="gramStart"/>
            <w:r w:rsidRPr="00DE12EB">
              <w:rPr>
                <w:rFonts w:ascii="Times New Roman" w:hAnsi="Times New Roman"/>
              </w:rPr>
              <w:t>классифи-кации</w:t>
            </w:r>
            <w:proofErr w:type="spellEnd"/>
            <w:proofErr w:type="gramEnd"/>
            <w:r w:rsidRPr="00DE12EB">
              <w:rPr>
                <w:rFonts w:ascii="Times New Roman" w:hAnsi="Times New Roman"/>
              </w:rPr>
              <w:t xml:space="preserve"> расходов бюджета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  <w:vertAlign w:val="superscript"/>
              </w:rPr>
            </w:pPr>
            <w:r w:rsidRPr="00DE12EB">
              <w:rPr>
                <w:rFonts w:ascii="Times New Roman" w:hAnsi="Times New Roman"/>
              </w:rPr>
              <w:t>Поквартальное распределение прогноза кассовых выплат, тыс. руб.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IV кв.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10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1.1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Основное мероприятие №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Контрольное событие 1.1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1.2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Основное мероприятие №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Контрольное событие 1.2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....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…..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7"/>
          <w:wAfter w:w="7645" w:type="dxa"/>
        </w:trPr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</w:tbl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>1)</w:t>
      </w:r>
      <w:r w:rsidRPr="00DE12EB">
        <w:rPr>
          <w:rFonts w:ascii="Times New Roman" w:hAnsi="Times New Roman" w:cs="Times New Roman"/>
        </w:rPr>
        <w:t xml:space="preserve"> Нумерация основного мероприятия должна соответствовать нумерации, указанной в муниципальной программе (подпрограмме).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2) </w:t>
      </w:r>
      <w:r w:rsidRPr="00DE12EB">
        <w:rPr>
          <w:rFonts w:ascii="Times New Roman" w:hAnsi="Times New Roman" w:cs="Times New Roman"/>
        </w:rPr>
        <w:t xml:space="preserve"> Контрольное событие отмечается в следующих случаях: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№ 596-606 важнейших целевых показателей, присваивается статус «1»;  если контрольное событие отражает результат выполнения мероприятий приоритетных национальных проектов, присваивается статус "2"; если контрольное событие включено в иной план, присваивается статус "3" с указанием в сноске наименования плана ("дорожной карты").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Допускается присваивание нескольких статусов одному контрольному событию в соответствующей графе.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3) </w:t>
      </w:r>
      <w:proofErr w:type="gramStart"/>
      <w:r w:rsidRPr="00DE12EB">
        <w:rPr>
          <w:rFonts w:ascii="Times New Roman" w:hAnsi="Times New Roman" w:cs="Times New Roman"/>
        </w:rPr>
        <w:t>Ответственным</w:t>
      </w:r>
      <w:proofErr w:type="gramEnd"/>
      <w:r w:rsidRPr="00DE12EB">
        <w:rPr>
          <w:rFonts w:ascii="Times New Roman" w:hAnsi="Times New Roman" w:cs="Times New Roman"/>
        </w:rPr>
        <w:t xml:space="preserve"> за реализацию мероприятия и (или) выполнение контрольного события указывается должностное лицо не ниже руководителя структурного подразделения администрации муниципального образования Кавказский район. 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4) </w:t>
      </w:r>
      <w:r w:rsidRPr="00DE12EB">
        <w:rPr>
          <w:rFonts w:ascii="Times New Roman" w:hAnsi="Times New Roman" w:cs="Times New Roman"/>
        </w:rPr>
        <w:t>Указываются даты начала и окончания реализации мероприятия, по контрольному событию – точная дата или крайний срок его проведения.</w:t>
      </w:r>
    </w:p>
    <w:p w:rsidR="00C36E4B" w:rsidRPr="000B0203" w:rsidRDefault="003D610D" w:rsidP="000B0203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5) </w:t>
      </w:r>
      <w:r w:rsidRPr="00DE12EB">
        <w:rPr>
          <w:rFonts w:ascii="Times New Roman" w:hAnsi="Times New Roman" w:cs="Times New Roman"/>
        </w:rPr>
        <w:t xml:space="preserve"> В части финансового обеспечения реализации муниципальной программы за счет средств местного бюджета,  краевого и федерального бюджета всего и в том числе, с добавлением отдельных строк для каждого уровня бюджета.</w:t>
      </w:r>
    </w:p>
    <w:p w:rsidR="00C36E4B" w:rsidRPr="00151FC7" w:rsidRDefault="00C36E4B" w:rsidP="00C36E4B">
      <w:pPr>
        <w:tabs>
          <w:tab w:val="left" w:pos="7905"/>
        </w:tabs>
        <w:ind w:left="11057"/>
        <w:jc w:val="center"/>
        <w:rPr>
          <w:rFonts w:ascii="Times New Roman" w:hAnsi="Times New Roman"/>
          <w:sz w:val="28"/>
          <w:szCs w:val="28"/>
        </w:rPr>
      </w:pPr>
      <w:r w:rsidRPr="00151FC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51FC7">
        <w:rPr>
          <w:rFonts w:ascii="Times New Roman" w:hAnsi="Times New Roman"/>
          <w:sz w:val="28"/>
          <w:szCs w:val="28"/>
        </w:rPr>
        <w:t>6</w:t>
      </w:r>
    </w:p>
    <w:p w:rsidR="00C36E4B" w:rsidRPr="00151FC7" w:rsidRDefault="00C36E4B" w:rsidP="00C36E4B">
      <w:pPr>
        <w:tabs>
          <w:tab w:val="left" w:pos="7905"/>
        </w:tabs>
        <w:ind w:left="11057"/>
        <w:jc w:val="center"/>
        <w:rPr>
          <w:rFonts w:ascii="Times New Roman" w:hAnsi="Times New Roman"/>
          <w:sz w:val="28"/>
          <w:szCs w:val="28"/>
        </w:rPr>
      </w:pPr>
      <w:r w:rsidRPr="00151FC7">
        <w:rPr>
          <w:rFonts w:ascii="Times New Roman" w:hAnsi="Times New Roman"/>
          <w:sz w:val="28"/>
          <w:szCs w:val="28"/>
        </w:rPr>
        <w:t>к муниципальной программе «Развитие культуры</w:t>
      </w:r>
      <w:r>
        <w:rPr>
          <w:rFonts w:ascii="Times New Roman" w:hAnsi="Times New Roman"/>
          <w:sz w:val="28"/>
          <w:szCs w:val="28"/>
        </w:rPr>
        <w:t>» на 2015 – 2016 годы</w:t>
      </w:r>
      <w:r w:rsidRPr="00151FC7">
        <w:rPr>
          <w:rFonts w:ascii="Times New Roman" w:hAnsi="Times New Roman"/>
          <w:sz w:val="28"/>
          <w:szCs w:val="28"/>
        </w:rPr>
        <w:t xml:space="preserve">  </w:t>
      </w:r>
    </w:p>
    <w:p w:rsidR="00C36E4B" w:rsidRPr="00151FC7" w:rsidRDefault="00C36E4B" w:rsidP="00C36E4B">
      <w:pPr>
        <w:tabs>
          <w:tab w:val="left" w:pos="12960"/>
        </w:tabs>
        <w:ind w:left="11057"/>
        <w:jc w:val="center"/>
        <w:rPr>
          <w:rFonts w:ascii="Times New Roman" w:hAnsi="Times New Roman"/>
          <w:b/>
          <w:sz w:val="28"/>
          <w:szCs w:val="28"/>
        </w:rPr>
      </w:pP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ДЕТАЛЬНЫЙ ПЛАН-ГРАФИК</w:t>
      </w: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РЕАЛИЗАЦИИ МУНИЦИПАЛЬНОЙ ПРОГРАММЫ «РАЗВИТИЕ КУЛЬТУРЫ» НА 2015 – 2017 ГОДЫ</w:t>
      </w: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НА ОЧЕРЕДНОЙ _______ ГОД И ПЛАНОВЫЙ ПЕРИОД _______ ГОДЫ</w:t>
      </w:r>
    </w:p>
    <w:tbl>
      <w:tblPr>
        <w:tblW w:w="14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224"/>
        <w:gridCol w:w="1050"/>
        <w:gridCol w:w="768"/>
        <w:gridCol w:w="1296"/>
        <w:gridCol w:w="1502"/>
        <w:gridCol w:w="1003"/>
        <w:gridCol w:w="1142"/>
        <w:gridCol w:w="1286"/>
        <w:gridCol w:w="1003"/>
        <w:gridCol w:w="998"/>
        <w:gridCol w:w="955"/>
        <w:gridCol w:w="910"/>
        <w:gridCol w:w="65"/>
      </w:tblGrid>
      <w:tr w:rsidR="00C36E4B" w:rsidRPr="00C36E4B" w:rsidTr="00FF171E"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N</w:t>
            </w:r>
            <w:r w:rsidRPr="00C36E4B">
              <w:rPr>
                <w:rFonts w:ascii="Times New Roman" w:hAnsi="Times New Roman"/>
              </w:rPr>
              <w:br/>
            </w:r>
            <w:proofErr w:type="gramStart"/>
            <w:r w:rsidRPr="00C36E4B">
              <w:rPr>
                <w:rFonts w:ascii="Times New Roman" w:hAnsi="Times New Roman"/>
              </w:rPr>
              <w:t>п</w:t>
            </w:r>
            <w:proofErr w:type="gramEnd"/>
            <w:r w:rsidRPr="00C36E4B">
              <w:rPr>
                <w:rFonts w:ascii="Times New Roman" w:hAnsi="Times New Roman"/>
              </w:rPr>
              <w:t>/п</w:t>
            </w:r>
          </w:p>
        </w:tc>
        <w:tc>
          <w:tcPr>
            <w:tcW w:w="3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в том числе их мероприятий, контрольного события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 xml:space="preserve">Статус </w:t>
            </w:r>
            <w:hyperlink w:anchor="sub_111" w:history="1">
              <w:r w:rsidRPr="00C36E4B">
                <w:rPr>
                  <w:rStyle w:val="a8"/>
                  <w:rFonts w:ascii="Times New Roman" w:hAnsi="Times New Roman"/>
                </w:rPr>
                <w:t>1</w:t>
              </w:r>
            </w:hyperlink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proofErr w:type="gramStart"/>
            <w:r w:rsidRPr="00C36E4B">
              <w:rPr>
                <w:rFonts w:ascii="Times New Roman" w:hAnsi="Times New Roman"/>
              </w:rPr>
              <w:t>Ответственный</w:t>
            </w:r>
            <w:proofErr w:type="gramEnd"/>
            <w:r w:rsidRPr="00C36E4B">
              <w:rPr>
                <w:rFonts w:ascii="Times New Roman" w:hAnsi="Times New Roman"/>
              </w:rPr>
              <w:t xml:space="preserve"> за реализацию мероприятия </w:t>
            </w:r>
            <w:hyperlink w:anchor="sub_333" w:history="1">
              <w:r w:rsidRPr="00C36E4B">
                <w:rPr>
                  <w:rStyle w:val="a8"/>
                  <w:rFonts w:ascii="Times New Roman" w:hAnsi="Times New Roman"/>
                </w:rPr>
                <w:t>2</w:t>
              </w:r>
            </w:hyperlink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Срок начала реализации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Срок окончания реализации (дата контрольного события)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E71E6">
              <w:rPr>
                <w:rStyle w:val="a8"/>
                <w:rFonts w:ascii="Times New Roman" w:hAnsi="Times New Roman"/>
                <w:b w:val="0"/>
                <w:color w:val="000000" w:themeColor="text1"/>
              </w:rPr>
              <w:t>Код бюджетной классификации</w:t>
            </w:r>
            <w:r w:rsidRPr="002E71E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hyperlink w:anchor="sub_444" w:history="1">
              <w:r w:rsidRPr="002E71E6">
                <w:rPr>
                  <w:rStyle w:val="a8"/>
                  <w:rFonts w:ascii="Times New Roman" w:hAnsi="Times New Roman"/>
                  <w:color w:val="000000" w:themeColor="text1"/>
                </w:rPr>
                <w:t>3</w:t>
              </w:r>
            </w:hyperlink>
          </w:p>
        </w:tc>
        <w:tc>
          <w:tcPr>
            <w:tcW w:w="3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 xml:space="preserve">Объем ресурсного обеспечения, тыс. руб. </w:t>
            </w:r>
            <w:hyperlink w:anchor="sub_444" w:history="1">
              <w:r w:rsidRPr="00C36E4B">
                <w:rPr>
                  <w:rStyle w:val="a8"/>
                  <w:rFonts w:ascii="Times New Roman" w:hAnsi="Times New Roman"/>
                </w:rPr>
                <w:t>3</w:t>
              </w:r>
            </w:hyperlink>
          </w:p>
        </w:tc>
      </w:tr>
      <w:tr w:rsidR="00C36E4B" w:rsidRPr="00C36E4B" w:rsidTr="00FF171E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Очередной год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12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Всего по муниципальной программе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Подпрограмма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1 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lastRenderedPageBreak/>
              <w:t>...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Основное мероприятие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2.1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2.N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Ведомственная целевая программа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3.1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3.N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151FC7" w:rsidTr="00FF171E">
        <w:trPr>
          <w:gridAfter w:val="1"/>
          <w:wAfter w:w="65" w:type="dxa"/>
        </w:trPr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E4B" w:rsidRPr="00151FC7" w:rsidRDefault="00C36E4B" w:rsidP="00FF171E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36E4B" w:rsidRPr="00C36E4B" w:rsidTr="00FF171E">
        <w:trPr>
          <w:gridAfter w:val="1"/>
          <w:wAfter w:w="65" w:type="dxa"/>
        </w:trPr>
        <w:tc>
          <w:tcPr>
            <w:tcW w:w="1471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тмечаются контрольные события программы в следующих случаях: если контрольное событие включено в план реализации муниципальной программы, присваивается статус "1";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N 596 - 606 важнейших целевых показателей, присваивается статус "2";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отражает результат выполнения мероприятий приоритетных национальных проектов, присваивается статус "3";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включено в иной план, присваивается статус "4" с указанием в сноске наименования плана ("дорожной карты").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Допускается присвоение нескольких статусов одному контрольному событию в соответствующей графе.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Указывается знак "*" напротив мероприятия, которое относится к приоритетному национальному проекту, и после таблицы приводится расшифровка наименования приоритетного национального проекта.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качестве ответственного за реализацию мероприятия указываются Ф.И.О, должность, наименование муниципального заказчика, главного распорядителя </w:t>
            </w: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(распорядителя) бюджетных средств, исполнителя (не более одного), по контрольному событию - координатор муниципальной программы (подпрограммы) и (или) участники муниципальной программы (не более одного).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части финансового обеспечения реализации муниципальной программы за счет средств краевого бюджета, в том числе источником финансирования которых являются межбюджетные трансферты из федерального бюджета.</w:t>
            </w:r>
          </w:p>
        </w:tc>
      </w:tr>
    </w:tbl>
    <w:p w:rsidR="002E71E6" w:rsidRPr="00C36E4B" w:rsidRDefault="002E71E6" w:rsidP="00C36E4B">
      <w:pPr>
        <w:rPr>
          <w:rFonts w:ascii="Times New Roman" w:hAnsi="Times New Roman"/>
          <w:sz w:val="28"/>
          <w:szCs w:val="28"/>
        </w:rPr>
        <w:sectPr w:rsidR="002E71E6" w:rsidRPr="00C36E4B" w:rsidSect="00090E36">
          <w:pgSz w:w="16837" w:h="11905" w:orient="landscape"/>
          <w:pgMar w:top="1134" w:right="1134" w:bottom="851" w:left="1134" w:header="720" w:footer="720" w:gutter="0"/>
          <w:cols w:space="720"/>
          <w:noEndnote/>
        </w:sectPr>
      </w:pPr>
    </w:p>
    <w:p w:rsidR="000876DD" w:rsidRPr="00C36E4B" w:rsidRDefault="000876DD" w:rsidP="00E56859">
      <w:pPr>
        <w:spacing w:after="0" w:line="240" w:lineRule="auto"/>
        <w:rPr>
          <w:rFonts w:ascii="Times New Roman" w:hAnsi="Times New Roman" w:cs="Times New Roman"/>
        </w:rPr>
      </w:pPr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ПРИЛОЖЕНИЕ № 7</w:t>
      </w:r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к муниципальной программе</w:t>
      </w:r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муниципального образования Кавказский район</w:t>
      </w:r>
    </w:p>
    <w:p w:rsidR="007B72C2" w:rsidRPr="00CE6C77" w:rsidRDefault="007B72C2" w:rsidP="00BB496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 xml:space="preserve"> «Развитие культуры» </w:t>
      </w:r>
    </w:p>
    <w:p w:rsidR="007B72C2" w:rsidRPr="008B7539" w:rsidRDefault="007B72C2" w:rsidP="007B72C2">
      <w:pPr>
        <w:tabs>
          <w:tab w:val="left" w:pos="12345"/>
        </w:tabs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B72C2" w:rsidRDefault="007B72C2" w:rsidP="007B72C2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Методика </w:t>
      </w:r>
    </w:p>
    <w:p w:rsidR="007B72C2" w:rsidRPr="00CE6C77" w:rsidRDefault="007B72C2" w:rsidP="007B72C2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>расчета целевых показателей муниципальной программы  муниципального образования Кавказский район «Развитие культуры»</w:t>
      </w:r>
    </w:p>
    <w:p w:rsidR="007B72C2" w:rsidRPr="008B7539" w:rsidRDefault="007B72C2" w:rsidP="007B72C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3969"/>
        <w:gridCol w:w="2977"/>
        <w:gridCol w:w="2268"/>
        <w:gridCol w:w="1559"/>
      </w:tblGrid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расчета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данных, индекс форм отчетности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расчета показателей</w:t>
            </w:r>
          </w:p>
        </w:tc>
        <w:tc>
          <w:tcPr>
            <w:tcW w:w="155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сбор данных и расчет показателей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5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культуры»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600" w:type="dxa"/>
            <w:gridSpan w:val="5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№ 1 «Руководство и управление в сфере культуры и искусства»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показатель: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 – (У)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У= Чу/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100, где: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– уровень удовлетворенности населения;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Чу – численность удовлетворенных качеством услуг в сфере культуры из опрошенного населения;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численность опрошенного населения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</w:t>
            </w:r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фактические данные предоставленные отделом культуры  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iCs/>
                <w:color w:val="000000"/>
              </w:rPr>
              <w:t>Основное мероприятие</w:t>
            </w:r>
            <w:r w:rsidRPr="009A04F4">
              <w:rPr>
                <w:rFonts w:ascii="Times New Roman" w:hAnsi="Times New Roman"/>
                <w:color w:val="000000"/>
              </w:rPr>
              <w:t xml:space="preserve"> № 2 «Реализация дополнительных предпрофессиональных общеобразовательных программ в области искусств»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2.2.1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 xml:space="preserve">Целевой показатель: охват детей школьного возраста (5 - 18 лет) эстетическим образованием, предоставляемым детскими музыкальными, художественными </w:t>
            </w:r>
            <w:r w:rsidRPr="009A04F4">
              <w:rPr>
                <w:rFonts w:ascii="Times New Roman" w:hAnsi="Times New Roman"/>
                <w:color w:val="000000"/>
              </w:rPr>
              <w:lastRenderedPageBreak/>
              <w:t xml:space="preserve">школами и школами искусств </w:t>
            </w:r>
            <w:proofErr w:type="gramStart"/>
            <w:r w:rsidRPr="009A04F4">
              <w:rPr>
                <w:rFonts w:ascii="Times New Roman" w:hAnsi="Times New Roman"/>
                <w:color w:val="000000"/>
              </w:rPr>
              <w:t>-(</w:t>
            </w:r>
            <w:proofErr w:type="gramEnd"/>
            <w:r w:rsidRPr="009A04F4">
              <w:rPr>
                <w:rFonts w:ascii="Times New Roman" w:hAnsi="Times New Roman"/>
                <w:color w:val="000000"/>
              </w:rPr>
              <w:t>Од)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 = Дэ/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 100, где: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Дэ – число детей, занимающихся эстетическим образованием, предоставляемым детскими музыкальными, художественными школами и школами искусств 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общая численность детей в районе в возрасте от  5 до 18 лет.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Дэ -  данные ДМШ, ДХШ, ДШИ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данные территориального органа Федеральной службы государственной 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статистики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/>
                <w:color w:val="000000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>2.2.2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увеличение количества детей, обучающихся в школах дополнительного образования – (</w:t>
            </w:r>
            <w:proofErr w:type="spellStart"/>
            <w:r w:rsidRPr="009A04F4">
              <w:rPr>
                <w:rFonts w:ascii="Times New Roman" w:hAnsi="Times New Roman"/>
                <w:color w:val="000000"/>
              </w:rPr>
              <w:t>Укд</w:t>
            </w:r>
            <w:proofErr w:type="spellEnd"/>
            <w:r w:rsidRPr="009A04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Укд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Дэф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число детей, занимающихся эстетическим образованием за прошлый период;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Дэф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фактическое число детей, занимающихся эстетическим образованием на отчетный период.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C2" w:rsidRPr="008B7539" w:rsidTr="00CE14D2">
        <w:trPr>
          <w:trHeight w:val="2037"/>
        </w:trPr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2.2.3</w:t>
            </w:r>
          </w:p>
        </w:tc>
        <w:tc>
          <w:tcPr>
            <w:tcW w:w="3827" w:type="dxa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 «Централизованная бухгалтерия отдела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«Организация библиотечного обслуживания населения муниципального образования Кавказский район»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2.3.1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пользователей библиотеками в расчете на 1000 человек населения - (</w:t>
            </w:r>
            <w:proofErr w:type="spellStart"/>
            <w:r w:rsidRPr="009A04F4">
              <w:rPr>
                <w:rFonts w:ascii="Times New Roman" w:hAnsi="Times New Roman"/>
                <w:color w:val="000000"/>
              </w:rPr>
              <w:t>Чп</w:t>
            </w:r>
            <w:proofErr w:type="spellEnd"/>
            <w:r w:rsidRPr="009A04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(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 1000) /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читателей библиотек района;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жителей, проживающих в районе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данные МБУК «Центральная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Кавказского района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данные территориального органа Федеральной службы государственной статистики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2.3.2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 xml:space="preserve">Целевой показатель: число получателей средств, направленных на поэтапное повышение уровня средней заработной платы </w:t>
            </w:r>
            <w:r w:rsidRPr="009A04F4">
              <w:rPr>
                <w:rFonts w:ascii="Times New Roman" w:hAnsi="Times New Roman"/>
                <w:color w:val="000000"/>
              </w:rPr>
              <w:lastRenderedPageBreak/>
              <w:t>работников муниципальных учреждений сферы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МБУ «Централизованная бухгалтерия отдела культуры» Кавказского 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>2.3.3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обновление книжных фондов библиотек муниципального образования Кавказский район - (Оф)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 =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количество новых поступлений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совокупный фонд библиотек района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«Центральная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2.3.4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получателей услуг (пользователей библиотек муниципального образования Кавказский район, физических лиц)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читателей библиотек района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МБУК «Центральная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 «Методическое обслуживание учреждений культуры»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2.4.1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учебных, консультативных и методических мероприятий, проведенных для учреждений в сфере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МБУК «Организационно-методический центр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2.4.2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 «Централизованная бухгалтерия отдела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2.4.3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учреждений культуры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обслуживаемых учреждений по отрасли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МБУК «Организационно-методический центр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i/>
                <w:iCs/>
                <w:color w:val="000000"/>
              </w:rPr>
              <w:t>Основное мероприятие</w:t>
            </w:r>
            <w:r w:rsidRPr="009A04F4">
              <w:rPr>
                <w:rFonts w:ascii="Times New Roman" w:hAnsi="Times New Roman"/>
                <w:color w:val="000000"/>
              </w:rPr>
              <w:t xml:space="preserve"> № 5 «Обеспечение организации и осуществления бухгалтерского учета»</w:t>
            </w:r>
          </w:p>
        </w:tc>
      </w:tr>
      <w:tr w:rsidR="007B72C2" w:rsidRPr="008B7539" w:rsidTr="00CE14D2">
        <w:trPr>
          <w:trHeight w:val="1618"/>
        </w:trPr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>2.5.1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учреждений, обслуживаемых МБУ «Централизованная бухгалтерия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 «Централизованная бухгалтерия отдела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Отдел культуры администрации МО Кавказский район</w:t>
            </w: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i/>
                <w:iCs/>
                <w:color w:val="000000"/>
              </w:rPr>
              <w:t>Основное мероприятие</w:t>
            </w:r>
            <w:r w:rsidRPr="009A04F4">
              <w:rPr>
                <w:rFonts w:ascii="Times New Roman" w:hAnsi="Times New Roman"/>
                <w:color w:val="000000"/>
              </w:rPr>
              <w:t xml:space="preserve"> № 6 «Создание условий для организации досуга и культуры»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2.6.1</w:t>
            </w:r>
          </w:p>
        </w:tc>
        <w:tc>
          <w:tcPr>
            <w:tcW w:w="3827" w:type="dxa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культурно-массовых мероприятий, проведенных на территории муниципального образования Кавказский район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учреждений культуры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2.6.2</w:t>
            </w:r>
          </w:p>
        </w:tc>
        <w:tc>
          <w:tcPr>
            <w:tcW w:w="3827" w:type="dxa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краевых (всероссийских) мероприятий, в которых приняло участие муниципальное образование Кавказский район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учреждений культуры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7B72C2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Pr="00CE6C77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Pr="00CE6C77" w:rsidRDefault="007B72C2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Заместитель главы </w:t>
      </w:r>
      <w:proofErr w:type="gramStart"/>
      <w:r w:rsidRPr="00CE6C77">
        <w:rPr>
          <w:rFonts w:ascii="Times New Roman" w:hAnsi="Times New Roman" w:cs="Times New Roman"/>
          <w:color w:val="000000"/>
          <w:sz w:val="24"/>
          <w:szCs w:val="28"/>
        </w:rPr>
        <w:t>муниципального</w:t>
      </w:r>
      <w:proofErr w:type="gramEnd"/>
    </w:p>
    <w:p w:rsidR="007B72C2" w:rsidRPr="00CE6C77" w:rsidRDefault="007B72C2" w:rsidP="007B72C2">
      <w:pPr>
        <w:pStyle w:val="ConsPlusNormal"/>
        <w:suppressAutoHyphens/>
        <w:ind w:firstLine="0"/>
        <w:jc w:val="both"/>
        <w:rPr>
          <w:sz w:val="1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образования Кавказский район                                                                                                                                  </w:t>
      </w:r>
      <w:r w:rsidR="002E71E6">
        <w:rPr>
          <w:rFonts w:ascii="Times New Roman" w:hAnsi="Times New Roman" w:cs="Times New Roman"/>
          <w:color w:val="000000"/>
          <w:sz w:val="24"/>
          <w:szCs w:val="28"/>
        </w:rPr>
        <w:t xml:space="preserve">             </w:t>
      </w:r>
      <w:r w:rsidR="00BB12E0">
        <w:rPr>
          <w:rFonts w:ascii="Times New Roman" w:hAnsi="Times New Roman" w:cs="Times New Roman"/>
          <w:color w:val="000000"/>
          <w:sz w:val="24"/>
          <w:szCs w:val="28"/>
        </w:rPr>
        <w:t xml:space="preserve">            </w:t>
      </w:r>
      <w:r w:rsidR="002E71E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E6C77">
        <w:rPr>
          <w:rFonts w:ascii="Times New Roman" w:hAnsi="Times New Roman" w:cs="Times New Roman"/>
          <w:color w:val="000000"/>
          <w:sz w:val="24"/>
          <w:szCs w:val="28"/>
        </w:rPr>
        <w:t>С.В. Филатова</w:t>
      </w:r>
    </w:p>
    <w:p w:rsidR="000876DD" w:rsidRPr="00E56859" w:rsidRDefault="000876DD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76DD" w:rsidRPr="00E56859" w:rsidSect="00233FE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F41E21"/>
    <w:multiLevelType w:val="hybridMultilevel"/>
    <w:tmpl w:val="7E669A30"/>
    <w:lvl w:ilvl="0" w:tplc="D0F4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EAE6A7F"/>
    <w:multiLevelType w:val="hybridMultilevel"/>
    <w:tmpl w:val="2A8E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DA1541"/>
    <w:multiLevelType w:val="hybridMultilevel"/>
    <w:tmpl w:val="790055E8"/>
    <w:lvl w:ilvl="0" w:tplc="EC400F18">
      <w:start w:val="1"/>
      <w:numFmt w:val="decimal"/>
      <w:lvlText w:val="%1)"/>
      <w:lvlJc w:val="left"/>
      <w:pPr>
        <w:ind w:left="121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4">
    <w:nsid w:val="189A74B7"/>
    <w:multiLevelType w:val="hybridMultilevel"/>
    <w:tmpl w:val="8220923A"/>
    <w:lvl w:ilvl="0" w:tplc="6070FC24">
      <w:start w:val="2017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082C35"/>
    <w:multiLevelType w:val="hybridMultilevel"/>
    <w:tmpl w:val="5A468F66"/>
    <w:lvl w:ilvl="0" w:tplc="3DA6908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6D85AAB"/>
    <w:multiLevelType w:val="hybridMultilevel"/>
    <w:tmpl w:val="9CD66D6C"/>
    <w:lvl w:ilvl="0" w:tplc="C002ACD2">
      <w:start w:val="2016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E4A62A3"/>
    <w:multiLevelType w:val="hybridMultilevel"/>
    <w:tmpl w:val="8220923A"/>
    <w:lvl w:ilvl="0" w:tplc="6070FC24">
      <w:start w:val="2017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1900475"/>
    <w:multiLevelType w:val="multilevel"/>
    <w:tmpl w:val="8EF0F2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46F26725"/>
    <w:multiLevelType w:val="multilevel"/>
    <w:tmpl w:val="27D0C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49114D86"/>
    <w:multiLevelType w:val="hybridMultilevel"/>
    <w:tmpl w:val="C76C292C"/>
    <w:lvl w:ilvl="0" w:tplc="04190019">
      <w:start w:val="1"/>
      <w:numFmt w:val="decimal"/>
      <w:lvlText w:val="%1."/>
      <w:lvlJc w:val="left"/>
      <w:pPr>
        <w:ind w:left="155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2F6629D"/>
    <w:multiLevelType w:val="hybridMultilevel"/>
    <w:tmpl w:val="E0CE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B43210"/>
    <w:multiLevelType w:val="hybridMultilevel"/>
    <w:tmpl w:val="7D467E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9615FD"/>
    <w:multiLevelType w:val="hybridMultilevel"/>
    <w:tmpl w:val="15E2BC24"/>
    <w:lvl w:ilvl="0" w:tplc="6B9EE4FE">
      <w:start w:val="1"/>
      <w:numFmt w:val="decimal"/>
      <w:lvlText w:val="%1."/>
      <w:lvlJc w:val="left"/>
      <w:pPr>
        <w:ind w:left="1558" w:hanging="990"/>
      </w:pPr>
      <w:rPr>
        <w:rFonts w:ascii="Arial" w:eastAsia="Times New Roman" w:hAnsi="Arial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0FF5F5C"/>
    <w:multiLevelType w:val="hybridMultilevel"/>
    <w:tmpl w:val="1518BC34"/>
    <w:lvl w:ilvl="0" w:tplc="8AEE420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6716D9"/>
    <w:multiLevelType w:val="hybridMultilevel"/>
    <w:tmpl w:val="BD94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925FBF"/>
    <w:multiLevelType w:val="hybridMultilevel"/>
    <w:tmpl w:val="9D7C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2D3B46"/>
    <w:multiLevelType w:val="hybridMultilevel"/>
    <w:tmpl w:val="F2E8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EA5E69"/>
    <w:multiLevelType w:val="hybridMultilevel"/>
    <w:tmpl w:val="0E1209AA"/>
    <w:lvl w:ilvl="0" w:tplc="8B1631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B025C26"/>
    <w:multiLevelType w:val="multilevel"/>
    <w:tmpl w:val="27D0C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7C580D80"/>
    <w:multiLevelType w:val="hybridMultilevel"/>
    <w:tmpl w:val="A22882F0"/>
    <w:lvl w:ilvl="0" w:tplc="FADA270E">
      <w:start w:val="2021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3"/>
  </w:num>
  <w:num w:numId="5">
    <w:abstractNumId w:val="12"/>
  </w:num>
  <w:num w:numId="6">
    <w:abstractNumId w:val="4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8"/>
  </w:num>
  <w:num w:numId="11">
    <w:abstractNumId w:val="20"/>
  </w:num>
  <w:num w:numId="12">
    <w:abstractNumId w:val="10"/>
  </w:num>
  <w:num w:numId="13">
    <w:abstractNumId w:val="1"/>
  </w:num>
  <w:num w:numId="14">
    <w:abstractNumId w:val="17"/>
  </w:num>
  <w:num w:numId="15">
    <w:abstractNumId w:val="16"/>
  </w:num>
  <w:num w:numId="16">
    <w:abstractNumId w:val="9"/>
  </w:num>
  <w:num w:numId="17">
    <w:abstractNumId w:val="2"/>
  </w:num>
  <w:num w:numId="18">
    <w:abstractNumId w:val="5"/>
  </w:num>
  <w:num w:numId="19">
    <w:abstractNumId w:val="11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6429"/>
    <w:rsid w:val="00044896"/>
    <w:rsid w:val="000876DD"/>
    <w:rsid w:val="00090E36"/>
    <w:rsid w:val="000B0203"/>
    <w:rsid w:val="000C09A0"/>
    <w:rsid w:val="000E0BF1"/>
    <w:rsid w:val="000E303B"/>
    <w:rsid w:val="00102862"/>
    <w:rsid w:val="0012093E"/>
    <w:rsid w:val="00177886"/>
    <w:rsid w:val="001B50DE"/>
    <w:rsid w:val="001D21C7"/>
    <w:rsid w:val="001D3462"/>
    <w:rsid w:val="001F0DAF"/>
    <w:rsid w:val="00227699"/>
    <w:rsid w:val="00227A82"/>
    <w:rsid w:val="00233FEE"/>
    <w:rsid w:val="00271EBE"/>
    <w:rsid w:val="002B2A34"/>
    <w:rsid w:val="002E71E6"/>
    <w:rsid w:val="002F2C55"/>
    <w:rsid w:val="00300D7A"/>
    <w:rsid w:val="003177C8"/>
    <w:rsid w:val="00363C32"/>
    <w:rsid w:val="003C6570"/>
    <w:rsid w:val="003D610D"/>
    <w:rsid w:val="00404936"/>
    <w:rsid w:val="004638CB"/>
    <w:rsid w:val="004D0FED"/>
    <w:rsid w:val="005024F2"/>
    <w:rsid w:val="0052226E"/>
    <w:rsid w:val="005C53D1"/>
    <w:rsid w:val="005C687D"/>
    <w:rsid w:val="00660413"/>
    <w:rsid w:val="00663A83"/>
    <w:rsid w:val="006876B1"/>
    <w:rsid w:val="006B11F3"/>
    <w:rsid w:val="006C6429"/>
    <w:rsid w:val="006C7C0A"/>
    <w:rsid w:val="006F0F73"/>
    <w:rsid w:val="00720C2C"/>
    <w:rsid w:val="007436C6"/>
    <w:rsid w:val="00764D1C"/>
    <w:rsid w:val="0078631A"/>
    <w:rsid w:val="007B1ACF"/>
    <w:rsid w:val="007B72C2"/>
    <w:rsid w:val="007E5DC5"/>
    <w:rsid w:val="00800BFE"/>
    <w:rsid w:val="00815600"/>
    <w:rsid w:val="00850C20"/>
    <w:rsid w:val="00876588"/>
    <w:rsid w:val="008C551D"/>
    <w:rsid w:val="008F019E"/>
    <w:rsid w:val="009260EF"/>
    <w:rsid w:val="0093153A"/>
    <w:rsid w:val="00936D8C"/>
    <w:rsid w:val="00986477"/>
    <w:rsid w:val="009E4949"/>
    <w:rsid w:val="00A36735"/>
    <w:rsid w:val="00A4346B"/>
    <w:rsid w:val="00A4520A"/>
    <w:rsid w:val="00A53D11"/>
    <w:rsid w:val="00AA32FE"/>
    <w:rsid w:val="00AB01C3"/>
    <w:rsid w:val="00AB5922"/>
    <w:rsid w:val="00AE4CB5"/>
    <w:rsid w:val="00B0435E"/>
    <w:rsid w:val="00B07FA6"/>
    <w:rsid w:val="00B25088"/>
    <w:rsid w:val="00B80596"/>
    <w:rsid w:val="00B901F9"/>
    <w:rsid w:val="00BA0A0A"/>
    <w:rsid w:val="00BB12E0"/>
    <w:rsid w:val="00BB4962"/>
    <w:rsid w:val="00BD64E8"/>
    <w:rsid w:val="00BE43F0"/>
    <w:rsid w:val="00C36E4B"/>
    <w:rsid w:val="00C44412"/>
    <w:rsid w:val="00CD44A7"/>
    <w:rsid w:val="00CE14D2"/>
    <w:rsid w:val="00D075A4"/>
    <w:rsid w:val="00D42054"/>
    <w:rsid w:val="00D62F34"/>
    <w:rsid w:val="00DE74A6"/>
    <w:rsid w:val="00E0656A"/>
    <w:rsid w:val="00E07E62"/>
    <w:rsid w:val="00E27CE7"/>
    <w:rsid w:val="00E56859"/>
    <w:rsid w:val="00ED5A33"/>
    <w:rsid w:val="00F56953"/>
    <w:rsid w:val="00F82A91"/>
    <w:rsid w:val="00F831F7"/>
    <w:rsid w:val="00F84D0D"/>
    <w:rsid w:val="00F87604"/>
    <w:rsid w:val="00FC1769"/>
    <w:rsid w:val="00FC4A00"/>
    <w:rsid w:val="00FD1212"/>
    <w:rsid w:val="00FD418B"/>
    <w:rsid w:val="00FF1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3"/>
  </w:style>
  <w:style w:type="paragraph" w:styleId="1">
    <w:name w:val="heading 1"/>
    <w:basedOn w:val="a"/>
    <w:next w:val="a"/>
    <w:link w:val="10"/>
    <w:uiPriority w:val="99"/>
    <w:qFormat/>
    <w:rsid w:val="0093153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93153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3153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3153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049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0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8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33F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6">
    <w:name w:val="List Paragraph"/>
    <w:basedOn w:val="a"/>
    <w:uiPriority w:val="99"/>
    <w:qFormat/>
    <w:rsid w:val="009315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Цветовое выделение"/>
    <w:uiPriority w:val="99"/>
    <w:rsid w:val="0093153A"/>
    <w:rPr>
      <w:b/>
      <w:color w:val="26282F"/>
    </w:rPr>
  </w:style>
  <w:style w:type="character" w:customStyle="1" w:styleId="a8">
    <w:name w:val="Гипертекстовая ссылка"/>
    <w:uiPriority w:val="99"/>
    <w:rsid w:val="0093153A"/>
    <w:rPr>
      <w:b/>
      <w:color w:val="106BBE"/>
    </w:rPr>
  </w:style>
  <w:style w:type="character" w:customStyle="1" w:styleId="a9">
    <w:name w:val="Активная гипертекстовая ссылка"/>
    <w:uiPriority w:val="99"/>
    <w:rsid w:val="0093153A"/>
    <w:rPr>
      <w:b/>
      <w:color w:val="106BBE"/>
      <w:u w:val="single"/>
    </w:rPr>
  </w:style>
  <w:style w:type="paragraph" w:customStyle="1" w:styleId="aa">
    <w:name w:val="Внимание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5F3DA"/>
    </w:rPr>
  </w:style>
  <w:style w:type="paragraph" w:customStyle="1" w:styleId="ab">
    <w:name w:val="Внимание: криминал!!"/>
    <w:basedOn w:val="aa"/>
    <w:next w:val="a"/>
    <w:uiPriority w:val="99"/>
    <w:rsid w:val="0093153A"/>
  </w:style>
  <w:style w:type="paragraph" w:customStyle="1" w:styleId="ac">
    <w:name w:val="Внимание: недобросовестность!"/>
    <w:basedOn w:val="aa"/>
    <w:next w:val="a"/>
    <w:uiPriority w:val="99"/>
    <w:rsid w:val="0093153A"/>
  </w:style>
  <w:style w:type="character" w:customStyle="1" w:styleId="ad">
    <w:name w:val="Выделение для Базового Поиска"/>
    <w:uiPriority w:val="99"/>
    <w:rsid w:val="0093153A"/>
    <w:rPr>
      <w:b/>
      <w:color w:val="0058A9"/>
    </w:rPr>
  </w:style>
  <w:style w:type="character" w:customStyle="1" w:styleId="ae">
    <w:name w:val="Выделение для Базового Поиска (курсив)"/>
    <w:uiPriority w:val="99"/>
    <w:rsid w:val="0093153A"/>
    <w:rPr>
      <w:b/>
      <w:i/>
      <w:color w:val="0058A9"/>
    </w:rPr>
  </w:style>
  <w:style w:type="paragraph" w:customStyle="1" w:styleId="af">
    <w:name w:val="Дочерний элемент списк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868381"/>
      <w:sz w:val="20"/>
      <w:szCs w:val="20"/>
    </w:rPr>
  </w:style>
  <w:style w:type="paragraph" w:customStyle="1" w:styleId="af0">
    <w:name w:val="Основное меню (преемственное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af1">
    <w:name w:val="Заголовок"/>
    <w:basedOn w:val="af0"/>
    <w:next w:val="a"/>
    <w:uiPriority w:val="99"/>
    <w:rsid w:val="0093153A"/>
    <w:rPr>
      <w:b/>
      <w:bCs/>
      <w:color w:val="0058A9"/>
      <w:shd w:val="clear" w:color="auto" w:fill="ECE9D8"/>
    </w:rPr>
  </w:style>
  <w:style w:type="paragraph" w:customStyle="1" w:styleId="af2">
    <w:name w:val="Заголовок группы контролов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93153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i/>
      <w:iCs/>
      <w:color w:val="000080"/>
    </w:rPr>
  </w:style>
  <w:style w:type="character" w:customStyle="1" w:styleId="af5">
    <w:name w:val="Заголовок своего сообщения"/>
    <w:basedOn w:val="a7"/>
    <w:uiPriority w:val="99"/>
    <w:rsid w:val="0093153A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7">
    <w:name w:val="Заголовок чужого сообщения"/>
    <w:uiPriority w:val="99"/>
    <w:rsid w:val="0093153A"/>
    <w:rPr>
      <w:b/>
      <w:color w:val="FF0000"/>
    </w:rPr>
  </w:style>
  <w:style w:type="paragraph" w:customStyle="1" w:styleId="af8">
    <w:name w:val="Заголовок ЭР (левое окно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uiPriority w:val="99"/>
    <w:rsid w:val="0093153A"/>
    <w:pPr>
      <w:spacing w:after="0"/>
      <w:jc w:val="left"/>
    </w:pPr>
  </w:style>
  <w:style w:type="paragraph" w:customStyle="1" w:styleId="afa">
    <w:name w:val="Интерактивный заголовок"/>
    <w:basedOn w:val="af1"/>
    <w:next w:val="a"/>
    <w:uiPriority w:val="99"/>
    <w:rsid w:val="0093153A"/>
    <w:rPr>
      <w:u w:val="single"/>
    </w:rPr>
  </w:style>
  <w:style w:type="paragraph" w:customStyle="1" w:styleId="afb">
    <w:name w:val="Текст информации об изменениях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uiPriority w:val="99"/>
    <w:rsid w:val="009315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</w:rPr>
  </w:style>
  <w:style w:type="paragraph" w:customStyle="1" w:styleId="afe">
    <w:name w:val="Комментарий"/>
    <w:basedOn w:val="afd"/>
    <w:next w:val="a"/>
    <w:uiPriority w:val="99"/>
    <w:rsid w:val="009315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93153A"/>
    <w:rPr>
      <w:i/>
      <w:iCs/>
    </w:rPr>
  </w:style>
  <w:style w:type="paragraph" w:customStyle="1" w:styleId="aff0">
    <w:name w:val="Текст (лев. подпись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f1">
    <w:name w:val="Колонтитул (левый)"/>
    <w:basedOn w:val="aff0"/>
    <w:next w:val="a"/>
    <w:uiPriority w:val="99"/>
    <w:rsid w:val="0093153A"/>
    <w:rPr>
      <w:sz w:val="14"/>
      <w:szCs w:val="14"/>
    </w:rPr>
  </w:style>
  <w:style w:type="paragraph" w:customStyle="1" w:styleId="aff2">
    <w:name w:val="Текст (прав. подпись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</w:rPr>
  </w:style>
  <w:style w:type="paragraph" w:customStyle="1" w:styleId="aff3">
    <w:name w:val="Колонтитул (правый)"/>
    <w:basedOn w:val="aff2"/>
    <w:next w:val="a"/>
    <w:uiPriority w:val="99"/>
    <w:rsid w:val="0093153A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uiPriority w:val="99"/>
    <w:rsid w:val="0093153A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a"/>
    <w:next w:val="a"/>
    <w:uiPriority w:val="99"/>
    <w:rsid w:val="0093153A"/>
  </w:style>
  <w:style w:type="paragraph" w:customStyle="1" w:styleId="aff6">
    <w:name w:val="Моноширинный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7">
    <w:name w:val="Найденные слова"/>
    <w:uiPriority w:val="99"/>
    <w:rsid w:val="0093153A"/>
    <w:rPr>
      <w:b/>
      <w:color w:val="26282F"/>
      <w:shd w:val="clear" w:color="auto" w:fill="FFF580"/>
    </w:rPr>
  </w:style>
  <w:style w:type="character" w:customStyle="1" w:styleId="aff8">
    <w:name w:val="Не вступил в силу"/>
    <w:uiPriority w:val="99"/>
    <w:rsid w:val="0093153A"/>
    <w:rPr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a"/>
    <w:next w:val="a"/>
    <w:uiPriority w:val="99"/>
    <w:rsid w:val="0093153A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b">
    <w:name w:val="Таблицы (моноширинный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c">
    <w:name w:val="Оглавление"/>
    <w:basedOn w:val="affb"/>
    <w:next w:val="a"/>
    <w:uiPriority w:val="99"/>
    <w:rsid w:val="0093153A"/>
    <w:pPr>
      <w:ind w:left="140"/>
    </w:pPr>
  </w:style>
  <w:style w:type="character" w:customStyle="1" w:styleId="affd">
    <w:name w:val="Опечатки"/>
    <w:uiPriority w:val="99"/>
    <w:rsid w:val="0093153A"/>
    <w:rPr>
      <w:color w:val="FF0000"/>
    </w:rPr>
  </w:style>
  <w:style w:type="paragraph" w:customStyle="1" w:styleId="affe">
    <w:name w:val="Переменная часть"/>
    <w:basedOn w:val="af0"/>
    <w:next w:val="a"/>
    <w:uiPriority w:val="99"/>
    <w:rsid w:val="0093153A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93153A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b"/>
    <w:next w:val="a"/>
    <w:uiPriority w:val="99"/>
    <w:rsid w:val="0093153A"/>
    <w:rPr>
      <w:b/>
      <w:bCs/>
    </w:rPr>
  </w:style>
  <w:style w:type="paragraph" w:customStyle="1" w:styleId="afff1">
    <w:name w:val="Подчёркнуный текст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2">
    <w:name w:val="Постоянная часть"/>
    <w:basedOn w:val="af0"/>
    <w:next w:val="a"/>
    <w:uiPriority w:val="99"/>
    <w:rsid w:val="0093153A"/>
    <w:rPr>
      <w:sz w:val="20"/>
      <w:szCs w:val="20"/>
    </w:rPr>
  </w:style>
  <w:style w:type="paragraph" w:customStyle="1" w:styleId="afff3">
    <w:name w:val="Пример."/>
    <w:basedOn w:val="aa"/>
    <w:next w:val="a"/>
    <w:uiPriority w:val="99"/>
    <w:rsid w:val="0093153A"/>
  </w:style>
  <w:style w:type="paragraph" w:customStyle="1" w:styleId="afff4">
    <w:name w:val="Примечание."/>
    <w:basedOn w:val="aa"/>
    <w:next w:val="a"/>
    <w:uiPriority w:val="99"/>
    <w:rsid w:val="0093153A"/>
  </w:style>
  <w:style w:type="character" w:customStyle="1" w:styleId="afff5">
    <w:name w:val="Продолжение ссылки"/>
    <w:basedOn w:val="a8"/>
    <w:uiPriority w:val="99"/>
    <w:rsid w:val="0093153A"/>
    <w:rPr>
      <w:rFonts w:cs="Times New Roman"/>
      <w:b/>
      <w:bCs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7">
    <w:name w:val="Сравнение редакций"/>
    <w:basedOn w:val="a7"/>
    <w:uiPriority w:val="99"/>
    <w:rsid w:val="0093153A"/>
    <w:rPr>
      <w:rFonts w:cs="Times New Roman"/>
      <w:b/>
      <w:bCs/>
      <w:color w:val="26282F"/>
    </w:rPr>
  </w:style>
  <w:style w:type="character" w:customStyle="1" w:styleId="afff8">
    <w:name w:val="Сравнение редакций. Добавленный фрагмент"/>
    <w:uiPriority w:val="99"/>
    <w:rsid w:val="0093153A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93153A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b">
    <w:name w:val="Текст в таблице"/>
    <w:basedOn w:val="affa"/>
    <w:next w:val="a"/>
    <w:uiPriority w:val="99"/>
    <w:rsid w:val="0093153A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93153A"/>
    <w:rPr>
      <w:b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5F3DA"/>
    </w:rPr>
  </w:style>
  <w:style w:type="paragraph" w:customStyle="1" w:styleId="affff0">
    <w:name w:val="Центрированный (таблица)"/>
    <w:basedOn w:val="affa"/>
    <w:next w:val="a"/>
    <w:uiPriority w:val="99"/>
    <w:rsid w:val="009315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ff1">
    <w:name w:val="Strong"/>
    <w:basedOn w:val="a0"/>
    <w:uiPriority w:val="99"/>
    <w:qFormat/>
    <w:rsid w:val="0093153A"/>
    <w:rPr>
      <w:rFonts w:cs="Times New Roman"/>
      <w:b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9315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ff2">
    <w:name w:val="Normal (Web)"/>
    <w:basedOn w:val="a"/>
    <w:uiPriority w:val="99"/>
    <w:rsid w:val="0093153A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ff3">
    <w:name w:val="Table Grid"/>
    <w:basedOn w:val="a1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rsid w:val="0093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f4">
    <w:name w:val="header"/>
    <w:basedOn w:val="a"/>
    <w:link w:val="affff5"/>
    <w:uiPriority w:val="99"/>
    <w:rsid w:val="009315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f5">
    <w:name w:val="Верхний колонтитул Знак"/>
    <w:basedOn w:val="a0"/>
    <w:link w:val="affff4"/>
    <w:uiPriority w:val="99"/>
    <w:rsid w:val="0093153A"/>
    <w:rPr>
      <w:rFonts w:ascii="Arial" w:eastAsia="Times New Roman" w:hAnsi="Arial" w:cs="Times New Roman"/>
      <w:sz w:val="24"/>
      <w:szCs w:val="24"/>
    </w:rPr>
  </w:style>
  <w:style w:type="paragraph" w:styleId="affff6">
    <w:name w:val="footer"/>
    <w:basedOn w:val="a"/>
    <w:link w:val="affff7"/>
    <w:uiPriority w:val="99"/>
    <w:rsid w:val="009315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f7">
    <w:name w:val="Нижний колонтитул Знак"/>
    <w:basedOn w:val="a0"/>
    <w:link w:val="affff6"/>
    <w:uiPriority w:val="99"/>
    <w:rsid w:val="0093153A"/>
    <w:rPr>
      <w:rFonts w:ascii="Arial" w:eastAsia="Times New Roman" w:hAnsi="Arial" w:cs="Times New Roman"/>
      <w:sz w:val="24"/>
      <w:szCs w:val="24"/>
    </w:rPr>
  </w:style>
  <w:style w:type="character" w:styleId="affff8">
    <w:name w:val="Hyperlink"/>
    <w:basedOn w:val="a0"/>
    <w:uiPriority w:val="99"/>
    <w:semiHidden/>
    <w:rsid w:val="0093153A"/>
    <w:rPr>
      <w:rFonts w:cs="Times New Roman"/>
      <w:color w:val="0000FF"/>
      <w:u w:val="single"/>
    </w:rPr>
  </w:style>
  <w:style w:type="character" w:styleId="affff9">
    <w:name w:val="FollowedHyperlink"/>
    <w:basedOn w:val="a0"/>
    <w:uiPriority w:val="99"/>
    <w:semiHidden/>
    <w:rsid w:val="0093153A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9315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9315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9315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9315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93153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93153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rsid w:val="0093153A"/>
    <w:pPr>
      <w:pBdr>
        <w:bottom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1">
    <w:name w:val="xl101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2">
    <w:name w:val="xl102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uiPriority w:val="99"/>
    <w:rsid w:val="009315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93153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9315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uiPriority w:val="99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87604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styleId="affffa">
    <w:name w:val="No Spacing"/>
    <w:uiPriority w:val="99"/>
    <w:qFormat/>
    <w:rsid w:val="00F8760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hyperlink" Target="garantF1://23840805.0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settings" Target="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75B2-497C-48B3-9059-283F357C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49</Pages>
  <Words>12080</Words>
  <Characters>68857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cp:keywords/>
  <dc:description/>
  <cp:lastModifiedBy>Matyshova</cp:lastModifiedBy>
  <cp:revision>78</cp:revision>
  <cp:lastPrinted>2017-02-01T13:49:00Z</cp:lastPrinted>
  <dcterms:created xsi:type="dcterms:W3CDTF">2016-01-29T11:05:00Z</dcterms:created>
  <dcterms:modified xsi:type="dcterms:W3CDTF">2017-04-10T11:26:00Z</dcterms:modified>
</cp:coreProperties>
</file>