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29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</w:t>
      </w:r>
      <w:r w:rsidR="00AA109F">
        <w:rPr>
          <w:rFonts w:ascii="Times New Roman" w:hAnsi="Times New Roman" w:cs="Times New Roman"/>
          <w:bCs/>
          <w:color w:val="26282F"/>
          <w:sz w:val="28"/>
          <w:szCs w:val="28"/>
        </w:rPr>
        <w:t>ода, 20 апреля, 23 июня, 2 сентября, 16 сентября, 24 ноября 2016 года</w:t>
      </w:r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>, 18 января 2017</w:t>
      </w:r>
      <w:proofErr w:type="gramEnd"/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</w:t>
      </w:r>
      <w:r w:rsidR="002074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207470">
        <w:rPr>
          <w:rFonts w:ascii="Times New Roman" w:hAnsi="Times New Roman" w:cs="Times New Roman"/>
          <w:bCs/>
          <w:color w:val="26282F"/>
          <w:sz w:val="28"/>
          <w:szCs w:val="28"/>
        </w:rPr>
        <w:t>20 апреля 2017, 26 июня 2017 года</w:t>
      </w:r>
      <w:bookmarkStart w:id="0" w:name="_GoBack"/>
      <w:bookmarkEnd w:id="0"/>
      <w:r w:rsidR="009B3006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информации о деятельности органов местного самоуправления МО Кавказский район;</w:t>
            </w:r>
          </w:p>
          <w:p w:rsidR="009B3006" w:rsidRPr="009B300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муниципальных </w:t>
            </w:r>
            <w:r w:rsidRPr="009B3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актов;</w:t>
            </w:r>
          </w:p>
          <w:p w:rsidR="001A363B" w:rsidRPr="00E73B05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0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                      12047,3 тыс. руб., в том числе: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857718" w:rsidRPr="00E57B13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7B13">
              <w:rPr>
                <w:rFonts w:ascii="Times New Roman" w:hAnsi="Times New Roman"/>
                <w:sz w:val="28"/>
                <w:szCs w:val="28"/>
              </w:rPr>
              <w:t>2016 год – 2767,3 тыс. руб.;</w:t>
            </w:r>
            <w:r w:rsidRPr="00E57B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2017 год – 2280,0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2018 год – 1100,0 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2019 год – 1100,0 тыс. руб.;</w:t>
            </w:r>
          </w:p>
          <w:p w:rsidR="00857718" w:rsidRPr="00857718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2020 год – 1100,0 тыс. руб.;</w:t>
            </w:r>
          </w:p>
          <w:p w:rsidR="001A363B" w:rsidRPr="00E73B05" w:rsidRDefault="00857718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18">
              <w:rPr>
                <w:rFonts w:ascii="Times New Roman" w:hAnsi="Times New Roman" w:cs="Times New Roman"/>
                <w:sz w:val="28"/>
                <w:szCs w:val="28"/>
              </w:rPr>
              <w:t>2021 год – 1100,0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6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207470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6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718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718">
        <w:rPr>
          <w:rFonts w:ascii="Times New Roman" w:eastAsia="MS Mincho" w:hAnsi="Times New Roman" w:cs="Times New Roman"/>
          <w:sz w:val="28"/>
          <w:szCs w:val="28"/>
        </w:rPr>
        <w:t xml:space="preserve">Общий объем финансирования муниципальной программы –  12047,3 тысяч рублей, в том числе из средств местного бюджета - 12047,3 тысяч рублей 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93"/>
        <w:gridCol w:w="2551"/>
      </w:tblGrid>
      <w:tr w:rsidR="00D110A8" w:rsidRPr="00E57B13" w:rsidTr="00BA18A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прог-раммы</w:t>
            </w:r>
            <w:proofErr w:type="spellEnd"/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D110A8" w:rsidRPr="00E57B13" w:rsidTr="00BA18A5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E57B13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D110A8" w:rsidRPr="00E57B13" w:rsidTr="00BA18A5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12047,3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12047,3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7617,3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4430,0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1280,0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2280,0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1480,0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110A8" w:rsidRPr="00E57B13" w:rsidTr="00BA18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8" w:rsidRPr="00E57B13" w:rsidRDefault="00D110A8" w:rsidP="00BA18A5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57B1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A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D1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2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E353DF">
        <w:rPr>
          <w:rFonts w:ascii="Times New Roman" w:hAnsi="Times New Roman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350E5C" w:rsidRPr="00C4702A" w:rsidTr="00BA18A5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02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02A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350E5C" w:rsidRPr="00C4702A" w:rsidTr="00BA18A5">
        <w:trPr>
          <w:trHeight w:val="625"/>
          <w:tblHeader/>
        </w:trPr>
        <w:tc>
          <w:tcPr>
            <w:tcW w:w="709" w:type="dxa"/>
            <w:vMerge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50E5C" w:rsidRPr="00C4702A" w:rsidTr="00BA18A5">
        <w:trPr>
          <w:trHeight w:val="253"/>
          <w:tblHeader/>
        </w:trPr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0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350E5C" w:rsidRPr="00C4702A" w:rsidTr="00BA18A5">
        <w:trPr>
          <w:trHeight w:val="259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350E5C" w:rsidRPr="00C4702A" w:rsidTr="00BA18A5">
        <w:trPr>
          <w:trHeight w:val="461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50E5C" w:rsidRPr="00C4702A" w:rsidTr="00BA18A5">
        <w:trPr>
          <w:trHeight w:val="736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 </w:t>
            </w: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0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4702A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70668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33333</w:t>
            </w:r>
          </w:p>
        </w:tc>
      </w:tr>
      <w:tr w:rsidR="00350E5C" w:rsidRPr="00C4702A" w:rsidTr="00BA18A5">
        <w:trPr>
          <w:trHeight w:val="736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350E5C" w:rsidRPr="00C4702A" w:rsidTr="00BA18A5">
        <w:trPr>
          <w:trHeight w:val="250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350E5C" w:rsidRPr="00C4702A" w:rsidTr="00BA18A5">
        <w:trPr>
          <w:trHeight w:val="250"/>
          <w:tblHeader/>
        </w:trPr>
        <w:tc>
          <w:tcPr>
            <w:tcW w:w="70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5C" w:rsidRPr="00C4702A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2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350E5C" w:rsidRPr="00E57B13" w:rsidTr="00BA18A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муници-пальной</w:t>
            </w:r>
            <w:proofErr w:type="spellEnd"/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прог-раммы</w:t>
            </w:r>
            <w:proofErr w:type="spellEnd"/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50E5C" w:rsidRPr="00E57B13" w:rsidTr="00BA18A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№1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обеспе-чение</w:t>
            </w:r>
            <w:proofErr w:type="spell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о деятель-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</w:t>
            </w:r>
            <w:proofErr w:type="spellStart"/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самоуп-равления</w:t>
            </w:r>
            <w:proofErr w:type="spellEnd"/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Отдел информационной политики администрации МО Кавказский район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7617,3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6117,3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муниципальных правовых актов органов местного самоуправления МО Кавказский район в сети </w:t>
            </w: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№2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4430,0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E5C" w:rsidRPr="00E57B13" w:rsidTr="00BA18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местный</w:t>
            </w:r>
          </w:p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12047,3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B13">
              <w:rPr>
                <w:rFonts w:ascii="Times New Roman" w:hAnsi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5C" w:rsidRPr="00E57B13" w:rsidRDefault="00350E5C" w:rsidP="00BA1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07470"/>
    <w:rsid w:val="0029773B"/>
    <w:rsid w:val="00304108"/>
    <w:rsid w:val="00343EF1"/>
    <w:rsid w:val="00350E5C"/>
    <w:rsid w:val="00396373"/>
    <w:rsid w:val="003E1393"/>
    <w:rsid w:val="004A00B3"/>
    <w:rsid w:val="004F18D8"/>
    <w:rsid w:val="004F629F"/>
    <w:rsid w:val="005A673E"/>
    <w:rsid w:val="00684939"/>
    <w:rsid w:val="006B62EF"/>
    <w:rsid w:val="007E391A"/>
    <w:rsid w:val="007E528C"/>
    <w:rsid w:val="00803133"/>
    <w:rsid w:val="00846B00"/>
    <w:rsid w:val="00857718"/>
    <w:rsid w:val="00897250"/>
    <w:rsid w:val="008A7C9F"/>
    <w:rsid w:val="008C588C"/>
    <w:rsid w:val="008D19E2"/>
    <w:rsid w:val="00935BF6"/>
    <w:rsid w:val="009647AC"/>
    <w:rsid w:val="009B3006"/>
    <w:rsid w:val="009D71CE"/>
    <w:rsid w:val="00A10FDF"/>
    <w:rsid w:val="00A16AAE"/>
    <w:rsid w:val="00A2445C"/>
    <w:rsid w:val="00A5789F"/>
    <w:rsid w:val="00AA109F"/>
    <w:rsid w:val="00AF5A1D"/>
    <w:rsid w:val="00C746CD"/>
    <w:rsid w:val="00D110A8"/>
    <w:rsid w:val="00D52F00"/>
    <w:rsid w:val="00D87A37"/>
    <w:rsid w:val="00D952CA"/>
    <w:rsid w:val="00DD780B"/>
    <w:rsid w:val="00E01E25"/>
    <w:rsid w:val="00E35ECF"/>
    <w:rsid w:val="00E456E2"/>
    <w:rsid w:val="00E507CA"/>
    <w:rsid w:val="00E571FE"/>
    <w:rsid w:val="00E8709F"/>
    <w:rsid w:val="00EB7B4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48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4749-30F2-4592-9473-DFD1CC0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</cp:revision>
  <dcterms:created xsi:type="dcterms:W3CDTF">2017-07-19T12:27:00Z</dcterms:created>
  <dcterms:modified xsi:type="dcterms:W3CDTF">2017-07-19T12:40:00Z</dcterms:modified>
</cp:coreProperties>
</file>