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tbl>
      <w:tblPr>
        <w:tblpPr w:horzAnchor="margin" w:tblpXSpec="center" w:vertAnchor="text" w:tblpY="-397" w:leftFromText="181" w:topFromText="0" w:rightFromText="181" w:bottomFromText="0"/>
        <w:tblW w:w="10860" w:type="dxa"/>
        <w:tblLayout w:type="fixed"/>
        <w:tblLook w:val="04A0" w:firstRow="1" w:lastRow="0" w:firstColumn="1" w:lastColumn="0" w:noHBand="0" w:noVBand="1"/>
      </w:tblPr>
      <w:tblGrid>
        <w:gridCol w:w="3503"/>
        <w:gridCol w:w="3021"/>
        <w:gridCol w:w="4336"/>
      </w:tblGrid>
      <w:tr>
        <w:trPr>
          <w:trHeight w:val="838"/>
        </w:trPr>
        <w:tc>
          <w:tcPr>
            <w:shd w:val="clear" w:color="auto" w:fill="auto"/>
            <w:tcW w:w="3503" w:type="dxa"/>
            <w:textDirection w:val="lrTb"/>
            <w:noWrap/>
          </w:tcPr>
          <w:p>
            <w:pPr>
              <w:ind w:firstLine="567"/>
              <w:jc w:val="both"/>
              <w:rPr>
                <w:b/>
              </w:rPr>
            </w:pPr>
            <w:r>
              <w:rPr>
                <w:b/>
              </w:rPr>
            </w:r>
            <w:r/>
          </w:p>
          <w:p>
            <w:pPr>
              <w:ind w:right="992"/>
              <w:jc w:val="center"/>
              <w:rPr>
                <w:b/>
              </w:rPr>
            </w:pPr>
            <w:r>
              <w:rPr>
                <w:b/>
              </w:rPr>
            </w:r>
            <w:r/>
          </w:p>
          <w:p>
            <w:pPr>
              <w:ind w:right="787"/>
              <w:jc w:val="center"/>
              <w:rPr>
                <w:b/>
              </w:rPr>
            </w:pPr>
            <w:r>
              <w:rPr>
                <w:b/>
              </w:rPr>
              <w:t xml:space="preserve">ОБЩЕСТВО С ОГРАНИЧЕННОЙ ОТВЕТСТВЕННОСТЬЮ</w:t>
            </w:r>
            <w:r/>
          </w:p>
          <w:p>
            <w:pPr>
              <w:ind w:right="787"/>
              <w:jc w:val="center"/>
            </w:pPr>
            <w:r>
              <w:rPr>
                <w:b/>
              </w:rPr>
              <w:t xml:space="preserve">«ЗЕМЛЕУСТРОЙСТВО И КАДАСТР»</w:t>
            </w:r>
            <w:r/>
          </w:p>
          <w:p>
            <w:pPr>
              <w:ind w:firstLine="567"/>
              <w:jc w:val="both"/>
            </w:pPr>
            <w:r/>
            <w:r/>
          </w:p>
        </w:tc>
        <w:tc>
          <w:tcPr>
            <w:shd w:val="clear" w:color="auto" w:fill="auto"/>
            <w:tcW w:w="3021" w:type="dxa"/>
            <w:textDirection w:val="lrTb"/>
            <w:noWrap/>
          </w:tcPr>
          <w:p>
            <w:pPr>
              <w:ind w:firstLine="567"/>
              <w:jc w:val="both"/>
            </w:pPr>
            <w:r/>
            <w:r/>
          </w:p>
          <w:p>
            <w:pPr>
              <w:ind w:firstLine="567"/>
              <w:jc w:val="both"/>
            </w:pPr>
            <w:r/>
            <w:r/>
          </w:p>
          <w:p>
            <w:pPr>
              <w:ind w:firstLine="567"/>
              <w:jc w:val="both"/>
            </w:pPr>
            <w:r/>
            <w:r/>
          </w:p>
          <w:p>
            <w:r/>
            <w:r/>
          </w:p>
        </w:tc>
        <w:tc>
          <w:tcPr>
            <w:shd w:val="clear" w:color="auto" w:fill="auto"/>
            <w:tcW w:w="4336" w:type="dxa"/>
            <w:textDirection w:val="lrTb"/>
            <w:noWrap/>
          </w:tcPr>
          <w:p>
            <w:pPr>
              <w:ind w:firstLine="567"/>
              <w:jc w:val="both"/>
            </w:pPr>
            <w:r/>
            <w:r/>
          </w:p>
          <w:p>
            <w:pPr>
              <w:ind w:firstLine="567"/>
              <w:jc w:val="both"/>
            </w:pPr>
            <w:r/>
            <w:r/>
          </w:p>
          <w:p>
            <w:pPr>
              <w:ind w:firstLine="567"/>
              <w:jc w:val="center"/>
              <w:rPr>
                <w:sz w:val="17"/>
                <w:szCs w:val="17"/>
              </w:rPr>
            </w:pPr>
            <w:r>
              <w:rPr>
                <w:sz w:val="17"/>
                <w:szCs w:val="17"/>
              </w:rPr>
              <w:t xml:space="preserve">РФ,г. Санкт-Петербург;</w:t>
            </w:r>
            <w:r/>
          </w:p>
          <w:p>
            <w:pPr>
              <w:ind w:firstLine="567"/>
              <w:jc w:val="center"/>
              <w:rPr>
                <w:sz w:val="17"/>
                <w:szCs w:val="17"/>
              </w:rPr>
            </w:pPr>
            <w:r>
              <w:rPr>
                <w:sz w:val="17"/>
                <w:szCs w:val="17"/>
              </w:rPr>
              <w:t xml:space="preserve">194100, г.Санкт-Петербург, ул. Александра Матросова, д. 8; оф. 706</w:t>
            </w:r>
            <w:r/>
          </w:p>
          <w:p>
            <w:pPr>
              <w:ind w:firstLine="567"/>
              <w:jc w:val="center"/>
              <w:rPr>
                <w:sz w:val="17"/>
                <w:szCs w:val="17"/>
              </w:rPr>
            </w:pPr>
            <w:r>
              <w:rPr>
                <w:sz w:val="17"/>
                <w:szCs w:val="17"/>
              </w:rPr>
              <w:t xml:space="preserve">Тел. +7 (921) 887-55-51</w:t>
            </w:r>
            <w:r/>
          </w:p>
          <w:p>
            <w:pPr>
              <w:ind w:firstLine="567"/>
              <w:jc w:val="center"/>
              <w:rPr>
                <w:sz w:val="17"/>
                <w:szCs w:val="17"/>
              </w:rPr>
            </w:pPr>
            <w:r>
              <w:rPr>
                <w:sz w:val="17"/>
                <w:szCs w:val="17"/>
              </w:rPr>
              <w:t xml:space="preserve">ИНН/КПП 7802889267/780201001</w:t>
            </w:r>
            <w:r/>
          </w:p>
          <w:p>
            <w:pPr>
              <w:ind w:firstLine="567"/>
              <w:jc w:val="center"/>
            </w:pPr>
            <w:r>
              <w:rPr>
                <w:sz w:val="17"/>
                <w:szCs w:val="17"/>
              </w:rPr>
              <w:t xml:space="preserve">ОГРН 1217800018710</w:t>
            </w:r>
            <w:r/>
          </w:p>
        </w:tc>
      </w:tr>
    </w:tbl>
    <w:p>
      <w:pPr>
        <w:spacing w:after="160" w:line="259" w:lineRule="auto"/>
        <w:widowControl/>
        <w:rPr>
          <w:rFonts w:eastAsia="Calibri"/>
          <w:b/>
          <w:bCs/>
          <w:sz w:val="22"/>
          <w:szCs w:val="22"/>
          <w:lang w:eastAsia="en-US"/>
        </w:rPr>
      </w:pPr>
      <w:r>
        <w:rPr>
          <w:rFonts w:eastAsia="Calibri"/>
          <w:b/>
          <w:bCs/>
          <w:sz w:val="22"/>
          <w:szCs w:val="22"/>
          <w:lang w:eastAsia="en-US"/>
        </w:rPr>
      </w:r>
      <w:r/>
    </w:p>
    <w:p>
      <w:pPr>
        <w:spacing w:after="160" w:line="259" w:lineRule="auto"/>
        <w:widowControl/>
        <w:rPr>
          <w:rFonts w:eastAsia="Calibri"/>
          <w:b/>
          <w:bCs/>
          <w:sz w:val="22"/>
          <w:szCs w:val="22"/>
          <w:lang w:eastAsia="en-US"/>
        </w:rPr>
      </w:pPr>
      <w:r>
        <w:rPr>
          <w:rFonts w:eastAsia="Calibri"/>
          <w:b/>
          <w:bCs/>
          <w:sz w:val="22"/>
          <w:szCs w:val="22"/>
          <w:lang w:eastAsia="en-US"/>
        </w:rPr>
      </w:r>
      <w:r/>
    </w:p>
    <w:p>
      <w:pPr>
        <w:spacing w:after="160" w:line="259" w:lineRule="auto"/>
        <w:widowControl/>
        <w:rPr>
          <w:rFonts w:eastAsia="Calibri"/>
          <w:b/>
          <w:bCs/>
          <w:sz w:val="22"/>
          <w:szCs w:val="22"/>
          <w:lang w:eastAsia="en-US"/>
        </w:rPr>
      </w:pPr>
      <w:r>
        <w:rPr>
          <w:rFonts w:eastAsia="Calibri"/>
          <w:b/>
          <w:bCs/>
          <w:sz w:val="22"/>
          <w:szCs w:val="22"/>
          <w:lang w:eastAsia="en-US"/>
        </w:rPr>
      </w:r>
      <w:r/>
    </w:p>
    <w:p>
      <w:pPr>
        <w:spacing w:after="160" w:line="259" w:lineRule="auto"/>
        <w:widowControl/>
        <w:rPr>
          <w:rFonts w:eastAsia="Calibri"/>
          <w:b/>
          <w:bCs/>
          <w:sz w:val="22"/>
          <w:szCs w:val="22"/>
          <w:lang w:eastAsia="en-US"/>
        </w:rPr>
      </w:pPr>
      <w:r>
        <w:rPr>
          <w:rFonts w:eastAsia="Calibri"/>
          <w:b/>
          <w:bCs/>
          <w:sz w:val="22"/>
          <w:szCs w:val="22"/>
          <w:lang w:eastAsia="en-US"/>
        </w:rPr>
      </w:r>
      <w:r/>
    </w:p>
    <w:p>
      <w:pPr>
        <w:spacing w:after="160" w:line="259" w:lineRule="auto"/>
        <w:widowControl/>
        <w:rPr>
          <w:rFonts w:eastAsia="Calibri"/>
          <w:b/>
          <w:bCs/>
          <w:sz w:val="22"/>
          <w:szCs w:val="22"/>
          <w:lang w:eastAsia="en-US"/>
        </w:rPr>
      </w:pPr>
      <w:r>
        <w:rPr>
          <w:rFonts w:eastAsia="Calibri"/>
          <w:b/>
          <w:bCs/>
          <w:sz w:val="22"/>
          <w:szCs w:val="22"/>
          <w:lang w:eastAsia="en-US"/>
        </w:rPr>
      </w:r>
      <w:r/>
    </w:p>
    <w:p>
      <w:pPr>
        <w:spacing w:after="160" w:line="259" w:lineRule="auto"/>
        <w:widowControl/>
        <w:rPr>
          <w:rFonts w:eastAsia="Calibri"/>
          <w:b/>
          <w:bCs/>
          <w:sz w:val="22"/>
          <w:szCs w:val="22"/>
          <w:lang w:eastAsia="en-US"/>
        </w:rPr>
      </w:pPr>
      <w:r>
        <w:rPr>
          <w:rFonts w:eastAsia="Calibri"/>
          <w:b/>
          <w:bCs/>
          <w:sz w:val="22"/>
          <w:szCs w:val="22"/>
          <w:lang w:eastAsia="en-US"/>
        </w:rPr>
      </w:r>
      <w:r/>
    </w:p>
    <w:p>
      <w:pPr>
        <w:spacing w:after="160" w:line="259" w:lineRule="auto"/>
        <w:widowControl/>
        <w:rPr>
          <w:rFonts w:eastAsia="Calibri"/>
          <w:b/>
          <w:bCs/>
          <w:sz w:val="22"/>
          <w:szCs w:val="22"/>
          <w:lang w:eastAsia="en-US"/>
        </w:rPr>
      </w:pPr>
      <w:r/>
      <w:bookmarkStart w:id="0" w:name="_GoBack"/>
      <w:r/>
      <w:bookmarkEnd w:id="0"/>
      <w:r/>
      <w:r/>
    </w:p>
    <w:p>
      <w:pPr>
        <w:spacing w:after="160" w:line="259" w:lineRule="auto"/>
        <w:widowControl/>
        <w:rPr>
          <w:rFonts w:eastAsia="Calibri"/>
          <w:b/>
          <w:bCs/>
          <w:sz w:val="22"/>
          <w:szCs w:val="22"/>
          <w:lang w:eastAsia="en-US"/>
        </w:rPr>
      </w:pPr>
      <w:r>
        <w:rPr>
          <w:rFonts w:eastAsia="Calibri"/>
          <w:b/>
          <w:bCs/>
          <w:sz w:val="22"/>
          <w:szCs w:val="22"/>
          <w:lang w:eastAsia="en-US"/>
        </w:rPr>
      </w:r>
      <w:r/>
    </w:p>
    <w:p>
      <w:pPr>
        <w:spacing w:after="160" w:line="259" w:lineRule="auto"/>
        <w:widowControl/>
        <w:rPr>
          <w:rFonts w:eastAsia="Calibri"/>
          <w:b/>
          <w:bCs/>
          <w:sz w:val="22"/>
          <w:szCs w:val="22"/>
          <w:lang w:eastAsia="en-US"/>
        </w:rPr>
      </w:pPr>
      <w:r>
        <w:rPr>
          <w:rFonts w:eastAsia="Calibri"/>
          <w:b/>
          <w:bCs/>
          <w:sz w:val="22"/>
          <w:szCs w:val="22"/>
          <w:lang w:eastAsia="en-US"/>
        </w:rPr>
      </w:r>
      <w:r/>
    </w:p>
    <w:p>
      <w:pPr>
        <w:ind w:right="18"/>
        <w:jc w:val="center"/>
        <w:spacing w:line="264" w:lineRule="auto"/>
        <w:tabs>
          <w:tab w:val="left" w:pos="8334" w:leader="none"/>
        </w:tabs>
        <w:rPr>
          <w:rFonts w:eastAsia="Arial"/>
          <w:b/>
          <w:smallCaps/>
          <w:sz w:val="32"/>
          <w:szCs w:val="32"/>
        </w:rPr>
      </w:pPr>
      <w:r>
        <w:rPr>
          <w:b/>
          <w:bCs/>
          <w:sz w:val="32"/>
          <w:szCs w:val="32"/>
        </w:rPr>
        <w:t xml:space="preserve">ПРОЕКТ ВНЕСЕНИЯ ИЗМЕНЕНИЙ В ПРАВИЛА ЗЕМЛЕПОЛЬЗОВАНИЯ И ЗАСТРОЙКИ</w:t>
      </w:r>
      <w:r>
        <w:rPr>
          <w:rFonts w:eastAsia="Arial"/>
          <w:b/>
          <w:smallCaps/>
          <w:sz w:val="32"/>
          <w:szCs w:val="32"/>
        </w:rPr>
        <w:t xml:space="preserve"> КАЗАНСКОГО СЕЛЬСКОГО ПОСЕЛЕНИЯКАВКАЗСКОГО РАЙОНА КРАСНОДАРСКОГО КРАЯ</w:t>
      </w:r>
      <w:r/>
    </w:p>
    <w:p>
      <w:pPr>
        <w:spacing w:after="160" w:line="259" w:lineRule="auto"/>
        <w:widowControl/>
        <w:rPr>
          <w:rFonts w:eastAsia="Calibri"/>
          <w:b/>
          <w:bCs/>
          <w:sz w:val="22"/>
          <w:szCs w:val="22"/>
          <w:lang w:eastAsia="en-US"/>
        </w:rPr>
      </w:pPr>
      <w:r>
        <w:rPr>
          <w:rFonts w:eastAsia="Calibri"/>
          <w:b/>
          <w:bCs/>
          <w:sz w:val="22"/>
          <w:szCs w:val="22"/>
          <w:lang w:eastAsia="en-US"/>
        </w:rPr>
      </w:r>
      <w:r/>
    </w:p>
    <w:p>
      <w:pPr>
        <w:spacing w:after="160" w:line="259" w:lineRule="auto"/>
        <w:widowControl/>
        <w:rPr>
          <w:rFonts w:eastAsia="Calibri"/>
          <w:b/>
          <w:bCs/>
          <w:sz w:val="22"/>
          <w:szCs w:val="22"/>
          <w:lang w:eastAsia="en-US"/>
        </w:rPr>
      </w:pPr>
      <w:r>
        <w:rPr>
          <w:rFonts w:eastAsia="Calibri"/>
          <w:b/>
          <w:bCs/>
          <w:sz w:val="22"/>
          <w:szCs w:val="22"/>
          <w:lang w:eastAsia="en-US"/>
        </w:rPr>
      </w:r>
      <w:r/>
    </w:p>
    <w:p>
      <w:pPr>
        <w:spacing w:after="160" w:line="259" w:lineRule="auto"/>
        <w:widowControl/>
        <w:rPr>
          <w:rFonts w:eastAsia="Calibri"/>
          <w:b/>
          <w:bCs/>
          <w:sz w:val="22"/>
          <w:szCs w:val="22"/>
          <w:lang w:eastAsia="en-US"/>
        </w:rPr>
      </w:pPr>
      <w:r>
        <w:rPr>
          <w:rFonts w:eastAsia="Calibri"/>
          <w:b/>
          <w:bCs/>
          <w:sz w:val="22"/>
          <w:szCs w:val="22"/>
          <w:lang w:eastAsia="en-US"/>
        </w:rPr>
      </w:r>
      <w:r/>
    </w:p>
    <w:p>
      <w:pPr>
        <w:spacing w:after="160" w:line="259" w:lineRule="auto"/>
        <w:widowControl/>
        <w:rPr>
          <w:rFonts w:eastAsia="Calibri"/>
          <w:b/>
          <w:bCs/>
          <w:sz w:val="22"/>
          <w:szCs w:val="22"/>
          <w:lang w:eastAsia="en-US"/>
        </w:rPr>
      </w:pPr>
      <w:r>
        <w:rPr>
          <w:rFonts w:eastAsia="Calibri"/>
          <w:b/>
          <w:bCs/>
          <w:sz w:val="22"/>
          <w:szCs w:val="22"/>
          <w:lang w:eastAsia="en-US"/>
        </w:rPr>
      </w:r>
      <w:r/>
    </w:p>
    <w:p>
      <w:pPr>
        <w:spacing w:after="160" w:line="259" w:lineRule="auto"/>
        <w:widowControl/>
        <w:rPr>
          <w:rFonts w:eastAsia="Calibri"/>
          <w:b/>
          <w:bCs/>
          <w:sz w:val="22"/>
          <w:szCs w:val="22"/>
          <w:lang w:eastAsia="en-US"/>
        </w:rPr>
      </w:pPr>
      <w:r>
        <w:rPr>
          <w:rFonts w:eastAsia="Calibri"/>
          <w:b/>
          <w:bCs/>
          <w:sz w:val="22"/>
          <w:szCs w:val="22"/>
          <w:lang w:eastAsia="en-US"/>
        </w:rPr>
      </w:r>
      <w:r/>
    </w:p>
    <w:p>
      <w:pPr>
        <w:jc w:val="center"/>
        <w:spacing w:after="160" w:line="259" w:lineRule="auto"/>
        <w:widowControl/>
        <w:rPr>
          <w:rFonts w:eastAsia="Calibri"/>
          <w:b/>
          <w:bCs/>
          <w:sz w:val="22"/>
          <w:szCs w:val="22"/>
          <w:lang w:eastAsia="en-US"/>
        </w:rPr>
      </w:pPr>
      <w:r>
        <w:rPr>
          <w:rFonts w:eastAsia="Calibri"/>
          <w:b/>
          <w:bCs/>
          <w:sz w:val="22"/>
          <w:szCs w:val="22"/>
          <w:lang w:eastAsia="en-US"/>
        </w:rPr>
        <w:t xml:space="preserve">ГРАДОСТРОИТЕЛЬНЫЕ РЕГЛАМЕНТЫ</w:t>
      </w:r>
      <w:r/>
    </w:p>
    <w:p>
      <w:pPr>
        <w:spacing w:after="160" w:line="259" w:lineRule="auto"/>
        <w:widowControl/>
        <w:rPr>
          <w:rFonts w:eastAsia="Calibri"/>
          <w:b/>
          <w:bCs/>
          <w:sz w:val="22"/>
          <w:szCs w:val="22"/>
          <w:lang w:eastAsia="en-US"/>
        </w:rPr>
      </w:pPr>
      <w:r>
        <w:rPr>
          <w:rFonts w:eastAsia="Calibri"/>
          <w:b/>
          <w:bCs/>
          <w:sz w:val="22"/>
          <w:szCs w:val="22"/>
          <w:lang w:eastAsia="en-US"/>
        </w:rPr>
      </w:r>
      <w:r/>
    </w:p>
    <w:p>
      <w:pPr>
        <w:spacing w:after="160" w:line="259" w:lineRule="auto"/>
        <w:widowControl/>
        <w:rPr>
          <w:rFonts w:eastAsia="Calibri"/>
          <w:b/>
          <w:bCs/>
          <w:sz w:val="22"/>
          <w:szCs w:val="22"/>
          <w:lang w:eastAsia="en-US"/>
        </w:rPr>
      </w:pPr>
      <w:r>
        <w:rPr>
          <w:rFonts w:eastAsia="Calibri"/>
          <w:b/>
          <w:bCs/>
          <w:sz w:val="22"/>
          <w:szCs w:val="22"/>
          <w:lang w:eastAsia="en-US"/>
        </w:rPr>
      </w:r>
      <w:r/>
    </w:p>
    <w:p>
      <w:pPr>
        <w:spacing w:after="160" w:line="259" w:lineRule="auto"/>
        <w:widowControl/>
        <w:rPr>
          <w:rFonts w:eastAsia="Calibri"/>
          <w:b/>
          <w:bCs/>
          <w:sz w:val="22"/>
          <w:szCs w:val="22"/>
          <w:lang w:eastAsia="en-US"/>
        </w:rPr>
      </w:pPr>
      <w:r>
        <w:rPr>
          <w:rFonts w:eastAsia="Calibri"/>
          <w:b/>
          <w:bCs/>
          <w:sz w:val="22"/>
          <w:szCs w:val="22"/>
          <w:lang w:eastAsia="en-US"/>
        </w:rPr>
      </w:r>
      <w:r/>
    </w:p>
    <w:p>
      <w:pPr>
        <w:spacing w:after="160" w:line="259" w:lineRule="auto"/>
        <w:widowControl/>
        <w:rPr>
          <w:rFonts w:eastAsia="Calibri"/>
          <w:b/>
          <w:bCs/>
          <w:sz w:val="22"/>
          <w:szCs w:val="22"/>
          <w:lang w:eastAsia="en-US"/>
        </w:rPr>
      </w:pPr>
      <w:r>
        <w:rPr>
          <w:rFonts w:eastAsia="Calibri"/>
          <w:b/>
          <w:bCs/>
          <w:sz w:val="22"/>
          <w:szCs w:val="22"/>
          <w:lang w:eastAsia="en-US"/>
        </w:rPr>
      </w:r>
      <w:r/>
    </w:p>
    <w:p>
      <w:pPr>
        <w:spacing w:after="160" w:line="259" w:lineRule="auto"/>
        <w:widowControl/>
        <w:rPr>
          <w:rFonts w:eastAsia="Calibri"/>
          <w:b/>
          <w:bCs/>
          <w:sz w:val="22"/>
          <w:szCs w:val="22"/>
          <w:lang w:eastAsia="en-US"/>
        </w:rPr>
      </w:pPr>
      <w:r>
        <w:rPr>
          <w:rFonts w:eastAsia="Calibri"/>
          <w:b/>
          <w:bCs/>
          <w:sz w:val="22"/>
          <w:szCs w:val="22"/>
          <w:lang w:eastAsia="en-US"/>
        </w:rPr>
      </w:r>
      <w:r/>
    </w:p>
    <w:p>
      <w:pPr>
        <w:jc w:val="center"/>
        <w:spacing w:after="160" w:line="259" w:lineRule="auto"/>
        <w:widowControl/>
        <w:rPr>
          <w:rFonts w:eastAsia="Calibri"/>
          <w:bCs/>
          <w:sz w:val="22"/>
          <w:szCs w:val="22"/>
          <w:lang w:eastAsia="en-US"/>
        </w:rPr>
      </w:pPr>
      <w:r>
        <w:rPr>
          <w:rFonts w:eastAsia="Calibri"/>
          <w:bCs/>
          <w:sz w:val="22"/>
          <w:szCs w:val="22"/>
          <w:lang w:eastAsia="en-US"/>
        </w:rPr>
        <w:t xml:space="preserve">Санкт-Петербург, 2023</w:t>
      </w:r>
      <w:r/>
    </w:p>
    <w:p>
      <w:pPr>
        <w:jc w:val="center"/>
        <w:widowControl/>
        <w:tabs>
          <w:tab w:val="left" w:pos="7200" w:leader="none"/>
        </w:tabs>
        <w:rPr>
          <w:rFonts w:eastAsia="Calibri"/>
          <w:b/>
          <w:bCs/>
          <w:sz w:val="22"/>
          <w:szCs w:val="22"/>
          <w:lang w:eastAsia="en-US"/>
        </w:rPr>
      </w:pPr>
      <w:r>
        <w:rPr>
          <w:rFonts w:eastAsia="Calibri"/>
          <w:b/>
          <w:bCs/>
          <w:sz w:val="22"/>
          <w:szCs w:val="22"/>
          <w:lang w:eastAsia="en-US"/>
        </w:rPr>
      </w:r>
      <w:r/>
    </w:p>
    <w:p>
      <w:pPr>
        <w:jc w:val="center"/>
        <w:widowControl/>
        <w:tabs>
          <w:tab w:val="left" w:pos="7200" w:leader="none"/>
        </w:tabs>
        <w:rPr>
          <w:rFonts w:eastAsia="Calibri"/>
          <w:b/>
          <w:bCs/>
          <w:sz w:val="22"/>
          <w:szCs w:val="22"/>
          <w:lang w:eastAsia="en-US"/>
        </w:rPr>
      </w:pPr>
      <w:r>
        <w:rPr>
          <w:rFonts w:eastAsia="Calibri"/>
          <w:b/>
          <w:bCs/>
          <w:sz w:val="22"/>
          <w:szCs w:val="22"/>
          <w:lang w:eastAsia="en-US"/>
        </w:rPr>
      </w:r>
      <w:r/>
    </w:p>
    <w:p>
      <w:pPr>
        <w:jc w:val="center"/>
        <w:widowControl/>
        <w:tabs>
          <w:tab w:val="left" w:pos="7200" w:leader="none"/>
        </w:tabs>
        <w:rPr>
          <w:rFonts w:eastAsia="Calibri"/>
          <w:b/>
          <w:bCs/>
          <w:sz w:val="22"/>
          <w:szCs w:val="22"/>
          <w:lang w:eastAsia="en-US"/>
        </w:rPr>
      </w:pPr>
      <w:r>
        <w:rPr>
          <w:rFonts w:eastAsia="Calibri"/>
          <w:b/>
          <w:bCs/>
          <w:sz w:val="22"/>
          <w:szCs w:val="22"/>
          <w:lang w:eastAsia="en-US"/>
        </w:rPr>
        <w:t xml:space="preserve">ПРАВИЛА ЗЕМЛЕПОЛЬЗОВАНИЯ И ЗАСТРОЙКИ КАЗАНСКОГО СЕЛЬСКОГО ПОСЕЛЕНИЯ  КАВКАЗСКОГО РАЙОНА КРАСНОДАРСКОГО КРАЯ</w:t>
      </w:r>
      <w:r/>
    </w:p>
    <w:p>
      <w:pPr>
        <w:ind w:firstLine="567"/>
        <w:jc w:val="center"/>
        <w:widowControl/>
        <w:tabs>
          <w:tab w:val="left" w:pos="7200" w:leader="none"/>
        </w:tabs>
        <w:rPr>
          <w:rFonts w:eastAsia="Calibri"/>
          <w:sz w:val="22"/>
          <w:szCs w:val="22"/>
          <w:lang w:eastAsia="en-US"/>
        </w:rPr>
      </w:pPr>
      <w:r>
        <w:rPr>
          <w:rFonts w:eastAsia="Calibri"/>
          <w:sz w:val="22"/>
          <w:szCs w:val="22"/>
          <w:lang w:eastAsia="en-US"/>
        </w:rPr>
      </w:r>
      <w:r/>
    </w:p>
    <w:p>
      <w:pPr>
        <w:ind w:firstLine="567"/>
        <w:widowControl/>
        <w:rPr>
          <w:color w:val="000000"/>
          <w:sz w:val="24"/>
          <w:szCs w:val="24"/>
          <w:lang w:eastAsia="ru-RU"/>
        </w:rPr>
      </w:pPr>
      <w:r>
        <w:rPr>
          <w:color w:val="000000"/>
          <w:sz w:val="24"/>
          <w:szCs w:val="24"/>
          <w:lang w:eastAsia="ru-RU"/>
        </w:rPr>
        <w:t xml:space="preserve">Правила землепользования и застройки состоят из трех частей и включают в себя:</w:t>
      </w:r>
      <w:r/>
    </w:p>
    <w:p>
      <w:pPr>
        <w:ind w:firstLine="567"/>
        <w:jc w:val="both"/>
        <w:widowControl/>
        <w:rPr>
          <w:color w:val="000000"/>
          <w:sz w:val="24"/>
          <w:szCs w:val="24"/>
          <w:lang w:eastAsia="ru-RU"/>
        </w:rPr>
      </w:pPr>
      <w:r/>
      <w:bookmarkStart w:id="1" w:name="dst100471"/>
      <w:r/>
      <w:bookmarkEnd w:id="1"/>
      <w:r>
        <w:rPr>
          <w:rFonts w:eastAsia="Calibri"/>
          <w:b/>
          <w:bCs/>
          <w:sz w:val="24"/>
          <w:szCs w:val="24"/>
          <w:lang w:eastAsia="en-US"/>
        </w:rPr>
        <w:t xml:space="preserve">Часть I</w:t>
      </w:r>
      <w:r>
        <w:rPr>
          <w:rFonts w:eastAsia="Calibri"/>
          <w:sz w:val="24"/>
          <w:szCs w:val="24"/>
          <w:lang w:eastAsia="en-US"/>
        </w:rPr>
        <w:t xml:space="preserve"> - </w:t>
      </w:r>
      <w:r>
        <w:rPr>
          <w:color w:val="000000"/>
          <w:sz w:val="24"/>
          <w:szCs w:val="24"/>
          <w:lang w:eastAsia="ru-RU"/>
        </w:rPr>
        <w:t xml:space="preserve">порядок применения правил землепользования и застройки и внесения </w:t>
      </w:r>
      <w:r/>
    </w:p>
    <w:p>
      <w:pPr>
        <w:ind w:firstLine="567"/>
        <w:jc w:val="both"/>
        <w:widowControl/>
        <w:rPr>
          <w:color w:val="000000"/>
          <w:sz w:val="24"/>
          <w:szCs w:val="24"/>
          <w:lang w:eastAsia="ru-RU"/>
        </w:rPr>
      </w:pPr>
      <w:r>
        <w:rPr>
          <w:color w:val="000000"/>
          <w:sz w:val="24"/>
          <w:szCs w:val="24"/>
          <w:lang w:eastAsia="ru-RU"/>
        </w:rPr>
        <w:t xml:space="preserve">в них изменений;</w:t>
      </w:r>
      <w:r/>
    </w:p>
    <w:p>
      <w:pPr>
        <w:ind w:firstLine="567"/>
        <w:widowControl/>
        <w:rPr>
          <w:color w:val="000000"/>
          <w:sz w:val="24"/>
          <w:szCs w:val="24"/>
          <w:lang w:eastAsia="ru-RU"/>
        </w:rPr>
      </w:pPr>
      <w:r/>
      <w:bookmarkStart w:id="2" w:name="dst100472"/>
      <w:r/>
      <w:bookmarkEnd w:id="2"/>
      <w:r>
        <w:rPr>
          <w:rFonts w:eastAsia="Calibri"/>
          <w:b/>
          <w:bCs/>
          <w:sz w:val="24"/>
          <w:szCs w:val="24"/>
          <w:lang w:eastAsia="en-US"/>
        </w:rPr>
        <w:t xml:space="preserve">Часть II</w:t>
      </w:r>
      <w:r>
        <w:rPr>
          <w:color w:val="000000"/>
          <w:sz w:val="24"/>
          <w:szCs w:val="24"/>
          <w:lang w:eastAsia="ru-RU"/>
        </w:rPr>
        <w:t xml:space="preserve"> - карту градостроительного зонирования;</w:t>
      </w:r>
      <w:r/>
    </w:p>
    <w:p>
      <w:pPr>
        <w:ind w:firstLine="567"/>
        <w:widowControl/>
        <w:rPr>
          <w:color w:val="000000"/>
          <w:sz w:val="24"/>
          <w:szCs w:val="24"/>
          <w:lang w:eastAsia="ru-RU"/>
        </w:rPr>
      </w:pPr>
      <w:r/>
      <w:bookmarkStart w:id="3" w:name="dst100473"/>
      <w:r/>
      <w:bookmarkEnd w:id="3"/>
      <w:r>
        <w:rPr>
          <w:rFonts w:eastAsia="Calibri"/>
          <w:b/>
          <w:bCs/>
          <w:sz w:val="24"/>
          <w:szCs w:val="24"/>
          <w:lang w:eastAsia="en-US"/>
        </w:rPr>
        <w:t xml:space="preserve">Часть III</w:t>
      </w:r>
      <w:r>
        <w:rPr>
          <w:color w:val="000000"/>
          <w:sz w:val="24"/>
          <w:szCs w:val="24"/>
          <w:lang w:eastAsia="ru-RU"/>
        </w:rPr>
        <w:t xml:space="preserve"> - градостроительные регламенты.</w:t>
      </w:r>
      <w:r/>
    </w:p>
    <w:p>
      <w:pPr>
        <w:ind w:firstLine="567"/>
        <w:jc w:val="both"/>
        <w:widowControl/>
        <w:rPr>
          <w:sz w:val="24"/>
          <w:szCs w:val="24"/>
          <w:lang w:bidi="en-US"/>
        </w:rPr>
      </w:pPr>
      <w:r>
        <w:rPr>
          <w:sz w:val="24"/>
          <w:szCs w:val="24"/>
          <w:lang w:bidi="en-US"/>
        </w:rPr>
      </w:r>
      <w:r/>
    </w:p>
    <w:p>
      <w:pPr>
        <w:ind w:firstLine="567"/>
        <w:jc w:val="both"/>
        <w:widowControl/>
        <w:rPr>
          <w:rFonts w:eastAsia="Calibri"/>
          <w:sz w:val="24"/>
          <w:szCs w:val="24"/>
          <w:lang w:eastAsia="en-US"/>
        </w:rPr>
      </w:pPr>
      <w:r>
        <w:rPr>
          <w:rFonts w:eastAsia="Calibri"/>
          <w:b/>
          <w:bCs/>
          <w:sz w:val="24"/>
          <w:szCs w:val="24"/>
          <w:lang w:eastAsia="en-US"/>
        </w:rPr>
        <w:t xml:space="preserve">Часть I</w:t>
      </w:r>
      <w:r>
        <w:rPr>
          <w:rFonts w:eastAsia="Calibri"/>
          <w:sz w:val="24"/>
          <w:szCs w:val="24"/>
          <w:lang w:eastAsia="en-US"/>
        </w:rPr>
        <w:t xml:space="preserve"> Порядок применения правил землепользования и застройки и внесения в них изменений включает в себя положения:</w:t>
      </w:r>
      <w:r/>
    </w:p>
    <w:p>
      <w:pPr>
        <w:ind w:firstLine="567"/>
        <w:jc w:val="both"/>
        <w:widowControl/>
        <w:rPr>
          <w:rFonts w:eastAsia="Calibri"/>
          <w:sz w:val="24"/>
          <w:szCs w:val="24"/>
          <w:lang w:eastAsia="en-US"/>
        </w:rPr>
      </w:pPr>
      <w:r>
        <w:rPr>
          <w:rFonts w:eastAsia="Calibri"/>
          <w:sz w:val="24"/>
          <w:szCs w:val="24"/>
          <w:lang w:eastAsia="en-US"/>
        </w:rPr>
        <w:t xml:space="preserve">Глава 1. Положение о регулировании землепользования и застройки органами местного самоуправления;</w:t>
      </w:r>
      <w:r/>
    </w:p>
    <w:p>
      <w:pPr>
        <w:ind w:firstLine="567"/>
        <w:jc w:val="both"/>
        <w:widowControl/>
        <w:rPr>
          <w:rFonts w:eastAsia="Calibri"/>
          <w:sz w:val="24"/>
          <w:szCs w:val="24"/>
          <w:lang w:eastAsia="en-US"/>
        </w:rPr>
      </w:pPr>
      <w:r>
        <w:rPr>
          <w:rFonts w:eastAsia="Calibri"/>
          <w:sz w:val="24"/>
          <w:szCs w:val="24"/>
          <w:lang w:eastAsia="en-US"/>
        </w:rPr>
        <w:t xml:space="preserve">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p>
    <w:p>
      <w:pPr>
        <w:ind w:firstLine="567"/>
        <w:jc w:val="both"/>
        <w:widowControl/>
        <w:rPr>
          <w:rFonts w:eastAsia="Calibri"/>
          <w:sz w:val="24"/>
          <w:szCs w:val="24"/>
          <w:lang w:eastAsia="en-US"/>
        </w:rPr>
      </w:pPr>
      <w:r>
        <w:rPr>
          <w:rFonts w:eastAsia="Calibri"/>
          <w:sz w:val="24"/>
          <w:szCs w:val="24"/>
          <w:lang w:eastAsia="en-US"/>
        </w:rPr>
        <w:t xml:space="preserve">Глава 3. Положение о подготовке документации по планировке территории органами местного самоуправления;</w:t>
      </w:r>
      <w:r/>
    </w:p>
    <w:p>
      <w:pPr>
        <w:ind w:firstLine="567"/>
        <w:jc w:val="both"/>
        <w:widowControl/>
        <w:rPr>
          <w:rFonts w:eastAsia="Calibri"/>
          <w:sz w:val="24"/>
          <w:szCs w:val="24"/>
          <w:lang w:eastAsia="en-US"/>
        </w:rPr>
      </w:pPr>
      <w:r>
        <w:rPr>
          <w:rFonts w:eastAsia="Calibri"/>
          <w:sz w:val="24"/>
          <w:szCs w:val="24"/>
          <w:lang w:eastAsia="en-US"/>
        </w:rPr>
        <w:t xml:space="preserve">Глава 4. Положение о проведении общественных обсуждений или публичных слушаний по вопросам землепользования и застройки;</w:t>
      </w:r>
      <w:r/>
    </w:p>
    <w:p>
      <w:pPr>
        <w:ind w:firstLine="567"/>
        <w:jc w:val="both"/>
        <w:widowControl/>
        <w:rPr>
          <w:rFonts w:eastAsia="Calibri"/>
          <w:sz w:val="24"/>
          <w:szCs w:val="24"/>
          <w:lang w:eastAsia="en-US"/>
        </w:rPr>
      </w:pPr>
      <w:r>
        <w:rPr>
          <w:rFonts w:eastAsia="Calibri"/>
          <w:sz w:val="24"/>
          <w:szCs w:val="24"/>
          <w:lang w:eastAsia="en-US"/>
        </w:rPr>
        <w:t xml:space="preserve">Глава 5. Положение о внесении изменений в правила землепользования и застройки;</w:t>
      </w:r>
      <w:r/>
    </w:p>
    <w:p>
      <w:pPr>
        <w:ind w:firstLine="567"/>
        <w:jc w:val="both"/>
        <w:widowControl/>
        <w:rPr>
          <w:rFonts w:eastAsia="Calibri"/>
          <w:sz w:val="24"/>
          <w:szCs w:val="24"/>
          <w:lang w:eastAsia="en-US"/>
        </w:rPr>
      </w:pPr>
      <w:r>
        <w:rPr>
          <w:rFonts w:eastAsia="Calibri"/>
          <w:sz w:val="24"/>
          <w:szCs w:val="24"/>
          <w:lang w:eastAsia="en-US"/>
        </w:rPr>
        <w:t xml:space="preserve">Глава 6. Положение о регулировании иных вопросов землепользования и застройки.</w:t>
      </w:r>
      <w:r/>
    </w:p>
    <w:p>
      <w:pPr>
        <w:ind w:firstLine="567"/>
        <w:jc w:val="both"/>
        <w:widowControl/>
        <w:rPr>
          <w:sz w:val="24"/>
          <w:szCs w:val="24"/>
        </w:rPr>
      </w:pPr>
      <w:r>
        <w:rPr>
          <w:b/>
          <w:bCs/>
          <w:sz w:val="24"/>
          <w:szCs w:val="24"/>
        </w:rPr>
        <w:t xml:space="preserve">Часть II</w:t>
      </w:r>
      <w:r>
        <w:rPr>
          <w:sz w:val="24"/>
          <w:szCs w:val="24"/>
        </w:rPr>
        <w:t xml:space="preserve"> содержит следующий ка</w:t>
      </w:r>
      <w:r>
        <w:rPr>
          <w:sz w:val="24"/>
          <w:szCs w:val="24"/>
        </w:rPr>
        <w:t xml:space="preserve">ртографический материал: «Карта градостроительного зонирования. Карта зон с особыми условиями использования территории. М 1:</w:t>
      </w:r>
      <w:r>
        <w:rPr>
          <w:sz w:val="24"/>
          <w:szCs w:val="24"/>
          <w:lang w:val="en-US"/>
        </w:rPr>
        <w:t xml:space="preserve">1</w:t>
      </w:r>
      <w:r>
        <w:rPr>
          <w:sz w:val="24"/>
          <w:szCs w:val="24"/>
        </w:rPr>
        <w:t xml:space="preserve">0000)», в котором установлены территориальные зоны и отображены градостроительные ограничения по использованию территориальных зон.</w:t>
      </w:r>
      <w:r/>
    </w:p>
    <w:p>
      <w:pPr>
        <w:ind w:firstLine="567"/>
        <w:jc w:val="both"/>
        <w:widowControl/>
        <w:rPr>
          <w:sz w:val="24"/>
          <w:szCs w:val="24"/>
        </w:rPr>
      </w:pPr>
      <w:r>
        <w:rPr>
          <w:b/>
          <w:bCs/>
          <w:sz w:val="24"/>
          <w:szCs w:val="24"/>
        </w:rPr>
        <w:t xml:space="preserve">Часть III</w:t>
      </w:r>
      <w:r>
        <w:rPr>
          <w:sz w:val="24"/>
          <w:szCs w:val="24"/>
        </w:rPr>
        <w:t xml:space="preserve">Градостроительные регламенты:</w:t>
      </w:r>
      <w:r/>
    </w:p>
    <w:p>
      <w:pPr>
        <w:ind w:firstLine="567"/>
        <w:jc w:val="both"/>
        <w:widowControl/>
        <w:rPr>
          <w:sz w:val="24"/>
          <w:szCs w:val="24"/>
        </w:rPr>
      </w:pPr>
      <w:r>
        <w:rPr>
          <w:sz w:val="24"/>
          <w:szCs w:val="24"/>
        </w:rPr>
        <w:t xml:space="preserve">Глава 1. Ограничения использования земельных участков и объектов капитального строительства;</w:t>
      </w:r>
      <w:r/>
    </w:p>
    <w:p>
      <w:pPr>
        <w:ind w:firstLine="567"/>
        <w:jc w:val="both"/>
        <w:widowControl/>
        <w:rPr>
          <w:sz w:val="24"/>
          <w:szCs w:val="24"/>
        </w:rPr>
      </w:pPr>
      <w:r>
        <w:rPr>
          <w:sz w:val="24"/>
          <w:szCs w:val="24"/>
        </w:rPr>
        <w:t xml:space="preserve">Глава 2. Описание градостроительных регламентов по видам разрешенного использования земельных участков и объектов капитального строительства, предельным размерам з</w:t>
      </w:r>
      <w:r>
        <w:rPr>
          <w:sz w:val="24"/>
          <w:szCs w:val="24"/>
        </w:rPr>
        <w:t xml:space="preserve">емельных участков и предельным параметрам разрешенного строительства и реконструкции объектов капитального строительства, ограничениям использования земельных участков и объектов капитального строительства Казанского сельского поселения Кавказского района;</w:t>
      </w:r>
      <w:r/>
    </w:p>
    <w:p>
      <w:pPr>
        <w:ind w:firstLine="567"/>
        <w:jc w:val="both"/>
        <w:widowControl/>
        <w:rPr>
          <w:sz w:val="24"/>
          <w:szCs w:val="24"/>
        </w:rPr>
      </w:pPr>
      <w:r>
        <w:rPr>
          <w:sz w:val="24"/>
          <w:szCs w:val="24"/>
        </w:rPr>
        <w:t xml:space="preserve">Глава 3. Описание градостроительных регламентов по видам разрешенного использования земельных участков и объектов капитального строительства, предельным размерам земельных участков и предельным параметрам</w:t>
      </w:r>
      <w:r>
        <w:rPr>
          <w:sz w:val="24"/>
          <w:szCs w:val="24"/>
        </w:rPr>
        <w:t xml:space="preserve"> разрешенного строительства и реконструкции объектов капитального строительства, ограничениям использования земельных участков и объектов капитального строительства территории вне границ населенных пунктов Казанского сельского поселения Кавказского района.</w:t>
      </w:r>
      <w:r/>
    </w:p>
    <w:p>
      <w:pPr>
        <w:ind w:firstLine="567"/>
        <w:jc w:val="center"/>
        <w:widowControl/>
        <w:tabs>
          <w:tab w:val="left" w:pos="4678" w:leader="none"/>
          <w:tab w:val="left" w:pos="7230" w:leader="none"/>
        </w:tabs>
        <w:rPr>
          <w:sz w:val="24"/>
          <w:szCs w:val="24"/>
        </w:rPr>
      </w:pPr>
      <w:r>
        <w:rPr>
          <w:sz w:val="24"/>
          <w:szCs w:val="24"/>
          <w:highlight w:val="none"/>
        </w:rPr>
      </w:r>
      <w:r>
        <w:rPr>
          <w:sz w:val="24"/>
          <w:szCs w:val="24"/>
          <w:highlight w:val="none"/>
        </w:rPr>
      </w:r>
      <w:r/>
    </w:p>
    <w:p>
      <w:pPr>
        <w:ind w:firstLine="567"/>
        <w:jc w:val="center"/>
        <w:widowControl/>
        <w:tabs>
          <w:tab w:val="left" w:pos="4678" w:leader="none"/>
          <w:tab w:val="left" w:pos="7230" w:leader="none"/>
        </w:tabs>
        <w:rPr>
          <w:sz w:val="24"/>
          <w:szCs w:val="24"/>
          <w:highlight w:val="none"/>
        </w:rPr>
      </w:pPr>
      <w:r>
        <w:rPr>
          <w:sz w:val="24"/>
          <w:szCs w:val="24"/>
          <w:highlight w:val="none"/>
        </w:rPr>
      </w:r>
      <w:r>
        <w:rPr>
          <w:sz w:val="24"/>
          <w:szCs w:val="24"/>
          <w:highlight w:val="none"/>
        </w:rPr>
      </w:r>
      <w:r/>
    </w:p>
    <w:p>
      <w:pPr>
        <w:ind w:firstLine="567"/>
        <w:jc w:val="center"/>
        <w:widowControl/>
        <w:tabs>
          <w:tab w:val="left" w:pos="4678" w:leader="none"/>
          <w:tab w:val="left" w:pos="7230" w:leader="none"/>
        </w:tabs>
        <w:rPr>
          <w:sz w:val="24"/>
          <w:szCs w:val="24"/>
          <w:highlight w:val="none"/>
        </w:rPr>
      </w:pPr>
      <w:r>
        <w:rPr>
          <w:sz w:val="24"/>
          <w:szCs w:val="24"/>
          <w:highlight w:val="none"/>
        </w:rPr>
      </w:r>
      <w:r>
        <w:rPr>
          <w:sz w:val="24"/>
          <w:szCs w:val="24"/>
          <w:highlight w:val="none"/>
        </w:rPr>
      </w:r>
      <w:r/>
    </w:p>
    <w:p>
      <w:pPr>
        <w:ind w:firstLine="567"/>
        <w:jc w:val="center"/>
        <w:widowControl/>
        <w:tabs>
          <w:tab w:val="left" w:pos="4678" w:leader="none"/>
          <w:tab w:val="left" w:pos="7230" w:leader="none"/>
        </w:tabs>
        <w:rPr>
          <w:sz w:val="24"/>
          <w:szCs w:val="24"/>
          <w:highlight w:val="none"/>
        </w:rPr>
      </w:pPr>
      <w:r>
        <w:rPr>
          <w:sz w:val="24"/>
          <w:szCs w:val="24"/>
          <w:highlight w:val="none"/>
        </w:rPr>
      </w:r>
      <w:r>
        <w:rPr>
          <w:sz w:val="24"/>
          <w:szCs w:val="24"/>
          <w:highlight w:val="none"/>
        </w:rPr>
      </w:r>
      <w:r/>
    </w:p>
    <w:p>
      <w:pPr>
        <w:ind w:firstLine="567"/>
        <w:jc w:val="center"/>
        <w:widowControl/>
        <w:tabs>
          <w:tab w:val="left" w:pos="4678" w:leader="none"/>
          <w:tab w:val="left" w:pos="7230" w:leader="none"/>
        </w:tabs>
        <w:rPr>
          <w:sz w:val="24"/>
          <w:szCs w:val="24"/>
          <w:highlight w:val="none"/>
        </w:rPr>
      </w:pPr>
      <w:r>
        <w:rPr>
          <w:sz w:val="24"/>
          <w:szCs w:val="24"/>
          <w:highlight w:val="none"/>
        </w:rPr>
      </w:r>
      <w:r>
        <w:rPr>
          <w:sz w:val="24"/>
          <w:szCs w:val="24"/>
          <w:highlight w:val="none"/>
        </w:rPr>
      </w:r>
      <w:r/>
    </w:p>
    <w:p>
      <w:pPr>
        <w:ind w:firstLine="567"/>
        <w:jc w:val="center"/>
        <w:widowControl/>
        <w:tabs>
          <w:tab w:val="left" w:pos="4678" w:leader="none"/>
          <w:tab w:val="left" w:pos="7230" w:leader="none"/>
        </w:tabs>
        <w:rPr>
          <w:sz w:val="24"/>
          <w:szCs w:val="24"/>
          <w:highlight w:val="none"/>
        </w:rPr>
      </w:pPr>
      <w:r>
        <w:rPr>
          <w:sz w:val="24"/>
          <w:szCs w:val="24"/>
          <w:highlight w:val="none"/>
        </w:rPr>
      </w:r>
      <w:r>
        <w:rPr>
          <w:sz w:val="24"/>
          <w:szCs w:val="24"/>
          <w:highlight w:val="none"/>
        </w:rPr>
      </w:r>
      <w:r/>
    </w:p>
    <w:p>
      <w:pPr>
        <w:ind w:firstLine="567"/>
        <w:jc w:val="center"/>
        <w:widowControl/>
        <w:tabs>
          <w:tab w:val="left" w:pos="4678" w:leader="none"/>
          <w:tab w:val="left" w:pos="7230" w:leader="none"/>
        </w:tabs>
        <w:rPr>
          <w:sz w:val="24"/>
          <w:szCs w:val="24"/>
          <w:highlight w:val="none"/>
        </w:rPr>
      </w:pPr>
      <w:r>
        <w:rPr>
          <w:sz w:val="24"/>
          <w:szCs w:val="24"/>
          <w:highlight w:val="none"/>
        </w:rPr>
      </w:r>
      <w:r>
        <w:rPr>
          <w:sz w:val="24"/>
          <w:szCs w:val="24"/>
          <w:highlight w:val="none"/>
        </w:rPr>
      </w:r>
      <w:r/>
    </w:p>
    <w:p>
      <w:pPr>
        <w:ind w:firstLine="567"/>
        <w:jc w:val="center"/>
        <w:widowControl/>
        <w:tabs>
          <w:tab w:val="left" w:pos="4678" w:leader="none"/>
          <w:tab w:val="left" w:pos="7230" w:leader="none"/>
        </w:tabs>
      </w:pPr>
      <w:r>
        <w:rPr>
          <w:rFonts w:eastAsia="Calibri"/>
          <w:sz w:val="24"/>
          <w:szCs w:val="24"/>
          <w:lang w:eastAsia="en-US"/>
        </w:rPr>
      </w:r>
      <w:bookmarkStart w:id="0" w:name="undefined"/>
      <w:r/>
      <w:bookmarkStart w:id="0" w:name="undefined"/>
      <w:r/>
      <w:bookmarkStart w:id="0" w:name="undefined"/>
      <w:r>
        <w:rPr>
          <w:rFonts w:eastAsia="Calibri"/>
          <w:b/>
          <w:bCs/>
          <w:caps/>
          <w:sz w:val="24"/>
          <w:szCs w:val="24"/>
        </w:rPr>
        <w:t xml:space="preserve">Часть I. Порядок применения Правил землепользования и застройки</w:t>
      </w:r>
      <w:bookmarkEnd w:id="0"/>
      <w:r>
        <w:rPr>
          <w:rFonts w:eastAsia="Calibri"/>
          <w:b/>
          <w:bCs/>
          <w:caps/>
          <w:sz w:val="24"/>
          <w:szCs w:val="24"/>
        </w:rPr>
        <w:t xml:space="preserve"> и внесения в них изменений</w:t>
      </w:r>
      <w:r/>
    </w:p>
    <w:p>
      <w:pPr>
        <w:ind w:firstLine="567"/>
        <w:jc w:val="both"/>
        <w:keepNext/>
        <w:widowControl/>
        <w:outlineLvl w:val="1"/>
      </w:pPr>
      <w:r/>
      <w:bookmarkStart w:id="0" w:name="undefined"/>
      <w:r>
        <w:rPr>
          <w:b/>
          <w:bCs/>
          <w:i/>
          <w:iCs/>
          <w:sz w:val="24"/>
          <w:szCs w:val="24"/>
        </w:rPr>
        <w:t xml:space="preserve">Глава 1. Положение о регулировании землепользования и застройки органами местного самоуправления</w:t>
      </w:r>
      <w:bookmarkEnd w:id="0"/>
      <w:r>
        <w:rPr>
          <w:rFonts w:ascii="Calibri Light" w:hAnsi="Calibri Light"/>
          <w:sz w:val="26"/>
          <w:szCs w:val="26"/>
        </w:rPr>
      </w:r>
      <w:r/>
    </w:p>
    <w:p>
      <w:pPr>
        <w:ind w:firstLine="567"/>
        <w:jc w:val="both"/>
        <w:keepNext/>
        <w:widowControl/>
        <w:outlineLvl w:val="2"/>
      </w:pPr>
      <w:r/>
      <w:bookmarkStart w:id="0" w:name="undefined"/>
      <w:r>
        <w:rPr>
          <w:b/>
          <w:bCs/>
          <w:sz w:val="24"/>
          <w:szCs w:val="24"/>
        </w:rPr>
        <w:t xml:space="preserve">Статья 1. Общие положения</w:t>
      </w:r>
      <w:bookmarkEnd w:id="0"/>
      <w:r>
        <w:rPr>
          <w:b/>
          <w:bCs/>
          <w:sz w:val="24"/>
          <w:szCs w:val="24"/>
        </w:rPr>
      </w:r>
      <w:r/>
    </w:p>
    <w:p>
      <w:pPr>
        <w:ind w:firstLine="567"/>
        <w:jc w:val="both"/>
        <w:widowControl/>
      </w:pPr>
      <w:r>
        <w:rPr>
          <w:rFonts w:eastAsia="Calibri"/>
          <w:sz w:val="24"/>
          <w:szCs w:val="24"/>
          <w:lang w:eastAsia="en-US"/>
        </w:rPr>
        <w:t xml:space="preserve">Правила землепользования и застройки Казанского</w:t>
      </w:r>
      <w:r>
        <w:rPr>
          <w:rFonts w:eastAsia="Calibri"/>
          <w:sz w:val="24"/>
          <w:szCs w:val="24"/>
          <w:lang w:eastAsia="en-US"/>
        </w:rPr>
        <w:t xml:space="preserve"> </w:t>
      </w:r>
      <w:r>
        <w:rPr>
          <w:rFonts w:eastAsia="Calibri"/>
          <w:sz w:val="24"/>
          <w:szCs w:val="24"/>
          <w:lang w:eastAsia="en-US"/>
        </w:rPr>
        <w:t xml:space="preserve">сельского поселения </w:t>
      </w:r>
      <w:r>
        <w:rPr>
          <w:rFonts w:eastAsia="Calibri"/>
          <w:sz w:val="24"/>
          <w:szCs w:val="24"/>
          <w:lang w:eastAsia="en-US"/>
        </w:rPr>
        <w:t xml:space="preserve">Кавказского</w:t>
      </w:r>
      <w:r>
        <w:rPr>
          <w:rFonts w:eastAsia="Calibri"/>
          <w:sz w:val="24"/>
          <w:szCs w:val="24"/>
          <w:lang w:eastAsia="en-US"/>
        </w:rPr>
        <w:t xml:space="preserve"> района (далее также - Правила) разработаны в соответствии с Градостроительным кодексом Российской Федерации, Земельным кодексом Российской Федерации предусматривают в </w:t>
      </w:r>
      <w:r>
        <w:rPr>
          <w:rFonts w:eastAsia="Calibri"/>
          <w:sz w:val="24"/>
          <w:szCs w:val="24"/>
          <w:lang w:val="ru-RU"/>
        </w:rPr>
        <w:t xml:space="preserve">Казанском</w:t>
      </w:r>
      <w:r>
        <w:rPr>
          <w:rFonts w:eastAsia="Calibri"/>
          <w:sz w:val="24"/>
          <w:szCs w:val="24"/>
          <w:lang w:val="en-US"/>
        </w:rPr>
        <w:t xml:space="preserve"> </w:t>
      </w:r>
      <w:r>
        <w:rPr>
          <w:rFonts w:eastAsia="Calibri"/>
          <w:sz w:val="24"/>
          <w:szCs w:val="24"/>
          <w:lang w:eastAsia="en-US"/>
        </w:rPr>
        <w:t xml:space="preserve">сельском поселении </w:t>
      </w:r>
      <w:r>
        <w:rPr>
          <w:rFonts w:eastAsia="Calibri"/>
          <w:sz w:val="24"/>
          <w:szCs w:val="24"/>
          <w:lang w:eastAsia="en-US"/>
        </w:rPr>
        <w:t xml:space="preserve">Кавказского</w:t>
      </w:r>
      <w:r>
        <w:rPr>
          <w:rFonts w:eastAsia="Calibri"/>
          <w:sz w:val="24"/>
          <w:szCs w:val="24"/>
          <w:lang w:eastAsia="en-US"/>
        </w:rPr>
        <w:t xml:space="preserve"> района систему регулирования землепользования и застройки, которая основана на градостроительном зонировании – делении всей территории в границах Казанского</w:t>
      </w:r>
      <w:r>
        <w:rPr>
          <w:rFonts w:eastAsia="Calibri"/>
          <w:sz w:val="24"/>
          <w:szCs w:val="24"/>
          <w:lang w:eastAsia="en-US"/>
        </w:rPr>
        <w:t xml:space="preserve"> </w:t>
      </w:r>
      <w:r>
        <w:rPr>
          <w:rFonts w:eastAsia="Calibri"/>
          <w:sz w:val="24"/>
          <w:szCs w:val="24"/>
          <w:lang w:eastAsia="en-US"/>
        </w:rPr>
        <w:t xml:space="preserve">сельского поселения на территориальные зоны с установлением для каждой из них единого градостроительного</w:t>
      </w:r>
      <w:r>
        <w:rPr>
          <w:rFonts w:eastAsia="Calibri"/>
          <w:sz w:val="24"/>
          <w:szCs w:val="24"/>
          <w:lang w:eastAsia="en-US"/>
        </w:rPr>
        <w:t xml:space="preserve"> </w:t>
      </w:r>
      <w:r>
        <w:rPr>
          <w:rFonts w:eastAsia="Calibri"/>
          <w:sz w:val="24"/>
          <w:szCs w:val="24"/>
          <w:lang w:eastAsia="en-US"/>
        </w:rPr>
        <w:t xml:space="preserve">регламента по видам и предельным параметрам раз</w:t>
      </w:r>
      <w:r>
        <w:rPr>
          <w:rFonts w:eastAsia="Calibri"/>
          <w:sz w:val="24"/>
          <w:szCs w:val="24"/>
          <w:lang w:eastAsia="en-US"/>
        </w:rPr>
        <w:t xml:space="preserve">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w:t>
      </w:r>
      <w:r>
        <w:rPr>
          <w:rFonts w:eastAsia="Calibri"/>
          <w:sz w:val="24"/>
          <w:szCs w:val="24"/>
          <w:lang w:eastAsia="en-US"/>
        </w:rPr>
        <w:t xml:space="preserve">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w:t>
      </w:r>
      <w:r>
        <w:rPr>
          <w:rFonts w:eastAsia="Calibri"/>
          <w:sz w:val="24"/>
          <w:szCs w:val="24"/>
          <w:lang w:eastAsia="en-US"/>
        </w:rPr>
        <w:t xml:space="preserve">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r>
        <w:rPr>
          <w:rFonts w:eastAsia="Calibri"/>
          <w:sz w:val="24"/>
          <w:szCs w:val="24"/>
          <w:lang w:eastAsia="en-US"/>
        </w:rPr>
      </w:r>
      <w:r/>
    </w:p>
    <w:p>
      <w:pPr>
        <w:ind w:firstLine="567"/>
        <w:jc w:val="both"/>
        <w:keepLines/>
        <w:keepNext/>
        <w:widowControl/>
        <w:tabs>
          <w:tab w:val="left" w:pos="1134" w:leader="none"/>
        </w:tabs>
        <w:outlineLvl w:val="2"/>
      </w:pPr>
      <w:r/>
      <w:bookmarkStart w:id="0" w:name="undefined"/>
      <w:r>
        <w:rPr>
          <w:b/>
          <w:bCs/>
          <w:sz w:val="24"/>
          <w:szCs w:val="24"/>
        </w:rPr>
        <w:t xml:space="preserve">Статья 2. </w:t>
      </w:r>
      <w:bookmarkStart w:id="0" w:name="undefined"/>
      <w:r/>
      <w:bookmarkStart w:id="0" w:name="undefined"/>
      <w:r/>
      <w:bookmarkStart w:id="0" w:name="undefined"/>
      <w:r/>
      <w:bookmarkEnd w:id="0"/>
      <w:r>
        <w:rPr>
          <w:b/>
          <w:sz w:val="24"/>
          <w:szCs w:val="24"/>
        </w:rPr>
        <w:t xml:space="preserve">Цели и сфера применения настоящих Правил</w:t>
      </w:r>
      <w:r>
        <w:rPr>
          <w:b/>
          <w:sz w:val="24"/>
          <w:szCs w:val="24"/>
        </w:rPr>
      </w:r>
      <w:r/>
    </w:p>
    <w:p>
      <w:pPr>
        <w:ind w:firstLine="567"/>
        <w:jc w:val="both"/>
        <w:widowControl/>
      </w:pPr>
      <w:r>
        <w:rPr>
          <w:sz w:val="24"/>
          <w:szCs w:val="24"/>
        </w:rPr>
        <w:t xml:space="preserve">1. </w:t>
      </w:r>
      <w:bookmarkStart w:id="0" w:name="undefined"/>
      <w:r/>
      <w:bookmarkStart w:id="0" w:name="undefined"/>
      <w:r/>
      <w:bookmarkStart w:id="0" w:name="undefined"/>
      <w:r>
        <w:rPr>
          <w:sz w:val="24"/>
          <w:szCs w:val="24"/>
        </w:rPr>
        <w:t xml:space="preserve">Целями Правил являются:</w:t>
      </w:r>
      <w:r>
        <w:rPr>
          <w:sz w:val="24"/>
          <w:szCs w:val="24"/>
        </w:rPr>
      </w:r>
      <w:r/>
    </w:p>
    <w:p>
      <w:pPr>
        <w:ind w:firstLine="567"/>
        <w:jc w:val="both"/>
        <w:widowControl/>
      </w:pPr>
      <w:r>
        <w:rPr>
          <w:sz w:val="24"/>
          <w:szCs w:val="24"/>
        </w:rPr>
        <w:t xml:space="preserve">1) создания условий для устойчивого развития территорий Казанского</w:t>
      </w:r>
      <w:r>
        <w:rPr>
          <w:sz w:val="24"/>
          <w:szCs w:val="24"/>
        </w:rPr>
        <w:t xml:space="preserve"> сельского поселения </w:t>
      </w:r>
      <w:r>
        <w:rPr>
          <w:sz w:val="24"/>
          <w:szCs w:val="24"/>
        </w:rPr>
        <w:t xml:space="preserve">Кавказского</w:t>
      </w:r>
      <w:r>
        <w:rPr>
          <w:sz w:val="24"/>
          <w:szCs w:val="24"/>
        </w:rPr>
        <w:t xml:space="preserve"> района, сохранения окружающей среды и объектов культурного наследия;</w:t>
      </w:r>
      <w:r>
        <w:rPr>
          <w:sz w:val="24"/>
          <w:szCs w:val="24"/>
        </w:rPr>
      </w:r>
      <w:r/>
    </w:p>
    <w:p>
      <w:pPr>
        <w:ind w:firstLine="567"/>
        <w:jc w:val="both"/>
        <w:widowControl/>
      </w:pPr>
      <w:r>
        <w:rPr>
          <w:sz w:val="24"/>
          <w:szCs w:val="24"/>
        </w:rPr>
        <w:t xml:space="preserve">2) создание условий для планировки территории Казанского</w:t>
      </w:r>
      <w:r>
        <w:rPr>
          <w:sz w:val="24"/>
          <w:szCs w:val="24"/>
        </w:rPr>
        <w:t xml:space="preserve"> </w:t>
      </w:r>
      <w:r>
        <w:rPr>
          <w:sz w:val="24"/>
          <w:szCs w:val="24"/>
        </w:rPr>
        <w:t xml:space="preserve">сельского поселения </w:t>
      </w:r>
      <w:r>
        <w:rPr>
          <w:sz w:val="24"/>
          <w:szCs w:val="24"/>
        </w:rPr>
        <w:t xml:space="preserve">Кавказского</w:t>
      </w:r>
      <w:r>
        <w:rPr>
          <w:sz w:val="24"/>
          <w:szCs w:val="24"/>
        </w:rPr>
        <w:t xml:space="preserve"> района;</w:t>
      </w:r>
      <w:r>
        <w:rPr>
          <w:sz w:val="24"/>
          <w:szCs w:val="24"/>
        </w:rPr>
      </w:r>
      <w:r/>
    </w:p>
    <w:p>
      <w:pPr>
        <w:ind w:firstLine="567"/>
        <w:jc w:val="both"/>
        <w:widowControl/>
      </w:pPr>
      <w:r>
        <w:rPr>
          <w:sz w:val="24"/>
          <w:szCs w:val="24"/>
        </w:rPr>
        <w:t xml:space="preserve">3)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r>
        <w:rPr>
          <w:sz w:val="24"/>
          <w:szCs w:val="24"/>
        </w:rPr>
      </w:r>
      <w:r/>
    </w:p>
    <w:p>
      <w:pPr>
        <w:ind w:firstLine="567"/>
        <w:jc w:val="both"/>
        <w:widowControl/>
      </w:pPr>
      <w:r>
        <w:rPr>
          <w:sz w:val="24"/>
          <w:szCs w:val="24"/>
        </w:rPr>
        <w:t xml:space="preserve">4) 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w:t>
      </w:r>
      <w:r>
        <w:rPr>
          <w:sz w:val="24"/>
          <w:szCs w:val="24"/>
        </w:rPr>
      </w:r>
      <w:r/>
    </w:p>
    <w:p>
      <w:pPr>
        <w:ind w:firstLine="567"/>
        <w:jc w:val="both"/>
        <w:widowControl/>
      </w:pPr>
      <w:r>
        <w:rPr>
          <w:sz w:val="24"/>
          <w:szCs w:val="24"/>
        </w:rPr>
        <w:t xml:space="preserve">2.Настоящие Правила действуют на всей территории Казанского</w:t>
      </w:r>
      <w:r>
        <w:rPr>
          <w:sz w:val="24"/>
          <w:szCs w:val="24"/>
        </w:rPr>
        <w:t xml:space="preserve"> </w:t>
      </w:r>
      <w:r>
        <w:rPr>
          <w:sz w:val="24"/>
          <w:szCs w:val="24"/>
        </w:rPr>
        <w:t xml:space="preserve">сельского поселения </w:t>
      </w:r>
      <w:r>
        <w:rPr>
          <w:sz w:val="24"/>
          <w:szCs w:val="24"/>
        </w:rPr>
        <w:t xml:space="preserve">Кавказского</w:t>
      </w:r>
      <w:r>
        <w:rPr>
          <w:sz w:val="24"/>
          <w:szCs w:val="24"/>
        </w:rPr>
        <w:t xml:space="preserve"> района и обязательны для исполнения всеми субъектами градостроительной деятельности.</w:t>
      </w:r>
      <w:r>
        <w:rPr>
          <w:sz w:val="24"/>
          <w:szCs w:val="24"/>
        </w:rPr>
      </w:r>
      <w:r/>
    </w:p>
    <w:p>
      <w:pPr>
        <w:ind w:firstLine="567"/>
        <w:jc w:val="both"/>
        <w:widowControl/>
      </w:pPr>
      <w:r>
        <w:rPr>
          <w:sz w:val="24"/>
          <w:szCs w:val="24"/>
        </w:rPr>
        <w:t xml:space="preserve">3. Требования устан</w:t>
      </w:r>
      <w:r>
        <w:rPr>
          <w:sz w:val="24"/>
          <w:szCs w:val="24"/>
        </w:rPr>
        <w:t xml:space="preserve">овленных Правилами градостроительных регламентов сохраняются при изменении формы собственности на земельный участок, на объект капитального строительства, при переходе прав на земельный участок, на объект капитального строительства другому правообладателю.</w:t>
      </w:r>
      <w:r>
        <w:rPr>
          <w:sz w:val="24"/>
          <w:szCs w:val="24"/>
        </w:rPr>
      </w:r>
      <w:r/>
    </w:p>
    <w:p>
      <w:pPr>
        <w:ind w:firstLine="567"/>
        <w:jc w:val="both"/>
        <w:widowControl/>
      </w:pPr>
      <w:r>
        <w:rPr>
          <w:sz w:val="24"/>
          <w:szCs w:val="24"/>
        </w:rPr>
        <w:t xml:space="preserve">4. Правила применяются, в том числе, при:</w:t>
      </w:r>
      <w:r>
        <w:rPr>
          <w:sz w:val="24"/>
          <w:szCs w:val="24"/>
        </w:rPr>
      </w:r>
      <w:r/>
    </w:p>
    <w:p>
      <w:pPr>
        <w:ind w:firstLine="567"/>
        <w:jc w:val="both"/>
        <w:widowControl/>
      </w:pPr>
      <w:r>
        <w:rPr>
          <w:sz w:val="24"/>
          <w:szCs w:val="24"/>
        </w:rPr>
        <w:t xml:space="preserve">подготовке, проверке и утверждении документации по планировке территории;</w:t>
      </w:r>
      <w:r>
        <w:rPr>
          <w:sz w:val="24"/>
          <w:szCs w:val="24"/>
        </w:rPr>
      </w:r>
      <w:r/>
    </w:p>
    <w:p>
      <w:pPr>
        <w:ind w:firstLine="567"/>
        <w:jc w:val="both"/>
        <w:widowControl/>
      </w:pPr>
      <w:r>
        <w:rPr>
          <w:sz w:val="24"/>
          <w:szCs w:val="24"/>
        </w:rPr>
        <w:t xml:space="preserve">принятии решений о предоставлении или об отказе в предоставлении разрешений на условно разрешённые виды использования земельных участков и объектов капитального строительства;</w:t>
      </w:r>
      <w:r>
        <w:rPr>
          <w:sz w:val="24"/>
          <w:szCs w:val="24"/>
        </w:rPr>
      </w:r>
      <w:r/>
    </w:p>
    <w:p>
      <w:pPr>
        <w:ind w:firstLine="567"/>
        <w:jc w:val="both"/>
        <w:widowControl/>
      </w:pPr>
      <w:r>
        <w:rPr>
          <w:sz w:val="24"/>
          <w:szCs w:val="24"/>
        </w:rPr>
        <w:t xml:space="preserve">принятии решений о предоставлении или об отказе в предоставлении разрешений на отклонение от предельных параметров разрешённого строительства, реконструкции объектов капитального строительства;</w:t>
      </w:r>
      <w:r>
        <w:rPr>
          <w:sz w:val="24"/>
          <w:szCs w:val="24"/>
        </w:rPr>
      </w:r>
      <w:r/>
    </w:p>
    <w:p>
      <w:pPr>
        <w:ind w:firstLine="567"/>
        <w:jc w:val="both"/>
        <w:widowControl/>
      </w:pPr>
      <w:r>
        <w:rPr>
          <w:sz w:val="24"/>
          <w:szCs w:val="24"/>
        </w:rPr>
        <w:t xml:space="preserve">осуществлении муниципального</w:t>
      </w:r>
      <w:r>
        <w:rPr>
          <w:sz w:val="24"/>
          <w:szCs w:val="24"/>
        </w:rPr>
        <w:t xml:space="preserve"> </w:t>
      </w:r>
      <w:r>
        <w:rPr>
          <w:sz w:val="24"/>
          <w:szCs w:val="24"/>
        </w:rPr>
        <w:t xml:space="preserve">земельного и лесного контроля на территории Казанского</w:t>
      </w:r>
      <w:r>
        <w:rPr>
          <w:bCs/>
          <w:sz w:val="24"/>
          <w:szCs w:val="24"/>
        </w:rPr>
        <w:t xml:space="preserve"> </w:t>
      </w:r>
      <w:r>
        <w:rPr>
          <w:bCs/>
          <w:sz w:val="24"/>
          <w:szCs w:val="24"/>
        </w:rPr>
        <w:t xml:space="preserve">сельского поселения </w:t>
      </w:r>
      <w:r>
        <w:rPr>
          <w:sz w:val="24"/>
          <w:szCs w:val="24"/>
        </w:rPr>
        <w:t xml:space="preserve">Кавказского</w:t>
      </w:r>
      <w:r>
        <w:rPr>
          <w:sz w:val="24"/>
          <w:szCs w:val="24"/>
        </w:rPr>
        <w:t xml:space="preserve"> района.</w:t>
      </w:r>
      <w:r>
        <w:rPr>
          <w:sz w:val="24"/>
          <w:szCs w:val="24"/>
        </w:rPr>
      </w:r>
      <w:r/>
    </w:p>
    <w:p>
      <w:pPr>
        <w:ind w:firstLine="567"/>
        <w:jc w:val="both"/>
        <w:widowControl/>
      </w:pPr>
      <w:r>
        <w:rPr>
          <w:sz w:val="24"/>
          <w:szCs w:val="24"/>
        </w:rPr>
        <w:t xml:space="preserve">5. Настоящие Правила применяются наряду с:</w:t>
      </w:r>
      <w:r>
        <w:rPr>
          <w:sz w:val="24"/>
          <w:szCs w:val="24"/>
        </w:rPr>
      </w:r>
      <w:r/>
    </w:p>
    <w:p>
      <w:pPr>
        <w:ind w:firstLine="567"/>
        <w:jc w:val="both"/>
        <w:widowControl/>
      </w:pPr>
      <w:r>
        <w:rPr>
          <w:sz w:val="24"/>
          <w:szCs w:val="24"/>
        </w:rPr>
        <w:t xml:space="preserve">техническими регламентам</w:t>
      </w:r>
      <w:r>
        <w:rPr>
          <w:sz w:val="24"/>
          <w:szCs w:val="24"/>
        </w:rPr>
        <w:t xml:space="preserve">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r>
        <w:rPr>
          <w:sz w:val="24"/>
          <w:szCs w:val="24"/>
        </w:rPr>
      </w:r>
      <w:r/>
    </w:p>
    <w:p>
      <w:pPr>
        <w:ind w:firstLine="567"/>
        <w:jc w:val="both"/>
        <w:widowControl/>
      </w:pPr>
      <w:r>
        <w:rPr>
          <w:sz w:val="24"/>
          <w:szCs w:val="24"/>
        </w:rPr>
        <w:t xml:space="preserve">нормативными правовыми актами Казанского</w:t>
      </w:r>
      <w:r>
        <w:rPr>
          <w:sz w:val="24"/>
          <w:szCs w:val="24"/>
        </w:rPr>
        <w:t xml:space="preserve"> </w:t>
      </w:r>
      <w:r>
        <w:rPr>
          <w:sz w:val="24"/>
          <w:szCs w:val="24"/>
        </w:rPr>
        <w:t xml:space="preserve">сельского поселения </w:t>
      </w:r>
      <w:r>
        <w:rPr>
          <w:sz w:val="24"/>
          <w:szCs w:val="24"/>
        </w:rPr>
        <w:t xml:space="preserve">Кавказского</w:t>
      </w:r>
      <w:r>
        <w:rPr>
          <w:sz w:val="24"/>
          <w:szCs w:val="24"/>
        </w:rPr>
        <w:t xml:space="preserve"> района по вопросам регулирования землепользования и застройки. Указанные акты применяются в части, не противоречащей настоящим Правилам.</w:t>
      </w:r>
      <w:r>
        <w:rPr>
          <w:sz w:val="24"/>
          <w:szCs w:val="24"/>
        </w:rPr>
      </w:r>
      <w:r/>
    </w:p>
    <w:p>
      <w:pPr>
        <w:ind w:firstLine="567"/>
        <w:jc w:val="both"/>
        <w:keepNext/>
        <w:widowControl/>
        <w:outlineLvl w:val="2"/>
      </w:pPr>
      <w:r>
        <w:rPr>
          <w:b/>
          <w:bCs/>
          <w:sz w:val="24"/>
          <w:szCs w:val="24"/>
        </w:rPr>
        <w:t xml:space="preserve">Статья3. Открытость и доступность информации о землепользовании и застройк</w:t>
      </w:r>
      <w:bookmarkEnd w:id="0"/>
      <w:r>
        <w:rPr>
          <w:b/>
          <w:bCs/>
          <w:sz w:val="24"/>
          <w:szCs w:val="24"/>
        </w:rPr>
        <w:t xml:space="preserve">и</w:t>
      </w:r>
      <w:r>
        <w:rPr>
          <w:b/>
          <w:bCs/>
          <w:sz w:val="24"/>
          <w:szCs w:val="24"/>
        </w:rPr>
      </w:r>
      <w:r/>
    </w:p>
    <w:p>
      <w:pPr>
        <w:ind w:firstLine="567"/>
        <w:jc w:val="both"/>
        <w:widowControl/>
      </w:pPr>
      <w:r>
        <w:rPr>
          <w:rFonts w:eastAsia="Calibri"/>
          <w:sz w:val="24"/>
          <w:szCs w:val="24"/>
          <w:lang w:eastAsia="en-US"/>
        </w:rPr>
        <w:t xml:space="preserve">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r>
        <w:rPr>
          <w:rFonts w:eastAsia="Calibri"/>
          <w:sz w:val="24"/>
          <w:szCs w:val="24"/>
          <w:lang w:eastAsia="en-US"/>
        </w:rPr>
      </w:r>
      <w:r/>
    </w:p>
    <w:p>
      <w:pPr>
        <w:ind w:firstLine="567"/>
        <w:jc w:val="both"/>
        <w:widowControl/>
      </w:pPr>
      <w:r>
        <w:rPr>
          <w:rFonts w:eastAsia="Calibri"/>
          <w:sz w:val="24"/>
          <w:szCs w:val="24"/>
          <w:lang w:eastAsia="en-US"/>
        </w:rPr>
        <w:t xml:space="preserve">Орган местного самоуправления, исполняющий полномочия в сфере регулирования землепользования и застройки на территории Казанского сельского поселения (далее – ОМС) обеспечивает возможность ознакомления с настоящими Правилами путем:</w:t>
      </w:r>
      <w:r>
        <w:rPr>
          <w:rFonts w:eastAsia="Calibri"/>
          <w:sz w:val="24"/>
          <w:szCs w:val="24"/>
          <w:lang w:eastAsia="en-US"/>
        </w:rPr>
      </w:r>
      <w:r/>
    </w:p>
    <w:p>
      <w:pPr>
        <w:ind w:firstLine="567"/>
        <w:jc w:val="both"/>
        <w:widowControl/>
      </w:pPr>
      <w:r>
        <w:rPr>
          <w:rFonts w:eastAsia="Calibri"/>
          <w:sz w:val="24"/>
          <w:szCs w:val="24"/>
          <w:lang w:eastAsia="en-US"/>
        </w:rPr>
        <w:t xml:space="preserve">1) опубликования Правил;</w:t>
      </w:r>
      <w:r>
        <w:rPr>
          <w:rFonts w:eastAsia="Calibri"/>
          <w:sz w:val="24"/>
          <w:szCs w:val="24"/>
          <w:lang w:eastAsia="en-US"/>
        </w:rPr>
      </w:r>
      <w:r/>
    </w:p>
    <w:p>
      <w:pPr>
        <w:ind w:firstLine="567"/>
        <w:jc w:val="both"/>
        <w:widowControl/>
      </w:pPr>
      <w:r>
        <w:rPr>
          <w:rFonts w:eastAsia="Calibri"/>
          <w:sz w:val="24"/>
          <w:szCs w:val="24"/>
          <w:lang w:eastAsia="en-US"/>
        </w:rPr>
        <w:t xml:space="preserve">2) размещение Правил на официальном сайте муниципального образования в информационно-телекоммуникационной сети Интернет;</w:t>
      </w:r>
      <w:r>
        <w:rPr>
          <w:rFonts w:eastAsia="Calibri"/>
          <w:sz w:val="24"/>
          <w:szCs w:val="24"/>
          <w:lang w:eastAsia="en-US"/>
        </w:rPr>
      </w:r>
      <w:r/>
    </w:p>
    <w:p>
      <w:pPr>
        <w:ind w:firstLine="567"/>
        <w:jc w:val="both"/>
        <w:widowControl/>
      </w:pPr>
      <w:r>
        <w:rPr>
          <w:rFonts w:eastAsia="Calibri"/>
          <w:sz w:val="24"/>
          <w:szCs w:val="24"/>
          <w:lang w:eastAsia="en-US"/>
        </w:rPr>
        <w:t xml:space="preserve">3) создания условий для ознакомления с настоящими Правилами в полном комплекте входящих в их состав картографических и иных документов в муниципальном образовании.</w:t>
      </w:r>
      <w:r>
        <w:rPr>
          <w:rFonts w:eastAsia="Calibri"/>
          <w:sz w:val="24"/>
          <w:szCs w:val="24"/>
          <w:lang w:eastAsia="en-US"/>
        </w:rPr>
      </w:r>
      <w:r/>
    </w:p>
    <w:p>
      <w:pPr>
        <w:ind w:firstLine="567"/>
        <w:jc w:val="both"/>
        <w:widowControl/>
      </w:pPr>
      <w:r>
        <w:rPr>
          <w:rFonts w:eastAsia="Calibri"/>
          <w:sz w:val="24"/>
          <w:szCs w:val="24"/>
          <w:lang w:eastAsia="en-US"/>
        </w:rPr>
        <w:t xml:space="preserve">ОМС обеспечивает возможность предоставления информации и сведений физическим и юридическим лицам: выписок из настоящих Правил, а также необходимых копий, в том числе ко</w:t>
      </w:r>
      <w:r>
        <w:rPr>
          <w:rFonts w:eastAsia="Calibri"/>
          <w:sz w:val="24"/>
          <w:szCs w:val="24"/>
          <w:lang w:eastAsia="en-US"/>
        </w:rPr>
        <w:t xml:space="preserve">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из информационной системы обеспечения градостроительной деятельности.</w:t>
      </w:r>
      <w:r>
        <w:rPr>
          <w:rFonts w:eastAsia="Calibri"/>
          <w:sz w:val="24"/>
          <w:szCs w:val="24"/>
          <w:lang w:eastAsia="en-US"/>
        </w:rPr>
      </w:r>
      <w:r/>
    </w:p>
    <w:p>
      <w:pPr>
        <w:ind w:firstLine="567"/>
        <w:jc w:val="both"/>
        <w:keepLines/>
        <w:keepNext/>
        <w:widowControl/>
        <w:tabs>
          <w:tab w:val="left" w:pos="1134" w:leader="none"/>
        </w:tabs>
        <w:outlineLvl w:val="2"/>
      </w:pPr>
      <w:r/>
      <w:bookmarkStart w:id="0" w:name="undefined"/>
      <w:r/>
      <w:bookmarkStart w:id="0" w:name="undefined"/>
      <w:r>
        <w:rPr>
          <w:b/>
          <w:sz w:val="24"/>
          <w:szCs w:val="24"/>
        </w:rPr>
        <w:t xml:space="preserve">Статья 4. Полномочия в области регулирования отношений по вопросам землепользования и застройки на территории</w:t>
      </w:r>
      <w:bookmarkEnd w:id="0"/>
      <w:r>
        <w:rPr>
          <w:b/>
          <w:sz w:val="24"/>
          <w:szCs w:val="24"/>
        </w:rPr>
        <w:t xml:space="preserve"> </w:t>
      </w:r>
      <w:r>
        <w:rPr>
          <w:b/>
          <w:sz w:val="24"/>
          <w:szCs w:val="24"/>
        </w:rPr>
        <w:t xml:space="preserve">Казанского сельского поселения Кавказского района</w:t>
      </w:r>
      <w:r>
        <w:rPr>
          <w:b/>
          <w:sz w:val="24"/>
          <w:szCs w:val="24"/>
        </w:rPr>
      </w:r>
      <w:r/>
    </w:p>
    <w:p>
      <w:pPr>
        <w:ind w:firstLine="567"/>
        <w:jc w:val="both"/>
        <w:widowControl/>
      </w:pPr>
      <w:r>
        <w:rPr>
          <w:sz w:val="24"/>
          <w:szCs w:val="24"/>
        </w:rPr>
        <w:t xml:space="preserve">1. На территории Казанского сельского посел</w:t>
      </w:r>
      <w:r>
        <w:rPr>
          <w:sz w:val="24"/>
          <w:szCs w:val="24"/>
        </w:rPr>
        <w:t xml:space="preserve">ения Кавказского района регулирование землепользования и застройки осуществляется Советом ОМС, Главой ОМС, отраслевыми (функциональными) органами администрации ОМС, курирующими вопросы архитектуры и градостроительства, имущественных и земельных отношений, </w:t>
      </w:r>
      <w:r>
        <w:rPr>
          <w:sz w:val="24"/>
          <w:szCs w:val="24"/>
        </w:rPr>
        <w:t xml:space="preserve">Комиссией по подготовке проекта правил землепользования и застройки на территории муниципального образования Кавказский район.</w:t>
      </w:r>
      <w:r>
        <w:rPr>
          <w:sz w:val="24"/>
          <w:szCs w:val="24"/>
        </w:rPr>
      </w:r>
      <w:r/>
    </w:p>
    <w:p>
      <w:pPr>
        <w:ind w:firstLine="567"/>
        <w:jc w:val="both"/>
        <w:widowControl/>
      </w:pPr>
      <w:r>
        <w:rPr>
          <w:sz w:val="24"/>
          <w:szCs w:val="24"/>
        </w:rPr>
        <w:t xml:space="preserve">2. Пол</w:t>
      </w:r>
      <w:r>
        <w:rPr>
          <w:sz w:val="24"/>
          <w:szCs w:val="24"/>
        </w:rPr>
        <w:t xml:space="preserve">номочия органов местного самоуправления в сфере регулирования землепользования и застройки устанавливаются в соответствии с федеральным законодательством, законодательством Краснодарского края, нормативными правовыми актами органов местного самоуправления.</w:t>
      </w:r>
      <w:r>
        <w:rPr>
          <w:sz w:val="24"/>
          <w:szCs w:val="24"/>
        </w:rPr>
      </w:r>
      <w:r/>
    </w:p>
    <w:p>
      <w:pPr>
        <w:ind w:firstLine="567"/>
        <w:jc w:val="both"/>
        <w:widowControl/>
      </w:pPr>
      <w:r>
        <w:rPr>
          <w:sz w:val="24"/>
          <w:szCs w:val="24"/>
        </w:rPr>
        <w:t xml:space="preserve">3. Полномочия отраслевых (функциональных) ОМС в с</w:t>
      </w:r>
      <w:r>
        <w:rPr>
          <w:sz w:val="24"/>
          <w:szCs w:val="24"/>
        </w:rPr>
        <w:t xml:space="preserve">фере регулирования землепользования и застройки, имущественных и земельных отношений устанавливаются Положениями о соответствующих отраслевых (функциональных) органах, утверждаемыми постановлениями администрации муниципального образования Кавказский район.</w:t>
      </w:r>
      <w:r>
        <w:rPr>
          <w:sz w:val="24"/>
          <w:szCs w:val="24"/>
        </w:rPr>
      </w:r>
      <w:r/>
    </w:p>
    <w:p>
      <w:pPr>
        <w:ind w:firstLine="567"/>
        <w:jc w:val="both"/>
        <w:widowControl/>
      </w:pPr>
      <w:r>
        <w:rPr>
          <w:sz w:val="24"/>
          <w:szCs w:val="24"/>
        </w:rPr>
        <w:t xml:space="preserve">4. Состав и порядок деятельности Комиссии по подготовке проекта правил землепользования и застройки на территории муниципального образования Кавказский район утверждается постановлением администрации муниципального образования Кавказский район.</w:t>
      </w:r>
      <w:r>
        <w:rPr>
          <w:sz w:val="24"/>
          <w:szCs w:val="24"/>
        </w:rPr>
      </w:r>
      <w:r/>
    </w:p>
    <w:p>
      <w:pPr>
        <w:ind w:firstLine="567"/>
        <w:jc w:val="both"/>
        <w:keepNext/>
        <w:widowControl/>
        <w:tabs>
          <w:tab w:val="left" w:pos="1134" w:leader="none"/>
        </w:tabs>
        <w:outlineLvl w:val="2"/>
      </w:pPr>
      <w:r/>
      <w:bookmarkStart w:id="0" w:name="undefined"/>
      <w:r/>
      <w:bookmarkStart w:id="0" w:name="undefined"/>
      <w:r>
        <w:rPr>
          <w:b/>
          <w:sz w:val="24"/>
          <w:szCs w:val="24"/>
        </w:rPr>
        <w:t xml:space="preserve">Статья 5. </w:t>
      </w:r>
      <w:bookmarkStart w:id="0" w:name="undefined"/>
      <w:r/>
      <w:bookmarkStart w:id="0" w:name="undefined"/>
      <w:r/>
      <w:bookmarkEnd w:id="0"/>
      <w:r>
        <w:rPr>
          <w:b/>
          <w:sz w:val="24"/>
          <w:szCs w:val="24"/>
        </w:rPr>
        <w:t xml:space="preserve">Комиссия по подготовке проекта Правил землепользования и застройки</w:t>
      </w:r>
      <w:r>
        <w:rPr>
          <w:b/>
          <w:sz w:val="24"/>
          <w:szCs w:val="24"/>
        </w:rPr>
      </w:r>
      <w:r/>
    </w:p>
    <w:p>
      <w:pPr>
        <w:ind w:firstLine="567"/>
        <w:jc w:val="both"/>
        <w:widowControl/>
      </w:pPr>
      <w:r>
        <w:rPr>
          <w:sz w:val="24"/>
          <w:szCs w:val="24"/>
        </w:rPr>
        <w:t xml:space="preserve">1. Комиссия по подготовке проекта Правил землепользования и застройки</w:t>
      </w:r>
      <w:r>
        <w:rPr>
          <w:sz w:val="24"/>
          <w:szCs w:val="24"/>
        </w:rPr>
        <w:t xml:space="preserve"> (далее также - Комиссия) создается Главой ОМС в целях подготовки проекта Правил и осуществления иных полномочий, предусмотренных Градостроительным кодексом Российской Федерации и настоящими Правилами. </w:t>
      </w:r>
      <w:r>
        <w:rPr>
          <w:sz w:val="24"/>
          <w:szCs w:val="24"/>
        </w:rPr>
      </w:r>
      <w:r/>
    </w:p>
    <w:p>
      <w:pPr>
        <w:ind w:firstLine="567"/>
        <w:jc w:val="both"/>
        <w:widowControl/>
      </w:pPr>
      <w:r>
        <w:rPr>
          <w:sz w:val="24"/>
          <w:szCs w:val="24"/>
        </w:rPr>
        <w:t xml:space="preserve">2. </w:t>
      </w:r>
      <w:r>
        <w:rPr>
          <w:sz w:val="24"/>
          <w:szCs w:val="24"/>
        </w:rPr>
        <w:t xml:space="preserve">Комиссия</w:t>
      </w:r>
      <w:r>
        <w:rPr>
          <w:sz w:val="24"/>
          <w:szCs w:val="24"/>
        </w:rPr>
        <w:t xml:space="preserve"> в своей деятельности руководствуется Градостроительным кодексом Российской Федерации, правовыми актами органов государственной власти Российской Федерации, Краснодарского края, муниципального образования Кавказский район, ОМС а также настоящими Правилами.</w:t>
      </w:r>
      <w:r>
        <w:rPr>
          <w:sz w:val="24"/>
          <w:szCs w:val="24"/>
        </w:rPr>
      </w:r>
      <w:r/>
    </w:p>
    <w:p>
      <w:pPr>
        <w:ind w:firstLine="567"/>
        <w:jc w:val="both"/>
        <w:widowControl/>
      </w:pPr>
      <w:r>
        <w:rPr>
          <w:sz w:val="24"/>
          <w:szCs w:val="24"/>
        </w:rPr>
        <w:t xml:space="preserve">3. Комиссия осуществляет свою деятельность в соответствии с настоящими Правилами, Положением о составе и порядке деятельности Комиссии, утвержденным постановлением администрации муниципального образования Кавказский район.  </w:t>
      </w:r>
      <w:r>
        <w:rPr>
          <w:sz w:val="24"/>
          <w:szCs w:val="24"/>
        </w:rPr>
      </w:r>
      <w:r/>
    </w:p>
    <w:p>
      <w:pPr>
        <w:ind w:firstLine="567"/>
        <w:jc w:val="both"/>
        <w:widowControl/>
      </w:pPr>
      <w:r>
        <w:rPr>
          <w:sz w:val="24"/>
          <w:szCs w:val="24"/>
        </w:rPr>
        <w:t xml:space="preserve">Комиссия осуществляет следующие функции:</w:t>
      </w:r>
      <w:r>
        <w:rPr>
          <w:sz w:val="24"/>
          <w:szCs w:val="24"/>
        </w:rPr>
      </w:r>
      <w:r/>
    </w:p>
    <w:p>
      <w:pPr>
        <w:ind w:firstLine="567"/>
        <w:jc w:val="both"/>
        <w:widowControl/>
      </w:pPr>
      <w:r>
        <w:rPr>
          <w:sz w:val="24"/>
          <w:szCs w:val="24"/>
        </w:rPr>
        <w:t xml:space="preserve">1) подготовка рекомендаций Главе ОМС по вопросам подготовки проекта Правил, проекта внесения в </w:t>
      </w:r>
      <w:r>
        <w:rPr>
          <w:sz w:val="24"/>
          <w:szCs w:val="24"/>
        </w:rPr>
        <w:t xml:space="preserve">них изменений,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r>
        <w:rPr>
          <w:sz w:val="24"/>
          <w:szCs w:val="24"/>
        </w:rPr>
      </w:r>
      <w:r/>
    </w:p>
    <w:p>
      <w:pPr>
        <w:ind w:firstLine="567"/>
        <w:jc w:val="both"/>
        <w:widowControl/>
      </w:pPr>
      <w:r>
        <w:rPr>
          <w:sz w:val="24"/>
          <w:szCs w:val="24"/>
        </w:rPr>
        <w:t xml:space="preserve">2) рассмотрение предложений граждан и юридических лиц в связи с подготовкой проекта Правил, проекта внесения в </w:t>
      </w:r>
      <w:r>
        <w:rPr>
          <w:sz w:val="24"/>
          <w:szCs w:val="24"/>
        </w:rPr>
        <w:t xml:space="preserve">них изменений,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r>
        <w:rPr>
          <w:sz w:val="24"/>
          <w:szCs w:val="24"/>
        </w:rPr>
      </w:r>
      <w:r/>
    </w:p>
    <w:p>
      <w:pPr>
        <w:ind w:firstLine="567"/>
        <w:jc w:val="both"/>
        <w:widowControl/>
      </w:pPr>
      <w:r/>
      <w:bookmarkStart w:id="0" w:name="undefined"/>
      <w:r>
        <w:rPr>
          <w:sz w:val="24"/>
          <w:szCs w:val="24"/>
        </w:rPr>
        <w:t xml:space="preserve">3) организация и проведение общественных обсуждений, публичных слушаний по рассмотрению проекта Правил, проекта внесения в них измен</w:t>
      </w:r>
      <w:r>
        <w:rPr>
          <w:sz w:val="24"/>
          <w:szCs w:val="24"/>
        </w:rPr>
        <w:t xml:space="preserve">ений, вопросов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r>
        <w:rPr>
          <w:sz w:val="24"/>
          <w:szCs w:val="24"/>
        </w:rPr>
      </w:r>
      <w:r/>
    </w:p>
    <w:p>
      <w:pPr>
        <w:ind w:firstLine="567"/>
        <w:jc w:val="both"/>
        <w:widowControl/>
      </w:pPr>
      <w:r>
        <w:rPr>
          <w:sz w:val="24"/>
          <w:szCs w:val="24"/>
        </w:rPr>
        <w:t xml:space="preserve">4) подготовка протокола общественных обсуждений,  публичных слушаний, заключения о результатах общественных обсуждений, публичных слушаний.</w:t>
      </w:r>
      <w:bookmarkEnd w:id="0"/>
      <w:r>
        <w:rPr>
          <w:sz w:val="24"/>
          <w:szCs w:val="24"/>
        </w:rPr>
      </w:r>
      <w:r/>
    </w:p>
    <w:p>
      <w:pPr>
        <w:ind w:firstLine="567"/>
        <w:jc w:val="both"/>
        <w:widowControl/>
      </w:pPr>
      <w:r>
        <w:rPr>
          <w:sz w:val="24"/>
          <w:szCs w:val="24"/>
        </w:rPr>
        <w:t xml:space="preserve">Любой член Комиссии ее</w:t>
      </w:r>
      <w:r>
        <w:rPr>
          <w:sz w:val="24"/>
          <w:szCs w:val="24"/>
        </w:rPr>
        <w:t xml:space="preserve"> решением освобождается от участия в голосовании по конкретному вопросу в случае, если он имеет прямую финансовую заинтересованность, или находится в родственных отношениях с подателем заявки, по поводу которой рассматривается вопрос.</w:t>
      </w:r>
      <w:r>
        <w:rPr>
          <w:sz w:val="24"/>
          <w:szCs w:val="24"/>
        </w:rPr>
      </w:r>
      <w:r/>
    </w:p>
    <w:p>
      <w:pPr>
        <w:ind w:firstLine="567"/>
        <w:jc w:val="both"/>
        <w:widowControl/>
      </w:pPr>
      <w:r>
        <w:rPr>
          <w:sz w:val="24"/>
          <w:szCs w:val="24"/>
        </w:rPr>
        <w:t xml:space="preserve">4. К органам, уполномоченным регулировать и контролировать землепользование и застройку в части обеспечения применения правил застройки относятся:</w:t>
      </w:r>
      <w:r>
        <w:rPr>
          <w:sz w:val="24"/>
          <w:szCs w:val="24"/>
        </w:rPr>
      </w:r>
      <w:r/>
    </w:p>
    <w:p>
      <w:pPr>
        <w:ind w:firstLine="567"/>
        <w:jc w:val="both"/>
        <w:widowControl/>
      </w:pPr>
      <w:r>
        <w:rPr>
          <w:sz w:val="24"/>
          <w:szCs w:val="24"/>
        </w:rPr>
        <w:t xml:space="preserve">- ОМС</w:t>
      </w:r>
      <w:r>
        <w:rPr>
          <w:sz w:val="24"/>
          <w:szCs w:val="24"/>
        </w:rPr>
      </w:r>
      <w:r/>
    </w:p>
    <w:p>
      <w:pPr>
        <w:ind w:firstLine="567"/>
        <w:jc w:val="both"/>
        <w:widowControl/>
      </w:pPr>
      <w:r>
        <w:rPr>
          <w:sz w:val="24"/>
          <w:szCs w:val="24"/>
        </w:rPr>
        <w:t xml:space="preserve">отраслевые (функциональные) органы ОМС в соответствии с уставом муниципального образования;</w:t>
      </w:r>
      <w:r>
        <w:rPr>
          <w:sz w:val="24"/>
          <w:szCs w:val="24"/>
        </w:rPr>
      </w:r>
      <w:r/>
    </w:p>
    <w:p>
      <w:pPr>
        <w:ind w:firstLine="567"/>
        <w:jc w:val="both"/>
        <w:widowControl/>
      </w:pPr>
      <w:r>
        <w:rPr>
          <w:sz w:val="24"/>
          <w:szCs w:val="24"/>
        </w:rPr>
        <w:t xml:space="preserve">уполномоченный орган исполнительной власти Краснодарского</w:t>
      </w:r>
      <w:r>
        <w:rPr>
          <w:sz w:val="24"/>
          <w:szCs w:val="24"/>
        </w:rPr>
        <w:t xml:space="preserve"> </w:t>
      </w:r>
      <w:r>
        <w:rPr>
          <w:sz w:val="24"/>
          <w:szCs w:val="24"/>
        </w:rPr>
        <w:t xml:space="preserve">края в области сохранения, использования, популяризации объектов культурного наследия (далее – уполномоченный орган в области сохранения культурного наследия).</w:t>
      </w:r>
      <w:r>
        <w:rPr>
          <w:sz w:val="24"/>
          <w:szCs w:val="24"/>
        </w:rPr>
      </w:r>
      <w:r/>
    </w:p>
    <w:p>
      <w:pPr>
        <w:ind w:firstLine="567"/>
        <w:jc w:val="both"/>
        <w:widowControl/>
      </w:pPr>
      <w:r>
        <w:rPr>
          <w:sz w:val="24"/>
          <w:szCs w:val="24"/>
        </w:rPr>
        <w:t xml:space="preserve">В полномочия отраслевых (функциональных) органов администрации ОМС входят:</w:t>
      </w:r>
      <w:r>
        <w:rPr>
          <w:sz w:val="24"/>
          <w:szCs w:val="24"/>
        </w:rPr>
      </w:r>
      <w:r/>
    </w:p>
    <w:p>
      <w:pPr>
        <w:ind w:firstLine="567"/>
        <w:jc w:val="both"/>
        <w:widowControl/>
      </w:pPr>
      <w:r>
        <w:rPr>
          <w:sz w:val="24"/>
          <w:szCs w:val="24"/>
        </w:rPr>
        <w:t xml:space="preserve">подготовка для главы ОМС и Совета ОМС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дополнений и изменений;</w:t>
      </w:r>
      <w:r>
        <w:rPr>
          <w:sz w:val="24"/>
          <w:szCs w:val="24"/>
        </w:rPr>
      </w:r>
      <w:r/>
    </w:p>
    <w:p>
      <w:pPr>
        <w:ind w:firstLine="567"/>
        <w:jc w:val="both"/>
        <w:widowControl/>
      </w:pPr>
      <w:r>
        <w:rPr>
          <w:sz w:val="24"/>
          <w:szCs w:val="24"/>
        </w:rPr>
        <w:t xml:space="preserve">участие в подготовке документов по предоставлению физическим и юридическим лицам земельных участков для строительства, реконструкции;</w:t>
      </w:r>
      <w:r>
        <w:rPr>
          <w:sz w:val="24"/>
          <w:szCs w:val="24"/>
        </w:rPr>
      </w:r>
      <w:r/>
    </w:p>
    <w:p>
      <w:pPr>
        <w:ind w:firstLine="567"/>
        <w:jc w:val="both"/>
        <w:widowControl/>
      </w:pPr>
      <w:r>
        <w:rPr>
          <w:sz w:val="24"/>
          <w:szCs w:val="24"/>
        </w:rPr>
        <w:t xml:space="preserve">участие в рассмотрении проекта Правил, иной градостроительной документации на соответствие настоящим Правилам и строительным нормам, предоставление разрешений на строительство;</w:t>
      </w:r>
      <w:r>
        <w:rPr>
          <w:sz w:val="24"/>
          <w:szCs w:val="24"/>
        </w:rPr>
      </w:r>
      <w:r/>
    </w:p>
    <w:p>
      <w:pPr>
        <w:ind w:firstLine="567"/>
        <w:jc w:val="both"/>
        <w:widowControl/>
      </w:pPr>
      <w:r>
        <w:rPr>
          <w:sz w:val="24"/>
          <w:szCs w:val="24"/>
        </w:rPr>
        <w:t xml:space="preserve">предоставление по запросу </w:t>
      </w:r>
      <w:r>
        <w:rPr>
          <w:sz w:val="24"/>
          <w:szCs w:val="24"/>
        </w:rPr>
        <w:t xml:space="preserve">Комиссии з</w:t>
      </w:r>
      <w:r>
        <w:rPr>
          <w:sz w:val="24"/>
          <w:szCs w:val="24"/>
        </w:rPr>
        <w:t xml:space="preserve">аключений по вопросам специальных согласований, отклонений от Правил до выдачи разрешения на строительство;</w:t>
      </w:r>
      <w:r>
        <w:rPr>
          <w:sz w:val="24"/>
          <w:szCs w:val="24"/>
        </w:rPr>
      </w:r>
      <w:r/>
    </w:p>
    <w:p>
      <w:pPr>
        <w:ind w:firstLine="567"/>
        <w:jc w:val="both"/>
        <w:widowControl/>
      </w:pPr>
      <w:r>
        <w:rPr>
          <w:sz w:val="24"/>
          <w:szCs w:val="24"/>
        </w:rPr>
        <w:t xml:space="preserve">организация и ведение государственной информационной системы с обеспечения градостроительной деятельности;</w:t>
      </w:r>
      <w:r>
        <w:rPr>
          <w:sz w:val="24"/>
          <w:szCs w:val="24"/>
        </w:rPr>
      </w:r>
      <w:r/>
    </w:p>
    <w:p>
      <w:pPr>
        <w:ind w:firstLine="567"/>
        <w:jc w:val="both"/>
        <w:widowControl/>
      </w:pPr>
      <w:r>
        <w:rPr>
          <w:sz w:val="24"/>
          <w:szCs w:val="24"/>
        </w:rPr>
        <w:t xml:space="preserve">ведение карты зонирования и внесение в нее утвержденных дополнений и изменений;</w:t>
      </w:r>
      <w:r>
        <w:rPr>
          <w:sz w:val="24"/>
          <w:szCs w:val="24"/>
        </w:rPr>
      </w:r>
      <w:r/>
    </w:p>
    <w:p>
      <w:pPr>
        <w:ind w:firstLine="567"/>
        <w:jc w:val="both"/>
        <w:widowControl/>
      </w:pPr>
      <w:r>
        <w:rPr>
          <w:sz w:val="24"/>
          <w:szCs w:val="24"/>
        </w:rPr>
        <w:t xml:space="preserve">предоставление заинтересованным лицам информации, которая содержится в Правилах и утвержденной градостроительной документации;</w:t>
      </w:r>
      <w:r>
        <w:rPr>
          <w:sz w:val="24"/>
          <w:szCs w:val="24"/>
        </w:rPr>
      </w:r>
      <w:r/>
    </w:p>
    <w:p>
      <w:pPr>
        <w:ind w:firstLine="567"/>
        <w:jc w:val="both"/>
        <w:widowControl/>
      </w:pPr>
      <w:r>
        <w:rPr>
          <w:sz w:val="24"/>
          <w:szCs w:val="24"/>
        </w:rPr>
        <w:t xml:space="preserve">осмотр построенных, реконструируемых объектов по которым не осуществляется строительный надзор (независимо от форм собственности и источников финансирования) до выдачи разрешения;</w:t>
      </w:r>
      <w:r>
        <w:rPr>
          <w:sz w:val="24"/>
          <w:szCs w:val="24"/>
        </w:rPr>
      </w:r>
      <w:r/>
    </w:p>
    <w:p>
      <w:pPr>
        <w:ind w:firstLine="567"/>
        <w:jc w:val="both"/>
        <w:widowControl/>
      </w:pPr>
      <w:r>
        <w:rPr>
          <w:sz w:val="24"/>
          <w:szCs w:val="24"/>
        </w:rPr>
        <w:t xml:space="preserve">осуществление контроля за использованием земель сельског</w:t>
      </w:r>
      <w:r>
        <w:rPr>
          <w:sz w:val="24"/>
          <w:szCs w:val="24"/>
        </w:rPr>
        <w:t xml:space="preserve">о поселения</w:t>
      </w:r>
      <w:r>
        <w:rPr>
          <w:sz w:val="24"/>
          <w:szCs w:val="24"/>
        </w:rPr>
        <w:t xml:space="preserve">;</w:t>
      </w:r>
      <w:r>
        <w:rPr>
          <w:sz w:val="24"/>
          <w:szCs w:val="24"/>
        </w:rPr>
      </w:r>
      <w:r/>
    </w:p>
    <w:p>
      <w:pPr>
        <w:ind w:firstLine="567"/>
        <w:jc w:val="both"/>
        <w:widowControl/>
      </w:pPr>
      <w:r>
        <w:rPr>
          <w:sz w:val="24"/>
          <w:szCs w:val="24"/>
        </w:rPr>
        <w:t xml:space="preserve">обеспечение разработки и утверждение местных нормативов градостроительного проектирования;</w:t>
      </w:r>
      <w:r>
        <w:rPr>
          <w:sz w:val="24"/>
          <w:szCs w:val="24"/>
        </w:rPr>
      </w:r>
      <w:r/>
    </w:p>
    <w:p>
      <w:pPr>
        <w:ind w:firstLine="567"/>
        <w:jc w:val="both"/>
        <w:widowControl/>
      </w:pPr>
      <w:r>
        <w:rPr>
          <w:sz w:val="24"/>
          <w:szCs w:val="24"/>
        </w:rPr>
        <w:t xml:space="preserve">решение вопросов резервирования земель для муниципальных нужд;</w:t>
      </w:r>
      <w:r>
        <w:rPr>
          <w:sz w:val="24"/>
          <w:szCs w:val="24"/>
        </w:rPr>
      </w:r>
      <w:r/>
    </w:p>
    <w:p>
      <w:pPr>
        <w:ind w:firstLine="567"/>
        <w:jc w:val="both"/>
        <w:widowControl/>
      </w:pPr>
      <w:r>
        <w:rPr>
          <w:sz w:val="24"/>
          <w:szCs w:val="24"/>
        </w:rPr>
        <w:t xml:space="preserve">другие полномочия.</w:t>
      </w:r>
      <w:r>
        <w:rPr>
          <w:sz w:val="24"/>
          <w:szCs w:val="24"/>
        </w:rPr>
      </w:r>
      <w:r/>
    </w:p>
    <w:p>
      <w:pPr>
        <w:ind w:firstLine="567"/>
        <w:jc w:val="both"/>
        <w:widowControl/>
      </w:pPr>
      <w:r>
        <w:rPr>
          <w:sz w:val="24"/>
          <w:szCs w:val="24"/>
        </w:rPr>
        <w:t xml:space="preserve">5. В полномочия уполномоченного органа в области сохранения культурного наследия входят:</w:t>
      </w:r>
      <w:r>
        <w:rPr>
          <w:sz w:val="24"/>
          <w:szCs w:val="24"/>
        </w:rPr>
      </w:r>
      <w:r/>
    </w:p>
    <w:p>
      <w:pPr>
        <w:ind w:firstLine="567"/>
        <w:jc w:val="both"/>
        <w:widowControl/>
      </w:pPr>
      <w:r>
        <w:rPr>
          <w:sz w:val="24"/>
          <w:szCs w:val="24"/>
        </w:rPr>
        <w:t xml:space="preserve">согласование проектов, зон охраны объектов культурного наследия федерального значения и град</w:t>
      </w:r>
      <w:r>
        <w:rPr>
          <w:sz w:val="24"/>
          <w:szCs w:val="24"/>
        </w:rPr>
        <w:t xml:space="preserve">остроительных регламентов, устанавливаемых в границах территорий объектов культурного наследия федерального значения, расположенных в границах зон, их охраны, выдача разрешений на проведение работ по выявлению и изучению объектов археологического наследия;</w:t>
      </w:r>
      <w:r>
        <w:rPr>
          <w:sz w:val="24"/>
          <w:szCs w:val="24"/>
        </w:rPr>
      </w:r>
      <w:r/>
    </w:p>
    <w:p>
      <w:pPr>
        <w:ind w:firstLine="567"/>
        <w:jc w:val="both"/>
        <w:widowControl/>
      </w:pPr>
      <w:r>
        <w:rPr>
          <w:sz w:val="24"/>
          <w:szCs w:val="24"/>
        </w:rPr>
        <w:t xml:space="preserve">согласование вопросов проектирования и проведения землеустроительных, земляных, строительных, хозяйственных и иных работ на территории достопримечательного места, а также в зонах охраны объектов культурного наследия;</w:t>
      </w:r>
      <w:r>
        <w:rPr>
          <w:sz w:val="24"/>
          <w:szCs w:val="24"/>
        </w:rPr>
      </w:r>
      <w:r/>
    </w:p>
    <w:p>
      <w:pPr>
        <w:ind w:firstLine="567"/>
        <w:jc w:val="both"/>
        <w:widowControl/>
      </w:pPr>
      <w:r>
        <w:rPr>
          <w:sz w:val="24"/>
          <w:szCs w:val="24"/>
        </w:rPr>
        <w:t xml:space="preserve">иные полномочия.</w:t>
      </w:r>
      <w:r>
        <w:rPr>
          <w:sz w:val="24"/>
          <w:szCs w:val="24"/>
        </w:rPr>
      </w:r>
      <w:r/>
    </w:p>
    <w:p>
      <w:pPr>
        <w:ind w:firstLine="567"/>
        <w:jc w:val="both"/>
        <w:widowControl/>
      </w:pPr>
      <w:r>
        <w:rPr>
          <w:sz w:val="24"/>
          <w:szCs w:val="24"/>
        </w:rPr>
        <w:t xml:space="preserve">6. По вопросам реализации и применения, настоящих Правил иными органами:</w:t>
      </w:r>
      <w:r>
        <w:rPr>
          <w:sz w:val="24"/>
          <w:szCs w:val="24"/>
        </w:rPr>
      </w:r>
      <w:r/>
    </w:p>
    <w:p>
      <w:pPr>
        <w:ind w:firstLine="567"/>
        <w:jc w:val="both"/>
        <w:widowControl/>
      </w:pPr>
      <w:r>
        <w:rPr>
          <w:sz w:val="24"/>
          <w:szCs w:val="24"/>
        </w:rPr>
        <w:t xml:space="preserve">по запросу </w:t>
      </w:r>
      <w:r>
        <w:rPr>
          <w:sz w:val="24"/>
          <w:szCs w:val="24"/>
        </w:rPr>
        <w:t xml:space="preserve">Комиссии </w:t>
      </w:r>
      <w:r>
        <w:rPr>
          <w:sz w:val="24"/>
          <w:szCs w:val="24"/>
        </w:rPr>
        <w:t xml:space="preserve">предоставляют ей заключения по вопросам, связанным с проведением общественных слушаний;</w:t>
      </w:r>
      <w:r>
        <w:rPr>
          <w:sz w:val="24"/>
          <w:szCs w:val="24"/>
        </w:rPr>
      </w:r>
      <w:r/>
    </w:p>
    <w:p>
      <w:pPr>
        <w:ind w:firstLine="567"/>
        <w:jc w:val="both"/>
        <w:widowControl/>
      </w:pPr>
      <w:r>
        <w:rPr>
          <w:sz w:val="24"/>
          <w:szCs w:val="24"/>
        </w:rPr>
        <w:t xml:space="preserve">участвуют в регулировании и контролировании землепользования и застройки в соответствии с законодательством, настоящими Правилами и на основании Положений об этих органах.</w:t>
      </w:r>
      <w:r>
        <w:rPr>
          <w:sz w:val="24"/>
          <w:szCs w:val="24"/>
        </w:rPr>
      </w:r>
      <w:r/>
    </w:p>
    <w:p>
      <w:pPr>
        <w:ind w:firstLine="567"/>
        <w:jc w:val="both"/>
        <w:keepNext/>
        <w:widowControl/>
        <w:outlineLvl w:val="1"/>
      </w:pPr>
      <w:r/>
      <w:bookmarkStart w:id="0" w:name="undefined"/>
      <w:r/>
      <w:bookmarkStart w:id="0" w:name="undefined"/>
      <w:r>
        <w:rPr>
          <w:b/>
          <w:bCs/>
          <w:i/>
          <w:iCs/>
          <w:sz w:val="24"/>
          <w:szCs w:val="24"/>
        </w:rPr>
        <w:t xml:space="preserve">Глава 2. Положения об изменении видов разрешенного использования земельных участков и объектов капитального строительства физическим и юридическим лицам</w:t>
      </w:r>
      <w:bookmarkEnd w:id="0"/>
      <w:r>
        <w:rPr>
          <w:b/>
          <w:bCs/>
          <w:i/>
          <w:iCs/>
          <w:sz w:val="24"/>
          <w:szCs w:val="24"/>
        </w:rPr>
      </w:r>
      <w:r/>
    </w:p>
    <w:p>
      <w:pPr>
        <w:ind w:firstLine="567"/>
        <w:jc w:val="both"/>
        <w:keepNext/>
        <w:widowControl/>
        <w:outlineLvl w:val="2"/>
      </w:pPr>
      <w:r/>
      <w:bookmarkStart w:id="0" w:name="undefined"/>
      <w:r/>
      <w:bookmarkStart w:id="0" w:name="undefined"/>
      <w:r/>
      <w:bookmarkStart w:id="0" w:name="undefined"/>
      <w:r/>
      <w:bookmarkStart w:id="0" w:name="undefined"/>
      <w:r/>
      <w:bookmarkStart w:id="0" w:name="undefined"/>
      <w:r/>
      <w:bookmarkStart w:id="0" w:name="undefined"/>
      <w:r/>
      <w:bookmarkStart w:id="0" w:name="undefined"/>
      <w:r/>
      <w:bookmarkStart w:id="0" w:name="undefined"/>
      <w:r/>
      <w:bookmarkStart w:id="0" w:name="undefined"/>
      <w:r/>
      <w:bookmarkStart w:id="0" w:name="undefined"/>
      <w:r/>
      <w:bookmarkStart w:id="0" w:name="undefined"/>
      <w:r/>
      <w:bookmarkStart w:id="0" w:name="undefined"/>
      <w:r>
        <w:rPr>
          <w:b/>
          <w:bCs/>
          <w:sz w:val="24"/>
          <w:szCs w:val="24"/>
        </w:rPr>
        <w:t xml:space="preserve">Статья 6. Порядок изменения видов разрешенного использования земельных участков и объектов капитального строительства</w:t>
      </w:r>
      <w:bookmarkEnd w:id="0"/>
      <w:r>
        <w:rPr>
          <w:b/>
          <w:bCs/>
          <w:sz w:val="24"/>
          <w:szCs w:val="24"/>
        </w:rPr>
      </w:r>
      <w:r/>
    </w:p>
    <w:p>
      <w:pPr>
        <w:ind w:firstLine="567"/>
        <w:jc w:val="both"/>
        <w:widowControl/>
      </w:pPr>
      <w:r>
        <w:rPr>
          <w:sz w:val="24"/>
          <w:szCs w:val="24"/>
        </w:rPr>
        <w:t xml:space="preserve">1. Для каждого земельного участка, объекта капитального строительства, расположенного в границах Казанского</w:t>
      </w:r>
      <w:r>
        <w:rPr>
          <w:sz w:val="24"/>
          <w:szCs w:val="24"/>
        </w:rPr>
        <w:t xml:space="preserve"> </w:t>
      </w:r>
      <w:r>
        <w:rPr>
          <w:sz w:val="24"/>
          <w:szCs w:val="24"/>
        </w:rPr>
        <w:t xml:space="preserve">с</w:t>
      </w:r>
      <w:r>
        <w:rPr>
          <w:sz w:val="24"/>
          <w:szCs w:val="24"/>
        </w:rPr>
        <w:t xml:space="preserve">ельского поселения, разрешенным</w:t>
      </w:r>
      <w:r>
        <w:rPr>
          <w:sz w:val="24"/>
          <w:szCs w:val="24"/>
        </w:rPr>
        <w:t xml:space="preserve"> считается такое использование, которое соответствует градостроительным регламентам по видам и параметрам разрешен</w:t>
      </w:r>
      <w:r>
        <w:rPr>
          <w:sz w:val="24"/>
          <w:szCs w:val="24"/>
        </w:rPr>
        <w:t xml:space="preserve">ного использования недвижимости</w:t>
      </w:r>
      <w:r>
        <w:rPr>
          <w:sz w:val="24"/>
          <w:szCs w:val="24"/>
        </w:rPr>
        <w:t xml:space="preserve"> и ограничениям на использование земельных участков и объектов капитального строительства.</w:t>
      </w:r>
      <w:r>
        <w:rPr>
          <w:sz w:val="24"/>
          <w:szCs w:val="24"/>
        </w:rPr>
      </w:r>
      <w:r/>
    </w:p>
    <w:p>
      <w:pPr>
        <w:ind w:firstLine="567"/>
        <w:jc w:val="both"/>
        <w:widowControl/>
      </w:pPr>
      <w:r>
        <w:rPr>
          <w:sz w:val="24"/>
          <w:szCs w:val="24"/>
        </w:rPr>
        <w:t xml:space="preserve"> 2. Градостроительный регламент в части видов разрешенного использования земельных участков и объектов капитального строительства включает:</w:t>
      </w:r>
      <w:r>
        <w:rPr>
          <w:sz w:val="24"/>
          <w:szCs w:val="24"/>
        </w:rPr>
      </w:r>
      <w:r/>
    </w:p>
    <w:p>
      <w:pPr>
        <w:ind w:firstLine="567"/>
        <w:jc w:val="both"/>
        <w:widowControl/>
      </w:pPr>
      <w:r>
        <w:rPr>
          <w:sz w:val="24"/>
          <w:szCs w:val="24"/>
        </w:rPr>
        <w:t xml:space="preserve">основные виды разрешенного использования;</w:t>
      </w:r>
      <w:r>
        <w:rPr>
          <w:sz w:val="24"/>
          <w:szCs w:val="24"/>
        </w:rPr>
      </w:r>
      <w:r/>
    </w:p>
    <w:p>
      <w:pPr>
        <w:ind w:firstLine="567"/>
        <w:jc w:val="both"/>
        <w:widowControl/>
      </w:pPr>
      <w:r>
        <w:rPr>
          <w:sz w:val="24"/>
          <w:szCs w:val="24"/>
        </w:rPr>
        <w:t xml:space="preserve">условно разрешенные виды использования;</w:t>
      </w:r>
      <w:r>
        <w:rPr>
          <w:sz w:val="24"/>
          <w:szCs w:val="24"/>
        </w:rPr>
      </w:r>
      <w:r/>
    </w:p>
    <w:p>
      <w:pPr>
        <w:ind w:firstLine="567"/>
        <w:jc w:val="both"/>
        <w:widowControl/>
      </w:pPr>
      <w:r>
        <w:rPr>
          <w:sz w:val="24"/>
          <w:szCs w:val="24"/>
        </w:rPr>
        <w:t xml:space="preserve">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r>
        <w:rPr>
          <w:sz w:val="24"/>
          <w:szCs w:val="24"/>
        </w:rPr>
      </w:r>
      <w:r/>
    </w:p>
    <w:p>
      <w:pPr>
        <w:ind w:firstLine="567"/>
        <w:jc w:val="both"/>
        <w:widowControl/>
      </w:pPr>
      <w:r/>
      <w:bookmarkStart w:id="0" w:name="undefined"/>
      <w:r/>
      <w:bookmarkStart w:id="0" w:name="undefined"/>
      <w:r/>
      <w:bookmarkStart w:id="0" w:name="undefined"/>
      <w:r/>
      <w:bookmarkStart w:id="0" w:name="undefined"/>
      <w:r/>
      <w:bookmarkStart w:id="0" w:name="undefined"/>
      <w:r/>
      <w:bookmarkStart w:id="0" w:name="undefined"/>
      <w:r/>
      <w:bookmarkStart w:id="0" w:name="undefined"/>
      <w:r/>
      <w:bookmarkStart w:id="0" w:name="undefined"/>
      <w:r/>
      <w:bookmarkStart w:id="0" w:name="undefined"/>
      <w:r/>
      <w:bookmarkStart w:id="0" w:name="undefined"/>
      <w:r/>
      <w:bookmarkStart w:id="0" w:name="undefined"/>
      <w:r>
        <w:rPr>
          <w:sz w:val="24"/>
          <w:szCs w:val="24"/>
        </w:rPr>
        <w:t xml:space="preserve">3. Измен</w:t>
      </w:r>
      <w:r>
        <w:rPr>
          <w:sz w:val="24"/>
          <w:szCs w:val="24"/>
        </w:rPr>
        <w:t xml:space="preserve">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r>
        <w:rPr>
          <w:sz w:val="24"/>
          <w:szCs w:val="24"/>
        </w:rPr>
      </w:r>
      <w:r/>
    </w:p>
    <w:p>
      <w:pPr>
        <w:ind w:firstLine="567"/>
        <w:jc w:val="both"/>
        <w:widowControl/>
      </w:pPr>
      <w:r>
        <w:rPr>
          <w:sz w:val="24"/>
          <w:szCs w:val="24"/>
        </w:rPr>
        <w:t xml:space="preserve">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w:t>
      </w:r>
      <w:r>
        <w:rPr>
          <w:sz w:val="24"/>
          <w:szCs w:val="24"/>
        </w:rPr>
        <w:t xml:space="preserve">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r>
        <w:rPr>
          <w:sz w:val="24"/>
          <w:szCs w:val="24"/>
        </w:rPr>
      </w:r>
      <w:r/>
    </w:p>
    <w:p>
      <w:pPr>
        <w:ind w:firstLine="567"/>
        <w:jc w:val="both"/>
        <w:widowControl/>
      </w:pPr>
      <w:r>
        <w:rPr>
          <w:sz w:val="24"/>
          <w:szCs w:val="24"/>
        </w:rPr>
        <w:t xml:space="preserve">5. Изменение вида разрешенного использования земельных участков и объектов капитального строительства на условно разрешенный вид использования земельных участков или объектов капитального строительства осуществляется в порядке, предусмотренном статьей 39 </w:t>
      </w:r>
      <w:r>
        <w:rPr>
          <w:sz w:val="24"/>
          <w:szCs w:val="24"/>
        </w:rPr>
        <w:t xml:space="preserve">ГрК РФ</w:t>
      </w:r>
      <w:r>
        <w:rPr>
          <w:sz w:val="24"/>
          <w:szCs w:val="24"/>
        </w:rPr>
        <w:t xml:space="preserve">, </w:t>
      </w:r>
      <w:r>
        <w:rPr>
          <w:sz w:val="24"/>
          <w:szCs w:val="24"/>
        </w:rPr>
        <w:t xml:space="preserve">административным регламентом предоставления разрешения на условно разре</w:t>
      </w:r>
      <w:r>
        <w:rPr>
          <w:sz w:val="24"/>
          <w:szCs w:val="24"/>
        </w:rPr>
        <w:t xml:space="preserve">шенный вид использования земельных участков или объектов капитального строительства утвержденным постановлением администрации ОМС и порядком организации и проведения общественных обсуждений или публичных слушаний по вопросам градостроительной деятельности.</w:t>
      </w:r>
      <w:r>
        <w:rPr>
          <w:sz w:val="24"/>
          <w:szCs w:val="24"/>
        </w:rPr>
      </w:r>
      <w:r/>
    </w:p>
    <w:p>
      <w:pPr>
        <w:ind w:firstLine="567"/>
        <w:jc w:val="both"/>
        <w:widowControl/>
      </w:pPr>
      <w:r/>
      <w:bookmarkStart w:id="0" w:name="undefined"/>
      <w:r/>
      <w:bookmarkEnd w:id="0"/>
      <w:r>
        <w:rPr>
          <w:sz w:val="24"/>
          <w:szCs w:val="24"/>
        </w:rPr>
        <w:t xml:space="preserve">6. Решения об изменении одного вида разрешенного использования земельных участков или объектов капитального строи</w:t>
      </w:r>
      <w:r>
        <w:rPr>
          <w:sz w:val="24"/>
          <w:szCs w:val="24"/>
        </w:rPr>
        <w:t xml:space="preserve">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r>
        <w:rPr>
          <w:sz w:val="24"/>
          <w:szCs w:val="24"/>
        </w:rPr>
      </w:r>
      <w:r/>
    </w:p>
    <w:p>
      <w:pPr>
        <w:ind w:firstLine="567"/>
        <w:jc w:val="both"/>
        <w:widowControl/>
      </w:pPr>
      <w:r>
        <w:rPr>
          <w:sz w:val="24"/>
          <w:szCs w:val="24"/>
        </w:rPr>
        <w:t xml:space="preserve">7. Правообладатели земельных участков и объ</w:t>
      </w:r>
      <w:r>
        <w:rPr>
          <w:sz w:val="24"/>
          <w:szCs w:val="24"/>
        </w:rPr>
        <w:t xml:space="preserve">ектов капитального строительства, за исключением указанных в статье ранее (п.4, ст.6) настоящих Правил, осуществляют изменения видов разрешённого использования объектов капитального строительства при условии получения соответствующих разрешений, согласован</w:t>
      </w:r>
      <w:r>
        <w:rPr>
          <w:sz w:val="24"/>
          <w:szCs w:val="24"/>
        </w:rPr>
        <w:t xml:space="preserve">ий при осуществлении перепланировки помещений, конструктивных и инженерно-технических преобразований объектов капитального строительства, в том числе в области обеспечения санитарно- эпидемиологического благополучия населения, противопожарной безопасности.</w:t>
      </w:r>
      <w:r>
        <w:rPr>
          <w:sz w:val="24"/>
          <w:szCs w:val="24"/>
        </w:rPr>
      </w:r>
      <w:r/>
    </w:p>
    <w:p>
      <w:pPr>
        <w:ind w:firstLine="567"/>
        <w:jc w:val="both"/>
        <w:widowControl/>
      </w:pPr>
      <w:r>
        <w:rPr>
          <w:sz w:val="24"/>
          <w:szCs w:val="24"/>
        </w:rPr>
        <w:t xml:space="preserve">8.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r>
        <w:rPr>
          <w:sz w:val="24"/>
          <w:szCs w:val="24"/>
        </w:rPr>
      </w:r>
      <w:r/>
    </w:p>
    <w:p>
      <w:pPr>
        <w:ind w:firstLine="567"/>
        <w:jc w:val="both"/>
        <w:keepNext/>
        <w:widowControl/>
        <w:outlineLvl w:val="2"/>
      </w:pPr>
      <w:r/>
      <w:bookmarkStart w:id="0" w:name="undefined"/>
      <w:r/>
      <w:bookmarkEnd w:id="0"/>
      <w:r>
        <w:rPr>
          <w:b/>
          <w:bCs/>
          <w:sz w:val="24"/>
          <w:szCs w:val="24"/>
        </w:rPr>
        <w:t xml:space="preserve">Статья 7. </w:t>
      </w:r>
      <w:r>
        <w:rPr>
          <w:b/>
          <w:bCs/>
          <w:sz w:val="24"/>
          <w:szCs w:val="24"/>
        </w:rPr>
        <w:t xml:space="preserve">Отклонение от предельных параметров разрешенного строительства, реконструкции объектов капитального строительства</w:t>
      </w:r>
      <w:r>
        <w:rPr>
          <w:b/>
          <w:bCs/>
          <w:sz w:val="24"/>
          <w:szCs w:val="24"/>
        </w:rPr>
      </w:r>
      <w:r/>
    </w:p>
    <w:p>
      <w:pPr>
        <w:ind w:firstLine="567"/>
        <w:jc w:val="both"/>
        <w:widowControl/>
      </w:pPr>
      <w:r>
        <w:rPr>
          <w:rFonts w:eastAsia="Calibri"/>
          <w:sz w:val="24"/>
          <w:szCs w:val="24"/>
          <w:lang w:eastAsia="en-US"/>
        </w:rPr>
        <w:t xml:space="preserve"> 1. Правообладатели земельных участков, размеры которых меньше установленных градостроительным регламентом минимальных размеров земельных участков ли</w:t>
      </w:r>
      <w:r>
        <w:rPr>
          <w:rFonts w:eastAsia="Calibri"/>
          <w:sz w:val="24"/>
          <w:szCs w:val="24"/>
          <w:lang w:eastAsia="en-US"/>
        </w:rPr>
        <w:t xml:space="preserve">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r>
        <w:rPr>
          <w:sz w:val="24"/>
          <w:szCs w:val="24"/>
          <w:shd w:val="clear" w:color="auto" w:fill="ffffff"/>
          <w:lang w:eastAsia="ru-RU"/>
        </w:rPr>
        <w:t xml:space="preserve">Факт наличия </w:t>
      </w:r>
      <w:r>
        <w:rPr>
          <w:sz w:val="24"/>
          <w:szCs w:val="24"/>
          <w:lang w:eastAsia="ru-RU"/>
        </w:rPr>
        <w:t xml:space="preserve">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w:t>
      </w:r>
      <w:r>
        <w:rPr>
          <w:sz w:val="24"/>
          <w:szCs w:val="24"/>
          <w:shd w:val="clear" w:color="auto" w:fill="ffffff"/>
          <w:lang w:eastAsia="ru-RU"/>
        </w:rPr>
        <w:t xml:space="preserve"> должны подтверждаться </w:t>
      </w:r>
      <w:r>
        <w:rPr>
          <w:sz w:val="24"/>
          <w:szCs w:val="24"/>
          <w:lang w:eastAsia="ru-RU"/>
        </w:rPr>
        <w:t xml:space="preserve">заключением аккредитованных экспертов.</w:t>
      </w:r>
      <w:r>
        <w:rPr>
          <w:rFonts w:eastAsia="Calibri"/>
          <w:sz w:val="24"/>
          <w:szCs w:val="24"/>
          <w:lang w:eastAsia="en-US"/>
        </w:rPr>
      </w:r>
      <w:r/>
    </w:p>
    <w:p>
      <w:pPr>
        <w:ind w:firstLine="567"/>
        <w:jc w:val="both"/>
        <w:widowControl/>
      </w:pPr>
      <w:r>
        <w:rPr>
          <w:rFonts w:eastAsia="Calibri"/>
          <w:sz w:val="24"/>
          <w:szCs w:val="24"/>
          <w:lang w:eastAsia="en-US"/>
        </w:rPr>
        <w:t xml:space="preserve">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w:t>
      </w:r>
      <w:r>
        <w:rPr>
          <w:rFonts w:eastAsia="Calibri"/>
          <w:sz w:val="24"/>
          <w:szCs w:val="24"/>
          <w:lang w:eastAsia="en-US"/>
        </w:rPr>
        <w:t xml:space="preserve">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r>
        <w:rPr>
          <w:rFonts w:eastAsia="Calibri"/>
          <w:sz w:val="24"/>
          <w:szCs w:val="24"/>
          <w:lang w:eastAsia="en-US"/>
        </w:rPr>
      </w:r>
      <w:r/>
    </w:p>
    <w:p>
      <w:pPr>
        <w:ind w:firstLine="567"/>
        <w:jc w:val="both"/>
        <w:widowControl/>
      </w:pPr>
      <w:r>
        <w:rPr>
          <w:rFonts w:eastAsia="Calibri"/>
          <w:sz w:val="24"/>
          <w:szCs w:val="24"/>
          <w:lang w:eastAsia="en-US"/>
        </w:rPr>
        <w:t xml:space="preserve">2. Отклонение от предельных параметров разрешенного строительства, реконстру</w:t>
      </w:r>
      <w:r>
        <w:rPr>
          <w:rFonts w:eastAsia="Calibri"/>
          <w:sz w:val="24"/>
          <w:szCs w:val="24"/>
          <w:lang w:eastAsia="en-US"/>
        </w:rPr>
        <w:t xml:space="preserve">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w:t>
      </w:r>
      <w:r>
        <w:rPr>
          <w:rFonts w:eastAsia="Calibri"/>
          <w:sz w:val="24"/>
          <w:szCs w:val="24"/>
          <w:lang w:eastAsia="en-US"/>
        </w:rPr>
        <w:t xml:space="preserve">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r>
        <w:rPr>
          <w:rFonts w:eastAsia="Calibri"/>
          <w:sz w:val="24"/>
          <w:szCs w:val="24"/>
          <w:lang w:eastAsia="en-US"/>
        </w:rPr>
      </w:r>
      <w:r/>
    </w:p>
    <w:p>
      <w:pPr>
        <w:ind w:firstLine="567"/>
        <w:jc w:val="both"/>
        <w:widowControl/>
      </w:pPr>
      <w:r>
        <w:rPr>
          <w:rFonts w:eastAsia="Calibri"/>
          <w:sz w:val="24"/>
          <w:szCs w:val="24"/>
          <w:lang w:eastAsia="en-US"/>
        </w:rPr>
        <w:t xml:space="preserve">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w:t>
      </w:r>
      <w:r>
        <w:rPr>
          <w:rFonts w:eastAsia="Calibri"/>
          <w:sz w:val="24"/>
          <w:szCs w:val="24"/>
          <w:lang w:eastAsia="en-US"/>
        </w:rPr>
        <w:t xml:space="preserve">в комиссию</w:t>
      </w:r>
      <w:r>
        <w:rPr>
          <w:rFonts w:eastAsia="Calibri"/>
          <w:sz w:val="24"/>
          <w:szCs w:val="24"/>
          <w:lang w:eastAsia="en-US"/>
        </w:rPr>
        <w:t xml:space="preserve">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w:t>
      </w:r>
      <w:r>
        <w:rPr>
          <w:rFonts w:eastAsia="Calibri"/>
          <w:sz w:val="24"/>
          <w:szCs w:val="24"/>
          <w:lang w:eastAsia="en-US"/>
        </w:rPr>
        <w:t xml:space="preserve">орме электронного </w:t>
      </w:r>
      <w:r>
        <w:rPr>
          <w:rFonts w:eastAsia="Calibri"/>
          <w:sz w:val="24"/>
          <w:szCs w:val="24"/>
          <w:lang w:eastAsia="en-US"/>
        </w:rPr>
        <w:t xml:space="preserve">документа, подписанного электронной подписью.</w:t>
      </w:r>
      <w:r>
        <w:rPr>
          <w:rFonts w:eastAsia="Calibri"/>
          <w:sz w:val="24"/>
          <w:szCs w:val="24"/>
          <w:lang w:eastAsia="en-US"/>
        </w:rPr>
      </w:r>
      <w:r/>
    </w:p>
    <w:p>
      <w:pPr>
        <w:ind w:firstLine="567"/>
        <w:jc w:val="both"/>
        <w:widowControl/>
      </w:pPr>
      <w:r>
        <w:rPr>
          <w:rFonts w:eastAsia="Calibri"/>
          <w:sz w:val="24"/>
          <w:szCs w:val="24"/>
          <w:lang w:eastAsia="en-US"/>
        </w:rP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w:t>
      </w:r>
      <w:r>
        <w:rPr>
          <w:rFonts w:eastAsia="Calibri"/>
          <w:sz w:val="24"/>
          <w:szCs w:val="24"/>
          <w:lang w:eastAsia="en-US"/>
        </w:rPr>
        <w:t xml:space="preserve">в течение пятнадцати рабочих дней</w:t>
      </w:r>
      <w:r>
        <w:rPr>
          <w:rFonts w:eastAsia="Calibri"/>
          <w:sz w:val="24"/>
          <w:szCs w:val="24"/>
          <w:lang w:eastAsia="en-US"/>
        </w:rPr>
        <w:t xml:space="preserve">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w:t>
      </w:r>
      <w:r>
        <w:rPr>
          <w:rFonts w:eastAsia="Calibri"/>
          <w:sz w:val="24"/>
          <w:szCs w:val="24"/>
          <w:lang w:eastAsia="en-US"/>
        </w:rPr>
        <w:t xml:space="preserve">ГрК РФ</w:t>
      </w:r>
      <w:r>
        <w:rPr>
          <w:rFonts w:eastAsia="Calibri"/>
          <w:sz w:val="24"/>
          <w:szCs w:val="24"/>
          <w:lang w:eastAsia="en-US"/>
        </w:rPr>
        <w:t xml:space="preserve">, с учетом положений статьи 39 </w:t>
      </w:r>
      <w:r>
        <w:rPr>
          <w:rFonts w:eastAsia="Calibri"/>
          <w:sz w:val="24"/>
          <w:szCs w:val="24"/>
          <w:lang w:eastAsia="en-US"/>
        </w:rPr>
        <w:t xml:space="preserve">ГрК РФ</w:t>
      </w:r>
      <w:r>
        <w:rPr>
          <w:rFonts w:eastAsia="Calibri"/>
          <w:sz w:val="24"/>
          <w:szCs w:val="24"/>
          <w:lang w:eastAsia="en-US"/>
        </w:rPr>
        <w:t xml:space="preserve">, за исключением случая, указанного в части 1.1 настоящей статьи. Расходы, связанные </w:t>
      </w:r>
      <w:r>
        <w:rPr>
          <w:rFonts w:eastAsia="Calibri"/>
          <w:sz w:val="24"/>
          <w:szCs w:val="24"/>
          <w:lang w:eastAsia="en-US"/>
        </w:rPr>
        <w:t xml:space="preserve">с организацией и проведением общественных обсуждений или публичных слушаний </w:t>
      </w:r>
      <w:r>
        <w:rPr>
          <w:rFonts w:eastAsia="Calibri"/>
          <w:sz w:val="24"/>
          <w:szCs w:val="24"/>
          <w:lang w:eastAsia="en-US"/>
        </w:rPr>
        <w:t xml:space="preserve">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r>
        <w:rPr>
          <w:rFonts w:eastAsia="Calibri"/>
          <w:sz w:val="24"/>
          <w:szCs w:val="24"/>
          <w:lang w:eastAsia="en-US"/>
        </w:rPr>
      </w:r>
      <w:r/>
    </w:p>
    <w:p>
      <w:pPr>
        <w:ind w:firstLine="567"/>
        <w:jc w:val="both"/>
        <w:widowControl/>
      </w:pPr>
      <w:r/>
      <w:bookmarkStart w:id="0" w:name="undefined"/>
      <w:r>
        <w:rPr>
          <w:rFonts w:eastAsia="Calibri"/>
          <w:sz w:val="24"/>
          <w:szCs w:val="24"/>
          <w:lang w:eastAsia="en-US"/>
        </w:rPr>
        <w:t xml:space="preserve">5. На</w:t>
      </w:r>
      <w:r>
        <w:rPr>
          <w:rFonts w:eastAsia="Calibri"/>
          <w:sz w:val="24"/>
          <w:szCs w:val="24"/>
          <w:lang w:eastAsia="en-US"/>
        </w:rPr>
        <w:t xml:space="preserve">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w:t>
      </w:r>
      <w:r>
        <w:rPr>
          <w:rFonts w:eastAsia="Calibri"/>
          <w:sz w:val="24"/>
          <w:szCs w:val="24"/>
          <w:lang w:eastAsia="en-US"/>
        </w:rPr>
        <w:t xml:space="preserve">в течение пятнадцати рабочих дней</w:t>
      </w:r>
      <w:r>
        <w:rPr>
          <w:rFonts w:eastAsia="Calibri"/>
          <w:sz w:val="24"/>
          <w:szCs w:val="24"/>
          <w:lang w:eastAsia="en-US"/>
        </w:rPr>
        <w:t xml:space="preserve"> со дня оконча</w:t>
      </w:r>
      <w:r>
        <w:rPr>
          <w:rFonts w:eastAsia="Calibri"/>
          <w:sz w:val="24"/>
          <w:szCs w:val="24"/>
          <w:lang w:eastAsia="en-US"/>
        </w:rPr>
        <w:t xml:space="preserve">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bookmarkEnd w:id="0"/>
      <w:r>
        <w:rPr>
          <w:rFonts w:eastAsia="Calibri"/>
          <w:sz w:val="24"/>
          <w:szCs w:val="24"/>
          <w:lang w:eastAsia="en-US"/>
        </w:rPr>
      </w:r>
      <w:r/>
    </w:p>
    <w:p>
      <w:pPr>
        <w:ind w:firstLine="567"/>
        <w:jc w:val="both"/>
        <w:widowControl/>
      </w:pPr>
      <w:r>
        <w:rPr>
          <w:rFonts w:eastAsia="Calibri"/>
          <w:sz w:val="24"/>
          <w:szCs w:val="24"/>
          <w:lang w:eastAsia="en-US"/>
        </w:rPr>
        <w:t xml:space="preserve">6. </w:t>
      </w:r>
      <w:bookmarkStart w:id="0" w:name="undefined"/>
      <w:r>
        <w:rPr>
          <w:rFonts w:eastAsia="Calibri"/>
          <w:sz w:val="24"/>
          <w:szCs w:val="24"/>
          <w:lang w:eastAsia="en-US"/>
        </w:rPr>
        <w:t xml:space="preserve">Глава ОМС </w:t>
      </w:r>
      <w:r>
        <w:rPr>
          <w:rFonts w:eastAsia="Calibri"/>
          <w:sz w:val="24"/>
          <w:szCs w:val="24"/>
          <w:lang w:eastAsia="en-US"/>
        </w:rPr>
        <w:t xml:space="preserve">в течение семи дней</w:t>
      </w:r>
      <w:r>
        <w:rPr>
          <w:rFonts w:eastAsia="Calibri"/>
          <w:sz w:val="24"/>
          <w:szCs w:val="24"/>
          <w:lang w:eastAsia="en-US"/>
        </w:rPr>
        <w:t xml:space="preserve"> со дня поступления указанных в части 5 статьи 40 </w:t>
      </w:r>
      <w:r>
        <w:rPr>
          <w:rFonts w:eastAsia="Calibri"/>
          <w:sz w:val="24"/>
          <w:szCs w:val="24"/>
          <w:lang w:eastAsia="en-US"/>
        </w:rPr>
        <w:t xml:space="preserve">ГрК РФ</w:t>
      </w:r>
      <w:r>
        <w:rPr>
          <w:rFonts w:eastAsia="Calibri"/>
          <w:sz w:val="24"/>
          <w:szCs w:val="24"/>
          <w:lang w:eastAsia="en-US"/>
        </w:rPr>
        <w:t xml:space="preserve"> рекоме</w:t>
      </w:r>
      <w:r>
        <w:rPr>
          <w:rFonts w:eastAsia="Calibri"/>
          <w:sz w:val="24"/>
          <w:szCs w:val="24"/>
          <w:lang w:eastAsia="en-US"/>
        </w:rPr>
        <w:t xml:space="preserve">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r>
        <w:rPr>
          <w:rFonts w:eastAsia="Calibri"/>
          <w:sz w:val="24"/>
          <w:szCs w:val="24"/>
          <w:lang w:eastAsia="en-US"/>
        </w:rPr>
      </w:r>
      <w:r/>
    </w:p>
    <w:p>
      <w:pPr>
        <w:ind w:firstLine="567"/>
        <w:jc w:val="both"/>
        <w:widowControl/>
      </w:pPr>
      <w:r>
        <w:rPr>
          <w:rFonts w:eastAsia="Calibri"/>
          <w:sz w:val="24"/>
          <w:szCs w:val="24"/>
          <w:lang w:eastAsia="en-US"/>
        </w:rPr>
        <w:t xml:space="preserve">6.1. Со дня поступления в администрацию муниципального образования </w:t>
      </w:r>
      <w:r>
        <w:rPr>
          <w:rFonts w:eastAsia="Calibri"/>
          <w:sz w:val="24"/>
          <w:szCs w:val="24"/>
          <w:lang w:eastAsia="en-US"/>
        </w:rPr>
        <w:t xml:space="preserve">Кавказский</w:t>
      </w:r>
      <w:r>
        <w:rPr>
          <w:rFonts w:eastAsia="Calibri"/>
          <w:sz w:val="24"/>
          <w:szCs w:val="24"/>
          <w:lang w:eastAsia="en-US"/>
        </w:rPr>
        <w:t xml:space="preserve"> район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r>
        <w:rPr>
          <w:rFonts w:eastAsia="Calibri"/>
          <w:sz w:val="24"/>
          <w:szCs w:val="24"/>
          <w:lang w:eastAsia="en-US"/>
        </w:rPr>
        <w:t xml:space="preserve">ГрК РФ</w:t>
      </w:r>
      <w:r>
        <w:rPr>
          <w:rFonts w:eastAsia="Calibri"/>
          <w:sz w:val="24"/>
          <w:szCs w:val="24"/>
          <w:lang w:eastAsia="en-US"/>
        </w:rPr>
        <w:t xml:space="preserve">,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w:t>
      </w:r>
      <w:r>
        <w:rPr>
          <w:rFonts w:eastAsia="Calibri"/>
          <w:sz w:val="24"/>
          <w:szCs w:val="24"/>
          <w:lang w:eastAsia="en-US"/>
        </w:rPr>
        <w:t xml:space="preserve"> </w:t>
      </w:r>
      <w:r>
        <w:rPr>
          <w:rFonts w:eastAsia="Calibri"/>
          <w:sz w:val="24"/>
          <w:szCs w:val="24"/>
          <w:lang w:eastAsia="en-US"/>
        </w:rPr>
        <w:t xml:space="preserve">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муниципального образования </w:t>
      </w:r>
      <w:r>
        <w:rPr>
          <w:rFonts w:eastAsia="Calibri"/>
          <w:sz w:val="24"/>
          <w:szCs w:val="24"/>
          <w:lang w:eastAsia="en-US"/>
        </w:rPr>
        <w:t xml:space="preserve">Кавказский</w:t>
      </w:r>
      <w:r>
        <w:rPr>
          <w:rFonts w:eastAsia="Calibri"/>
          <w:sz w:val="24"/>
          <w:szCs w:val="24"/>
          <w:lang w:eastAsia="en-US"/>
        </w:rPr>
        <w:t xml:space="preserve"> район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r>
        <w:rPr>
          <w:rFonts w:eastAsia="Calibri"/>
          <w:sz w:val="24"/>
          <w:szCs w:val="24"/>
          <w:lang w:eastAsia="en-US"/>
        </w:rPr>
        <w:t xml:space="preserve">ГрК РФ</w:t>
      </w:r>
      <w:r>
        <w:rPr>
          <w:rFonts w:eastAsia="Calibri"/>
          <w:sz w:val="24"/>
          <w:szCs w:val="24"/>
          <w:lang w:eastAsia="en-US"/>
        </w:rPr>
        <w:t xml:space="preserve"> и от которых поступило данное уведомление, направлено уведом</w:t>
      </w:r>
      <w:r>
        <w:rPr>
          <w:rFonts w:eastAsia="Calibri"/>
          <w:sz w:val="24"/>
          <w:szCs w:val="24"/>
          <w:lang w:eastAsia="en-US"/>
        </w:rPr>
        <w:t xml:space="preserve">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r>
        <w:rPr>
          <w:rFonts w:eastAsia="Calibri"/>
          <w:sz w:val="24"/>
          <w:szCs w:val="24"/>
          <w:lang w:eastAsia="en-US"/>
        </w:rPr>
      </w:r>
      <w:r/>
    </w:p>
    <w:p>
      <w:pPr>
        <w:ind w:firstLine="567"/>
        <w:jc w:val="both"/>
        <w:widowControl/>
      </w:pPr>
      <w:r>
        <w:rPr>
          <w:rFonts w:eastAsia="Calibri"/>
          <w:sz w:val="24"/>
          <w:szCs w:val="24"/>
          <w:lang w:eastAsia="en-US"/>
        </w:rPr>
        <w:t xml:space="preserve">7. Физическое ил</w:t>
      </w:r>
      <w:r>
        <w:rPr>
          <w:rFonts w:eastAsia="Calibri"/>
          <w:sz w:val="24"/>
          <w:szCs w:val="24"/>
          <w:lang w:eastAsia="en-US"/>
        </w:rPr>
        <w:t xml:space="preserve">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r>
        <w:rPr>
          <w:rFonts w:eastAsia="Calibri"/>
          <w:sz w:val="24"/>
          <w:szCs w:val="24"/>
          <w:lang w:eastAsia="en-US"/>
        </w:rPr>
      </w:r>
      <w:r/>
    </w:p>
    <w:p>
      <w:pPr>
        <w:ind w:firstLine="567"/>
        <w:jc w:val="both"/>
        <w:widowControl/>
      </w:pPr>
      <w:r>
        <w:rPr>
          <w:rFonts w:eastAsia="Calibri"/>
          <w:sz w:val="24"/>
          <w:szCs w:val="24"/>
          <w:lang w:eastAsia="en-US"/>
        </w:rPr>
        <w:t xml:space="preserve">8. Предоставление разрешения на отклон</w:t>
      </w:r>
      <w:r>
        <w:rPr>
          <w:rFonts w:eastAsia="Calibri"/>
          <w:sz w:val="24"/>
          <w:szCs w:val="24"/>
          <w:lang w:eastAsia="en-US"/>
        </w:rPr>
        <w:t xml:space="preserve">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r>
        <w:rPr>
          <w:rFonts w:eastAsia="Calibri"/>
          <w:sz w:val="24"/>
          <w:szCs w:val="24"/>
          <w:lang w:eastAsia="en-US"/>
        </w:rPr>
      </w:r>
      <w:r/>
    </w:p>
    <w:p>
      <w:pPr>
        <w:ind w:firstLine="567"/>
        <w:jc w:val="both"/>
        <w:keepNext/>
        <w:widowControl/>
        <w:outlineLvl w:val="1"/>
      </w:pPr>
      <w:r>
        <w:rPr>
          <w:b/>
          <w:bCs/>
          <w:i/>
          <w:iCs/>
          <w:sz w:val="24"/>
          <w:szCs w:val="24"/>
        </w:rPr>
        <w:t xml:space="preserve">Глава 3. Положение о подготовке документации по планировке территории органами местного самоуправления</w:t>
      </w:r>
      <w:r>
        <w:rPr>
          <w:b/>
          <w:bCs/>
          <w:i/>
          <w:iCs/>
          <w:sz w:val="24"/>
          <w:szCs w:val="24"/>
        </w:rPr>
      </w:r>
      <w:r/>
    </w:p>
    <w:p>
      <w:pPr>
        <w:ind w:firstLine="567"/>
        <w:jc w:val="both"/>
        <w:keepLines/>
        <w:keepNext/>
        <w:widowControl/>
        <w:outlineLvl w:val="2"/>
      </w:pPr>
      <w:r>
        <w:rPr>
          <w:b/>
          <w:bCs/>
          <w:sz w:val="24"/>
          <w:szCs w:val="24"/>
        </w:rPr>
        <w:t xml:space="preserve">Статья 8.</w:t>
      </w:r>
      <w:bookmarkStart w:id="0" w:name="undefined"/>
      <w:r/>
      <w:bookmarkStart w:id="0" w:name="undefined"/>
      <w:r>
        <w:rPr>
          <w:b/>
          <w:bCs/>
          <w:sz w:val="24"/>
          <w:szCs w:val="24"/>
        </w:rPr>
        <w:t xml:space="preserve"> </w:t>
      </w:r>
      <w:r>
        <w:rPr>
          <w:b/>
          <w:sz w:val="24"/>
          <w:szCs w:val="24"/>
        </w:rPr>
        <w:t xml:space="preserve">Документация по планировке территории</w:t>
      </w:r>
      <w:bookmarkEnd w:id="0"/>
      <w:r>
        <w:rPr>
          <w:b/>
          <w:sz w:val="24"/>
          <w:szCs w:val="24"/>
        </w:rPr>
      </w:r>
      <w:r/>
    </w:p>
    <w:p>
      <w:pPr>
        <w:ind w:firstLine="567"/>
        <w:jc w:val="both"/>
        <w:widowControl/>
        <w:tabs>
          <w:tab w:val="left" w:pos="851" w:leader="none"/>
        </w:tabs>
      </w:pPr>
      <w:r>
        <w:rPr>
          <w:sz w:val="24"/>
          <w:szCs w:val="24"/>
        </w:rPr>
        <w:t xml:space="preserve">1. Подготовка документации по планировке терр</w:t>
      </w:r>
      <w:r>
        <w:rPr>
          <w:sz w:val="24"/>
          <w:szCs w:val="24"/>
        </w:rPr>
        <w:t xml:space="preserve">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r>
        <w:rPr>
          <w:sz w:val="24"/>
          <w:szCs w:val="24"/>
        </w:rPr>
      </w:r>
      <w:r/>
    </w:p>
    <w:p>
      <w:pPr>
        <w:ind w:firstLine="567"/>
        <w:jc w:val="both"/>
        <w:widowControl/>
        <w:tabs>
          <w:tab w:val="left" w:pos="851" w:leader="none"/>
        </w:tabs>
      </w:pPr>
      <w:r>
        <w:rPr>
          <w:sz w:val="24"/>
          <w:szCs w:val="24"/>
        </w:rPr>
        <w:t xml:space="preserve">2. Подготовка документации по планировке территории в целях размещения о</w:t>
      </w:r>
      <w:r>
        <w:rPr>
          <w:sz w:val="24"/>
          <w:szCs w:val="24"/>
        </w:rPr>
        <w:t xml:space="preserve">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части 3 настоящей статьи.</w:t>
      </w:r>
      <w:r>
        <w:rPr>
          <w:sz w:val="24"/>
          <w:szCs w:val="24"/>
        </w:rPr>
      </w:r>
      <w:r/>
    </w:p>
    <w:p>
      <w:pPr>
        <w:ind w:firstLine="567"/>
        <w:jc w:val="both"/>
        <w:widowControl/>
        <w:tabs>
          <w:tab w:val="left" w:pos="851" w:leader="none"/>
        </w:tabs>
      </w:pPr>
      <w:r>
        <w:rPr>
          <w:sz w:val="24"/>
          <w:szCs w:val="24"/>
        </w:rPr>
        <w:t xml:space="preserve">3.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r>
        <w:rPr>
          <w:sz w:val="24"/>
          <w:szCs w:val="24"/>
        </w:rPr>
      </w:r>
      <w:r/>
    </w:p>
    <w:p>
      <w:pPr>
        <w:ind w:firstLine="567"/>
        <w:jc w:val="both"/>
        <w:widowControl/>
      </w:pPr>
      <w:r>
        <w:rPr>
          <w:sz w:val="24"/>
          <w:szCs w:val="24"/>
        </w:rPr>
        <w:t xml:space="preserve">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r>
        <w:rPr>
          <w:sz w:val="24"/>
          <w:szCs w:val="24"/>
        </w:rPr>
      </w:r>
      <w:r/>
    </w:p>
    <w:p>
      <w:pPr>
        <w:ind w:firstLine="567"/>
        <w:jc w:val="both"/>
        <w:widowControl/>
      </w:pPr>
      <w:r>
        <w:rPr>
          <w:sz w:val="24"/>
          <w:szCs w:val="24"/>
        </w:rPr>
        <w:t xml:space="preserve">2) необходимы установление, изменение или отмена красных линий;</w:t>
      </w:r>
      <w:r>
        <w:rPr>
          <w:sz w:val="24"/>
          <w:szCs w:val="24"/>
        </w:rPr>
      </w:r>
      <w:r/>
    </w:p>
    <w:p>
      <w:pPr>
        <w:ind w:firstLine="567"/>
        <w:jc w:val="both"/>
        <w:widowControl/>
      </w:pPr>
      <w:r>
        <w:rPr>
          <w:sz w:val="24"/>
          <w:szCs w:val="24"/>
        </w:rPr>
        <w:t xml:space="preserve">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r>
        <w:rPr>
          <w:sz w:val="24"/>
          <w:szCs w:val="24"/>
        </w:rPr>
      </w:r>
      <w:r/>
    </w:p>
    <w:p>
      <w:pPr>
        <w:ind w:firstLine="567"/>
        <w:jc w:val="both"/>
        <w:widowControl/>
      </w:pPr>
      <w:r>
        <w:rPr>
          <w:sz w:val="24"/>
          <w:szCs w:val="24"/>
        </w:rPr>
        <w:t xml:space="preserve">4) размещение объекта капит</w:t>
      </w:r>
      <w:r>
        <w:rPr>
          <w:sz w:val="24"/>
          <w:szCs w:val="24"/>
        </w:rPr>
        <w:t xml:space="preserve">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w:t>
      </w:r>
      <w:r>
        <w:rPr>
          <w:sz w:val="24"/>
          <w:szCs w:val="24"/>
        </w:rPr>
        <w:t xml:space="preserve">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r>
        <w:rPr>
          <w:sz w:val="24"/>
          <w:szCs w:val="24"/>
        </w:rPr>
      </w:r>
      <w:r/>
    </w:p>
    <w:p>
      <w:pPr>
        <w:ind w:firstLine="567"/>
        <w:jc w:val="both"/>
        <w:widowControl/>
      </w:pPr>
      <w:r>
        <w:rPr>
          <w:sz w:val="24"/>
          <w:szCs w:val="24"/>
        </w:rPr>
        <w:t xml:space="preserve">5) планируются строительство, реконструкция линейного объекта (за исключением случая, если размещение линейн</w:t>
      </w:r>
      <w:r>
        <w:rPr>
          <w:sz w:val="24"/>
          <w:szCs w:val="24"/>
        </w:rPr>
        <w:t xml:space="preserve">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w:t>
      </w:r>
      <w:r>
        <w:rPr>
          <w:sz w:val="24"/>
          <w:szCs w:val="24"/>
        </w:rPr>
        <w:t xml:space="preserve">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r>
        <w:rPr>
          <w:sz w:val="24"/>
          <w:szCs w:val="24"/>
        </w:rPr>
      </w:r>
      <w:r/>
    </w:p>
    <w:p>
      <w:pPr>
        <w:ind w:firstLine="567"/>
        <w:jc w:val="both"/>
        <w:widowControl/>
      </w:pPr>
      <w:r>
        <w:rPr>
          <w:sz w:val="24"/>
          <w:szCs w:val="24"/>
        </w:rPr>
        <w:t xml:space="preserve">6) планирует</w:t>
      </w:r>
      <w:r>
        <w:rPr>
          <w:sz w:val="24"/>
          <w:szCs w:val="24"/>
        </w:rPr>
        <w:t xml:space="preserve">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r>
        <w:rPr>
          <w:sz w:val="24"/>
          <w:szCs w:val="24"/>
        </w:rPr>
      </w:r>
      <w:r/>
    </w:p>
    <w:p>
      <w:pPr>
        <w:ind w:firstLine="567"/>
        <w:jc w:val="both"/>
        <w:widowControl/>
      </w:pPr>
      <w:r>
        <w:rPr>
          <w:sz w:val="24"/>
          <w:szCs w:val="24"/>
        </w:rPr>
        <w:t xml:space="preserve">7) планируется осуществление комплексного развития территории.</w:t>
      </w:r>
      <w:r>
        <w:rPr>
          <w:sz w:val="24"/>
          <w:szCs w:val="24"/>
        </w:rPr>
      </w:r>
      <w:r/>
    </w:p>
    <w:p>
      <w:pPr>
        <w:ind w:firstLine="567"/>
        <w:jc w:val="both"/>
        <w:widowControl/>
      </w:pPr>
      <w:r>
        <w:rPr>
          <w:rFonts w:eastAsia="Calibri"/>
          <w:sz w:val="24"/>
          <w:szCs w:val="24"/>
          <w:shd w:val="clear" w:color="auto" w:fill="ffffff"/>
          <w:lang w:eastAsia="en-US"/>
        </w:rPr>
        <w:t xml:space="preserve">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11" w:tooltip="https://www.consultant.ru/document/cons_doc_LAW_436061/" w:history="1">
        <w:r>
          <w:rPr>
            <w:rFonts w:eastAsia="Calibri"/>
            <w:sz w:val="24"/>
            <w:szCs w:val="24"/>
            <w:shd w:val="clear" w:color="auto" w:fill="ffffff"/>
            <w:lang w:eastAsia="en-US"/>
          </w:rPr>
          <w:t xml:space="preserve">законом</w:t>
        </w:r>
      </w:hyperlink>
      <w:r>
        <w:rPr>
          <w:rFonts w:eastAsia="Calibri"/>
          <w:sz w:val="24"/>
          <w:szCs w:val="24"/>
          <w:shd w:val="clear" w:color="auto" w:fill="ffffff"/>
          <w:lang w:eastAsia="en-US"/>
        </w:rPr>
        <w:t xml:space="preserve">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Pr>
          <w:sz w:val="24"/>
          <w:szCs w:val="24"/>
        </w:rPr>
      </w:r>
      <w:r/>
    </w:p>
    <w:p>
      <w:pPr>
        <w:ind w:firstLine="567"/>
        <w:jc w:val="both"/>
        <w:widowControl/>
        <w:tabs>
          <w:tab w:val="left" w:pos="851" w:leader="none"/>
        </w:tabs>
      </w:pPr>
      <w:r>
        <w:rPr>
          <w:sz w:val="24"/>
          <w:szCs w:val="24"/>
        </w:rPr>
        <w:t xml:space="preserve">4. Видами документации по планировке территории являются:</w:t>
      </w:r>
      <w:r>
        <w:rPr>
          <w:sz w:val="24"/>
          <w:szCs w:val="24"/>
        </w:rPr>
      </w:r>
      <w:r/>
    </w:p>
    <w:p>
      <w:pPr>
        <w:ind w:firstLine="567"/>
        <w:jc w:val="both"/>
        <w:widowControl/>
        <w:tabs>
          <w:tab w:val="left" w:pos="851" w:leader="none"/>
        </w:tabs>
      </w:pPr>
      <w:r>
        <w:rPr>
          <w:sz w:val="24"/>
          <w:szCs w:val="24"/>
        </w:rPr>
        <w:t xml:space="preserve">1) проект планировки территории;</w:t>
      </w:r>
      <w:r>
        <w:rPr>
          <w:sz w:val="24"/>
          <w:szCs w:val="24"/>
        </w:rPr>
      </w:r>
      <w:r/>
    </w:p>
    <w:p>
      <w:pPr>
        <w:ind w:firstLine="567"/>
        <w:jc w:val="both"/>
        <w:widowControl/>
        <w:tabs>
          <w:tab w:val="left" w:pos="851" w:leader="none"/>
        </w:tabs>
      </w:pPr>
      <w:r>
        <w:rPr>
          <w:sz w:val="24"/>
          <w:szCs w:val="24"/>
        </w:rPr>
        <w:t xml:space="preserve">2) проект межевания территории.</w:t>
      </w:r>
      <w:r>
        <w:rPr>
          <w:sz w:val="24"/>
          <w:szCs w:val="24"/>
        </w:rPr>
      </w:r>
      <w:r/>
    </w:p>
    <w:p>
      <w:pPr>
        <w:ind w:firstLine="567"/>
        <w:jc w:val="both"/>
        <w:widowControl/>
        <w:tabs>
          <w:tab w:val="left" w:pos="851" w:leader="none"/>
        </w:tabs>
      </w:pPr>
      <w:r>
        <w:rPr>
          <w:sz w:val="24"/>
          <w:szCs w:val="24"/>
        </w:rPr>
        <w:t xml:space="preserve">5. Применительно к территории, в границах которой не пред</w:t>
      </w:r>
      <w:r>
        <w:rPr>
          <w:sz w:val="24"/>
          <w:szCs w:val="24"/>
        </w:rPr>
        <w:t xml:space="preserve">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w:t>
      </w:r>
      <w:r>
        <w:rPr>
          <w:sz w:val="24"/>
          <w:szCs w:val="24"/>
        </w:rPr>
        <w:t xml:space="preserve">ГрК РФ</w:t>
      </w:r>
      <w:r>
        <w:rPr>
          <w:sz w:val="24"/>
          <w:szCs w:val="24"/>
        </w:rPr>
        <w:t xml:space="preserve">.</w:t>
      </w:r>
      <w:r>
        <w:rPr>
          <w:sz w:val="24"/>
          <w:szCs w:val="24"/>
        </w:rPr>
      </w:r>
      <w:r/>
    </w:p>
    <w:p>
      <w:pPr>
        <w:ind w:firstLine="567"/>
        <w:jc w:val="both"/>
        <w:widowControl/>
        <w:tabs>
          <w:tab w:val="left" w:pos="851" w:leader="none"/>
        </w:tabs>
      </w:pPr>
      <w:r>
        <w:rPr>
          <w:sz w:val="24"/>
          <w:szCs w:val="24"/>
        </w:rPr>
        <w:t xml:space="preserve">6. Проект планировки территории </w:t>
      </w:r>
      <w:r>
        <w:rPr>
          <w:sz w:val="24"/>
          <w:szCs w:val="24"/>
        </w:rPr>
        <w:t xml:space="preserve">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r>
        <w:rPr>
          <w:sz w:val="24"/>
          <w:szCs w:val="24"/>
        </w:rPr>
      </w:r>
      <w:r/>
    </w:p>
    <w:p>
      <w:pPr>
        <w:ind w:firstLine="567"/>
        <w:jc w:val="both"/>
        <w:widowControl/>
        <w:tabs>
          <w:tab w:val="left" w:pos="851" w:leader="none"/>
        </w:tabs>
      </w:pPr>
      <w:r>
        <w:rPr>
          <w:rFonts w:eastAsia="Calibri"/>
          <w:sz w:val="24"/>
          <w:szCs w:val="24"/>
          <w:shd w:val="clear" w:color="auto" w:fill="ffffff"/>
          <w:lang w:eastAsia="en-US"/>
        </w:rPr>
        <w:t xml:space="preserve">7. Особенности подготовки документации по планировке территории садоводства или огородничества устанавливаются Федеральным </w:t>
      </w:r>
      <w:hyperlink r:id="rId12" w:tooltip="https://www.consultant.ru/document/cons_doc_LAW_422253/" w:history="1">
        <w:r>
          <w:rPr>
            <w:rFonts w:eastAsia="Calibri"/>
            <w:sz w:val="24"/>
            <w:szCs w:val="24"/>
            <w:shd w:val="clear" w:color="auto" w:fill="ffffff"/>
            <w:lang w:eastAsia="en-US"/>
          </w:rPr>
          <w:t xml:space="preserve">законом</w:t>
        </w:r>
      </w:hyperlink>
      <w:r>
        <w:rPr>
          <w:rFonts w:eastAsia="Calibri"/>
          <w:sz w:val="24"/>
          <w:szCs w:val="24"/>
          <w:shd w:val="clear" w:color="auto" w:fill="ffffff"/>
          <w:lang w:eastAsia="en-US"/>
        </w:rPr>
        <w:t xml:space="preserve"> от 29 июля 2017 г.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r>
        <w:rPr>
          <w:sz w:val="24"/>
          <w:szCs w:val="24"/>
        </w:rPr>
      </w:r>
      <w:r/>
    </w:p>
    <w:p>
      <w:pPr>
        <w:ind w:firstLine="567"/>
        <w:jc w:val="both"/>
        <w:keepNext/>
        <w:widowControl/>
        <w:tabs>
          <w:tab w:val="left" w:pos="1276" w:leader="none"/>
        </w:tabs>
        <w:outlineLvl w:val="2"/>
      </w:pPr>
      <w:r/>
      <w:bookmarkStart w:id="0" w:name="undefined"/>
      <w:r/>
      <w:bookmarkStart w:id="0" w:name="undefined"/>
      <w:r>
        <w:rPr>
          <w:b/>
          <w:bCs/>
          <w:sz w:val="24"/>
          <w:szCs w:val="24"/>
        </w:rPr>
        <w:t xml:space="preserve">Статья 9.</w:t>
      </w:r>
      <w:bookmarkEnd w:id="0"/>
      <w:r>
        <w:rPr>
          <w:b/>
          <w:bCs/>
          <w:sz w:val="24"/>
          <w:szCs w:val="24"/>
        </w:rPr>
        <w:t xml:space="preserve"> </w:t>
      </w:r>
      <w:r>
        <w:rPr>
          <w:b/>
          <w:sz w:val="24"/>
          <w:szCs w:val="24"/>
        </w:rPr>
        <w:t xml:space="preserve">Общие требования к документации по планировке территории</w:t>
      </w:r>
      <w:r>
        <w:rPr>
          <w:b/>
          <w:sz w:val="24"/>
          <w:szCs w:val="24"/>
        </w:rPr>
      </w:r>
      <w:r/>
    </w:p>
    <w:p>
      <w:pPr>
        <w:ind w:firstLine="567"/>
        <w:jc w:val="both"/>
        <w:widowControl/>
        <w:tabs>
          <w:tab w:val="left" w:pos="851" w:leader="none"/>
        </w:tabs>
      </w:pPr>
      <w:r>
        <w:rPr>
          <w:sz w:val="24"/>
          <w:szCs w:val="24"/>
        </w:rPr>
        <w:t xml:space="preserve">1. П</w:t>
      </w:r>
      <w:r>
        <w:rPr>
          <w:sz w:val="24"/>
          <w:szCs w:val="24"/>
        </w:rPr>
        <w:t xml:space="preserve">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w:t>
      </w:r>
      <w:r>
        <w:rPr>
          <w:sz w:val="24"/>
          <w:szCs w:val="24"/>
        </w:rPr>
        <w:t xml:space="preserve">(или) установленных схемами территориального планирования муниципальных районов, генеральными планами поселений, функциональных зон, территории в отношении которой предусматривается осуществление комплексного развития территории.</w:t>
      </w:r>
      <w:r>
        <w:rPr>
          <w:sz w:val="24"/>
          <w:szCs w:val="24"/>
        </w:rPr>
      </w:r>
      <w:r/>
    </w:p>
    <w:p>
      <w:pPr>
        <w:ind w:firstLine="567"/>
        <w:jc w:val="both"/>
        <w:widowControl/>
        <w:tabs>
          <w:tab w:val="left" w:pos="851" w:leader="none"/>
        </w:tabs>
      </w:pPr>
      <w:r>
        <w:rPr>
          <w:sz w:val="24"/>
          <w:szCs w:val="24"/>
        </w:rPr>
        <w:t xml:space="preserve">2. При подготовке документации по планировке </w:t>
      </w:r>
      <w:r>
        <w:rPr>
          <w:sz w:val="24"/>
          <w:szCs w:val="24"/>
        </w:rPr>
        <w:t xml:space="preserve">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r>
        <w:rPr>
          <w:sz w:val="24"/>
          <w:szCs w:val="24"/>
        </w:rPr>
      </w:r>
      <w:r/>
    </w:p>
    <w:p>
      <w:pPr>
        <w:ind w:firstLine="567"/>
        <w:jc w:val="both"/>
        <w:widowControl/>
        <w:tabs>
          <w:tab w:val="left" w:pos="851" w:leader="none"/>
        </w:tabs>
      </w:pPr>
      <w:r>
        <w:rPr>
          <w:sz w:val="24"/>
          <w:szCs w:val="24"/>
        </w:rPr>
        <w:t xml:space="preserve">3. Подготовка графической части документации по планировке территории осуществляется:</w:t>
      </w:r>
      <w:r>
        <w:rPr>
          <w:sz w:val="24"/>
          <w:szCs w:val="24"/>
        </w:rPr>
      </w:r>
      <w:r/>
    </w:p>
    <w:p>
      <w:pPr>
        <w:ind w:firstLine="567"/>
        <w:jc w:val="both"/>
        <w:widowControl/>
      </w:pPr>
      <w:r>
        <w:rPr>
          <w:sz w:val="24"/>
          <w:szCs w:val="24"/>
        </w:rPr>
        <w:t xml:space="preserve">1) в соответствии с системой координат, используемой для ведения Единого государственного реестра недвижимости;</w:t>
      </w:r>
      <w:r>
        <w:rPr>
          <w:sz w:val="24"/>
          <w:szCs w:val="24"/>
        </w:rPr>
      </w:r>
      <w:r/>
    </w:p>
    <w:p>
      <w:pPr>
        <w:ind w:firstLine="567"/>
        <w:jc w:val="both"/>
        <w:widowControl/>
      </w:pPr>
      <w:r>
        <w:rPr>
          <w:sz w:val="24"/>
          <w:szCs w:val="24"/>
        </w:rPr>
        <w:t xml:space="preserve">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r>
        <w:rPr>
          <w:sz w:val="24"/>
          <w:szCs w:val="24"/>
        </w:rPr>
      </w:r>
      <w:r/>
    </w:p>
    <w:p>
      <w:pPr>
        <w:ind w:firstLine="567"/>
        <w:jc w:val="both"/>
        <w:widowControl/>
        <w:tabs>
          <w:tab w:val="left" w:pos="851" w:leader="none"/>
        </w:tabs>
      </w:pPr>
      <w:r>
        <w:rPr>
          <w:sz w:val="24"/>
          <w:szCs w:val="24"/>
        </w:rPr>
        <w:t xml:space="preserve">4. 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r>
        <w:rPr>
          <w:sz w:val="24"/>
          <w:szCs w:val="24"/>
        </w:rPr>
      </w:r>
      <w:r/>
    </w:p>
    <w:p>
      <w:pPr>
        <w:ind w:firstLine="567"/>
        <w:jc w:val="both"/>
        <w:keepNext/>
        <w:widowControl/>
        <w:tabs>
          <w:tab w:val="left" w:pos="1276" w:leader="none"/>
        </w:tabs>
        <w:outlineLvl w:val="2"/>
      </w:pPr>
      <w:r/>
      <w:bookmarkStart w:id="0" w:name="undefined"/>
      <w:r/>
      <w:bookmarkStart w:id="0" w:name="undefined"/>
      <w:r/>
      <w:bookmarkStart w:id="0" w:name="undefined"/>
      <w:r>
        <w:rPr>
          <w:b/>
          <w:bCs/>
          <w:sz w:val="24"/>
          <w:szCs w:val="24"/>
        </w:rPr>
        <w:t xml:space="preserve">Статья 10.</w:t>
      </w:r>
      <w:bookmarkEnd w:id="0"/>
      <w:r>
        <w:rPr>
          <w:b/>
          <w:bCs/>
          <w:sz w:val="24"/>
          <w:szCs w:val="24"/>
        </w:rPr>
        <w:t xml:space="preserve"> </w:t>
      </w:r>
      <w:r>
        <w:rPr>
          <w:b/>
          <w:sz w:val="24"/>
          <w:szCs w:val="24"/>
        </w:rPr>
        <w:t xml:space="preserve">Проект планировки территории</w:t>
      </w:r>
      <w:r>
        <w:rPr>
          <w:b/>
          <w:sz w:val="24"/>
          <w:szCs w:val="24"/>
        </w:rPr>
      </w:r>
      <w:r/>
    </w:p>
    <w:p>
      <w:pPr>
        <w:ind w:firstLine="567"/>
        <w:jc w:val="both"/>
        <w:widowControl/>
        <w:tabs>
          <w:tab w:val="left" w:pos="851" w:leader="none"/>
        </w:tabs>
      </w:pPr>
      <w:r>
        <w:rPr>
          <w:sz w:val="24"/>
          <w:szCs w:val="24"/>
        </w:rPr>
        <w:t xml:space="preserve">1. Подготовка проектов планировки территории осущ</w:t>
      </w:r>
      <w:r>
        <w:rPr>
          <w:sz w:val="24"/>
          <w:szCs w:val="24"/>
        </w:rPr>
        <w:t xml:space="preserve">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r>
        <w:rPr>
          <w:sz w:val="24"/>
          <w:szCs w:val="24"/>
        </w:rPr>
      </w:r>
      <w:r/>
    </w:p>
    <w:p>
      <w:pPr>
        <w:ind w:firstLine="567"/>
        <w:jc w:val="both"/>
        <w:widowControl/>
        <w:tabs>
          <w:tab w:val="left" w:pos="851" w:leader="none"/>
        </w:tabs>
      </w:pPr>
      <w:r>
        <w:rPr>
          <w:sz w:val="24"/>
          <w:szCs w:val="24"/>
        </w:rPr>
        <w:t xml:space="preserve">2. Проект планировки территории состоит из основной части, которая подлежит утверждению, и материалов по ее обоснованию.</w:t>
      </w:r>
      <w:r>
        <w:rPr>
          <w:sz w:val="24"/>
          <w:szCs w:val="24"/>
        </w:rPr>
      </w:r>
      <w:r/>
    </w:p>
    <w:p>
      <w:pPr>
        <w:ind w:firstLine="567"/>
        <w:jc w:val="both"/>
        <w:widowControl/>
        <w:tabs>
          <w:tab w:val="left" w:pos="851" w:leader="none"/>
        </w:tabs>
      </w:pPr>
      <w:r>
        <w:rPr>
          <w:sz w:val="24"/>
          <w:szCs w:val="24"/>
        </w:rPr>
        <w:t xml:space="preserve">3. Основная часть проекта планировки территории включает в себя:</w:t>
      </w:r>
      <w:r>
        <w:rPr>
          <w:sz w:val="24"/>
          <w:szCs w:val="24"/>
        </w:rPr>
      </w:r>
      <w:r/>
    </w:p>
    <w:p>
      <w:pPr>
        <w:ind w:firstLine="567"/>
        <w:jc w:val="both"/>
        <w:widowControl/>
      </w:pPr>
      <w:r>
        <w:rPr>
          <w:sz w:val="24"/>
          <w:szCs w:val="24"/>
        </w:rPr>
        <w:t xml:space="preserve">1) чертеж или чертежи планировки территории, на которых отображаются:</w:t>
      </w:r>
      <w:r>
        <w:rPr>
          <w:sz w:val="24"/>
          <w:szCs w:val="24"/>
        </w:rPr>
      </w:r>
      <w:r/>
    </w:p>
    <w:p>
      <w:pPr>
        <w:ind w:firstLine="567"/>
        <w:jc w:val="both"/>
        <w:widowControl/>
      </w:pPr>
      <w:r>
        <w:rPr>
          <w:sz w:val="24"/>
          <w:szCs w:val="24"/>
        </w:rPr>
        <w:t xml:space="preserve">а) красные линии. Порядок установления и отображения красных линий, обозначающих границы территорий, занятых линейными объектами и (или) предна</w:t>
      </w:r>
      <w:r>
        <w:rPr>
          <w:sz w:val="24"/>
          <w:szCs w:val="24"/>
        </w:rPr>
        <w:t xml:space="preserve">значенных для размещения линейных объектов,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w:t>
      </w:r>
      <w:r>
        <w:rPr>
          <w:sz w:val="24"/>
          <w:szCs w:val="24"/>
        </w:rPr>
      </w:r>
      <w:r/>
    </w:p>
    <w:p>
      <w:pPr>
        <w:ind w:firstLine="567"/>
        <w:jc w:val="both"/>
        <w:widowControl/>
      </w:pPr>
      <w:r>
        <w:rPr>
          <w:sz w:val="24"/>
          <w:szCs w:val="24"/>
        </w:rPr>
        <w:t xml:space="preserve">б) границы существующих и планируемых элементов планировочной структуры;</w:t>
      </w:r>
      <w:r>
        <w:rPr>
          <w:sz w:val="24"/>
          <w:szCs w:val="24"/>
        </w:rPr>
      </w:r>
      <w:r/>
    </w:p>
    <w:p>
      <w:pPr>
        <w:ind w:firstLine="567"/>
        <w:jc w:val="both"/>
        <w:widowControl/>
      </w:pPr>
      <w:r>
        <w:rPr>
          <w:sz w:val="24"/>
          <w:szCs w:val="24"/>
        </w:rPr>
        <w:t xml:space="preserve">в) границы зон планируемого размещения объектов капитального строительства;</w:t>
      </w:r>
      <w:r>
        <w:rPr>
          <w:sz w:val="24"/>
          <w:szCs w:val="24"/>
        </w:rPr>
      </w:r>
      <w:r/>
    </w:p>
    <w:p>
      <w:pPr>
        <w:ind w:firstLine="567"/>
        <w:jc w:val="both"/>
        <w:widowControl/>
      </w:pPr>
      <w:r>
        <w:rPr>
          <w:sz w:val="24"/>
          <w:szCs w:val="24"/>
        </w:rPr>
        <w:t xml:space="preserve">2) </w:t>
      </w:r>
      <w:bookmarkStart w:id="0" w:name="undefined"/>
      <w:r>
        <w:rPr>
          <w:sz w:val="24"/>
          <w:szCs w:val="24"/>
        </w:rPr>
        <w:t xml:space="preserve">положение о характеристиках планируемого развития территории, в том числе  о плотности и </w:t>
      </w:r>
      <w:r>
        <w:rPr>
          <w:sz w:val="24"/>
          <w:szCs w:val="24"/>
        </w:rPr>
        <w:t xml:space="preserve">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w:t>
      </w:r>
      <w:r>
        <w:rPr>
          <w:sz w:val="24"/>
          <w:szCs w:val="24"/>
        </w:rPr>
        <w:t xml:space="preserve">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w:t>
      </w:r>
      <w:r>
        <w:rPr>
          <w:sz w:val="24"/>
          <w:szCs w:val="24"/>
        </w:rPr>
        <w:t xml:space="preserve">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w:t>
      </w:r>
      <w:r>
        <w:rPr>
          <w:sz w:val="24"/>
          <w:szCs w:val="24"/>
        </w:rPr>
        <w:t xml:space="preserve">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w:t>
      </w:r>
      <w:r>
        <w:rPr>
          <w:sz w:val="24"/>
          <w:szCs w:val="24"/>
        </w:rPr>
        <w:t xml:space="preserve">ГрК РФ</w:t>
      </w:r>
      <w:r>
        <w:rPr>
          <w:sz w:val="24"/>
          <w:szCs w:val="24"/>
        </w:rPr>
        <w:t xml:space="preserve"> информация о планируемых мероприятиях по обеспечению сохранения применительно к территориальным </w:t>
      </w:r>
      <w:r>
        <w:rPr>
          <w:sz w:val="24"/>
          <w:szCs w:val="24"/>
        </w:rPr>
        <w:t xml:space="preserve">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bookmarkEnd w:id="0"/>
      <w:r>
        <w:rPr>
          <w:sz w:val="24"/>
          <w:szCs w:val="24"/>
        </w:rPr>
      </w:r>
      <w:r/>
    </w:p>
    <w:p>
      <w:pPr>
        <w:ind w:firstLine="567"/>
        <w:jc w:val="both"/>
        <w:widowControl/>
      </w:pPr>
      <w:r>
        <w:rPr>
          <w:sz w:val="24"/>
          <w:szCs w:val="24"/>
        </w:rPr>
        <w:t xml:space="preserve">3) положения об очередности планируемого развития территории, содержащие этапы проектирования, строительства, реконструкции о</w:t>
      </w:r>
      <w:r>
        <w:rPr>
          <w:sz w:val="24"/>
          <w:szCs w:val="24"/>
        </w:rPr>
        <w:t xml:space="preserve">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w:t>
      </w:r>
      <w:r>
        <w:rPr>
          <w:sz w:val="24"/>
          <w:szCs w:val="24"/>
        </w:rPr>
        <w:t xml:space="preserve">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r>
        <w:rPr>
          <w:sz w:val="24"/>
          <w:szCs w:val="24"/>
        </w:rPr>
      </w:r>
      <w:r/>
    </w:p>
    <w:p>
      <w:pPr>
        <w:ind w:firstLine="567"/>
        <w:jc w:val="both"/>
        <w:widowControl/>
        <w:tabs>
          <w:tab w:val="left" w:pos="851" w:leader="none"/>
        </w:tabs>
      </w:pPr>
      <w:r>
        <w:rPr>
          <w:sz w:val="24"/>
          <w:szCs w:val="24"/>
        </w:rPr>
        <w:t xml:space="preserve">4. Материалы по обоснованию проекта планировки территории содержат:</w:t>
      </w:r>
      <w:r>
        <w:rPr>
          <w:sz w:val="24"/>
          <w:szCs w:val="24"/>
        </w:rPr>
      </w:r>
      <w:r/>
    </w:p>
    <w:p>
      <w:pPr>
        <w:ind w:firstLine="567"/>
        <w:jc w:val="both"/>
        <w:widowControl/>
      </w:pPr>
      <w:r>
        <w:rPr>
          <w:sz w:val="24"/>
          <w:szCs w:val="24"/>
        </w:rPr>
        <w:t xml:space="preserve">1) карту (фрагмент карты) планировочной структуры территорий поселения с отображением границ элементов планировочной структуры;</w:t>
      </w:r>
      <w:r>
        <w:rPr>
          <w:sz w:val="24"/>
          <w:szCs w:val="24"/>
        </w:rPr>
      </w:r>
      <w:r/>
    </w:p>
    <w:p>
      <w:pPr>
        <w:ind w:firstLine="567"/>
        <w:jc w:val="both"/>
        <w:widowControl/>
      </w:pPr>
      <w:r>
        <w:rPr>
          <w:sz w:val="24"/>
          <w:szCs w:val="24"/>
        </w:rPr>
        <w:t xml:space="preserve">2) результаты инженерных изысканий в объеме, предусмотр</w:t>
      </w:r>
      <w:r>
        <w:rPr>
          <w:sz w:val="24"/>
          <w:szCs w:val="24"/>
        </w:rPr>
        <w:t xml:space="preserve">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w:t>
      </w:r>
      <w:r>
        <w:rPr>
          <w:sz w:val="24"/>
          <w:szCs w:val="24"/>
        </w:rPr>
      </w:r>
      <w:r/>
    </w:p>
    <w:p>
      <w:pPr>
        <w:ind w:firstLine="567"/>
        <w:jc w:val="both"/>
        <w:widowControl/>
      </w:pPr>
      <w:r>
        <w:rPr>
          <w:sz w:val="24"/>
          <w:szCs w:val="24"/>
        </w:rPr>
        <w:t xml:space="preserve">3) обоснование определения границ зон планируемого размещения объектов капитального строительства;</w:t>
      </w:r>
      <w:r>
        <w:rPr>
          <w:sz w:val="24"/>
          <w:szCs w:val="24"/>
        </w:rPr>
      </w:r>
      <w:r/>
    </w:p>
    <w:p>
      <w:pPr>
        <w:ind w:firstLine="567"/>
        <w:jc w:val="both"/>
        <w:widowControl/>
      </w:pPr>
      <w:r>
        <w:rPr>
          <w:sz w:val="24"/>
          <w:szCs w:val="24"/>
        </w:rPr>
        <w:t xml:space="preserve">4) схему организации движения транспорта </w:t>
      </w:r>
      <w:r>
        <w:rPr>
          <w:sz w:val="24"/>
          <w:szCs w:val="24"/>
        </w:rPr>
        <w:t xml:space="preserve">(включая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r>
        <w:rPr>
          <w:sz w:val="24"/>
          <w:szCs w:val="24"/>
        </w:rPr>
      </w:r>
      <w:r/>
    </w:p>
    <w:p>
      <w:pPr>
        <w:ind w:firstLine="567"/>
        <w:jc w:val="both"/>
        <w:widowControl/>
      </w:pPr>
      <w:r>
        <w:rPr>
          <w:sz w:val="24"/>
          <w:szCs w:val="24"/>
        </w:rPr>
        <w:t xml:space="preserve">5) схему границ территорий объектов культурного наследия;</w:t>
      </w:r>
      <w:r>
        <w:rPr>
          <w:sz w:val="24"/>
          <w:szCs w:val="24"/>
        </w:rPr>
      </w:r>
      <w:r/>
    </w:p>
    <w:p>
      <w:pPr>
        <w:ind w:firstLine="567"/>
        <w:jc w:val="both"/>
        <w:widowControl/>
      </w:pPr>
      <w:r>
        <w:rPr>
          <w:sz w:val="24"/>
          <w:szCs w:val="24"/>
        </w:rPr>
        <w:t xml:space="preserve">6) схему границ зон с особыми условиями использования территории;</w:t>
      </w:r>
      <w:r>
        <w:rPr>
          <w:sz w:val="24"/>
          <w:szCs w:val="24"/>
        </w:rPr>
      </w:r>
      <w:r/>
    </w:p>
    <w:p>
      <w:pPr>
        <w:ind w:firstLine="567"/>
        <w:jc w:val="both"/>
        <w:widowControl/>
      </w:pPr>
      <w:r>
        <w:rPr>
          <w:sz w:val="24"/>
          <w:szCs w:val="24"/>
        </w:rPr>
        <w:t xml:space="preserve">7) обоснование соответствия планируемых параметров, местоположения и назначения объектов регионального значения, объектов местного значения норма</w:t>
      </w:r>
      <w:r>
        <w:rPr>
          <w:sz w:val="24"/>
          <w:szCs w:val="24"/>
        </w:rPr>
        <w:t xml:space="preserve">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w:t>
      </w:r>
      <w:r>
        <w:rPr>
          <w:sz w:val="24"/>
          <w:szCs w:val="24"/>
        </w:rPr>
        <w:t xml:space="preserve">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r>
        <w:rPr>
          <w:sz w:val="24"/>
          <w:szCs w:val="24"/>
        </w:rPr>
      </w:r>
      <w:r/>
    </w:p>
    <w:p>
      <w:pPr>
        <w:ind w:firstLine="567"/>
        <w:jc w:val="both"/>
        <w:widowControl/>
      </w:pPr>
      <w:r>
        <w:rPr>
          <w:sz w:val="24"/>
          <w:szCs w:val="24"/>
        </w:rPr>
        <w:t xml:space="preserve">8) схе</w:t>
      </w:r>
      <w:r>
        <w:rPr>
          <w:sz w:val="24"/>
          <w:szCs w:val="24"/>
        </w:rPr>
        <w:t xml:space="preserve">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r>
        <w:rPr>
          <w:sz w:val="24"/>
          <w:szCs w:val="24"/>
        </w:rPr>
      </w:r>
      <w:r/>
    </w:p>
    <w:p>
      <w:pPr>
        <w:ind w:firstLine="567"/>
        <w:jc w:val="both"/>
        <w:widowControl/>
      </w:pPr>
      <w:r>
        <w:rPr>
          <w:sz w:val="24"/>
          <w:szCs w:val="24"/>
        </w:rPr>
        <w:t xml:space="preserve">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r>
        <w:rPr>
          <w:sz w:val="24"/>
          <w:szCs w:val="24"/>
        </w:rPr>
      </w:r>
      <w:r/>
    </w:p>
    <w:p>
      <w:pPr>
        <w:ind w:firstLine="567"/>
        <w:jc w:val="both"/>
        <w:widowControl/>
      </w:pPr>
      <w:r>
        <w:rPr>
          <w:sz w:val="24"/>
          <w:szCs w:val="24"/>
        </w:rPr>
        <w:t xml:space="preserve">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r>
        <w:rPr>
          <w:sz w:val="24"/>
          <w:szCs w:val="24"/>
        </w:rPr>
      </w:r>
      <w:r/>
    </w:p>
    <w:p>
      <w:pPr>
        <w:ind w:firstLine="567"/>
        <w:jc w:val="both"/>
        <w:widowControl/>
      </w:pPr>
      <w:r>
        <w:rPr>
          <w:sz w:val="24"/>
          <w:szCs w:val="24"/>
        </w:rPr>
        <w:t xml:space="preserve">11) перечень мероприятий по охране окружающей среды;</w:t>
      </w:r>
      <w:r>
        <w:rPr>
          <w:sz w:val="24"/>
          <w:szCs w:val="24"/>
        </w:rPr>
      </w:r>
      <w:r/>
    </w:p>
    <w:p>
      <w:pPr>
        <w:ind w:firstLine="567"/>
        <w:jc w:val="both"/>
        <w:widowControl/>
      </w:pPr>
      <w:r>
        <w:rPr>
          <w:sz w:val="24"/>
          <w:szCs w:val="24"/>
        </w:rPr>
        <w:t xml:space="preserve">12) обоснование очередности планируемого развития территории;</w:t>
      </w:r>
      <w:r>
        <w:rPr>
          <w:sz w:val="24"/>
          <w:szCs w:val="24"/>
        </w:rPr>
      </w:r>
      <w:r/>
    </w:p>
    <w:p>
      <w:pPr>
        <w:ind w:firstLine="567"/>
        <w:jc w:val="both"/>
        <w:widowControl/>
      </w:pPr>
      <w:r>
        <w:rPr>
          <w:sz w:val="24"/>
          <w:szCs w:val="24"/>
        </w:rPr>
        <w:t xml:space="preserve">13) схему вертикальной планировки территории, инженерной подготовки и инженерной защиты территории, подготовленную в сл</w:t>
      </w:r>
      <w:r>
        <w:rPr>
          <w:sz w:val="24"/>
          <w:szCs w:val="24"/>
        </w:rPr>
        <w:t xml:space="preserve">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r>
        <w:rPr>
          <w:sz w:val="24"/>
          <w:szCs w:val="24"/>
        </w:rPr>
      </w:r>
      <w:r/>
    </w:p>
    <w:p>
      <w:pPr>
        <w:ind w:firstLine="567"/>
        <w:jc w:val="both"/>
        <w:widowControl/>
      </w:pPr>
      <w:r>
        <w:rPr>
          <w:sz w:val="24"/>
          <w:szCs w:val="24"/>
        </w:rPr>
        <w:t xml:space="preserve">14) иные материалы для обоснования положений по планировке территории.</w:t>
      </w:r>
      <w:r>
        <w:rPr>
          <w:sz w:val="24"/>
          <w:szCs w:val="24"/>
        </w:rPr>
      </w:r>
      <w:r/>
    </w:p>
    <w:p>
      <w:pPr>
        <w:ind w:firstLine="567"/>
        <w:jc w:val="both"/>
        <w:widowControl/>
        <w:tabs>
          <w:tab w:val="left" w:pos="851" w:leader="none"/>
        </w:tabs>
      </w:pPr>
      <w:r>
        <w:rPr>
          <w:rFonts w:eastAsia="Calibri"/>
          <w:sz w:val="24"/>
          <w:szCs w:val="24"/>
          <w:shd w:val="clear" w:color="auto" w:fill="ffffff"/>
          <w:lang w:eastAsia="en-US"/>
        </w:rPr>
        <w:t xml:space="preserve">5. В состав проекта планировки территории может включаться проект организации дорожного движения, разрабатываемый в соответствии с требованиями </w:t>
      </w:r>
      <w:hyperlink r:id="rId13" w:tooltip="https://internet.garant.ru/#/document/71848756/entry/18" w:anchor="/document/71848756/entry/18" w:history="1">
        <w:r>
          <w:rPr>
            <w:rFonts w:eastAsia="Calibri"/>
            <w:sz w:val="24"/>
            <w:szCs w:val="24"/>
            <w:shd w:val="clear" w:color="auto" w:fill="ffffff"/>
            <w:lang w:eastAsia="en-US"/>
          </w:rPr>
          <w:t xml:space="preserve">Федерального закона</w:t>
        </w:r>
      </w:hyperlink>
      <w:r>
        <w:rPr>
          <w:rFonts w:eastAsia="Calibri"/>
          <w:sz w:val="24"/>
          <w:szCs w:val="24"/>
          <w:shd w:val="clear" w:color="auto" w:fill="ffffff"/>
          <w:lang w:eastAsia="en-US"/>
        </w:rPr>
        <w:t xml:space="preserve"> «Об организации дорожного движения в Российской Федерации и о внесении изменений в отдельные законодательные акты Российской Федерации».</w:t>
      </w:r>
      <w:r>
        <w:rPr>
          <w:sz w:val="24"/>
          <w:szCs w:val="24"/>
        </w:rPr>
      </w:r>
      <w:r/>
    </w:p>
    <w:p>
      <w:pPr>
        <w:ind w:firstLine="567"/>
        <w:jc w:val="both"/>
        <w:keepNext/>
        <w:widowControl/>
        <w:tabs>
          <w:tab w:val="left" w:pos="1276" w:leader="none"/>
        </w:tabs>
        <w:outlineLvl w:val="2"/>
      </w:pPr>
      <w:r>
        <w:rPr>
          <w:b/>
          <w:bCs/>
          <w:sz w:val="24"/>
          <w:szCs w:val="24"/>
        </w:rPr>
        <w:t xml:space="preserve">Статья 11.</w:t>
      </w:r>
      <w:r>
        <w:rPr>
          <w:b/>
          <w:bCs/>
          <w:sz w:val="24"/>
          <w:szCs w:val="24"/>
        </w:rPr>
        <w:t xml:space="preserve"> </w:t>
      </w:r>
      <w:r>
        <w:rPr>
          <w:b/>
          <w:sz w:val="24"/>
          <w:szCs w:val="24"/>
        </w:rPr>
        <w:t xml:space="preserve">Проекты межевания территорий</w:t>
      </w:r>
      <w:r>
        <w:rPr>
          <w:b/>
          <w:sz w:val="24"/>
          <w:szCs w:val="24"/>
        </w:rPr>
      </w:r>
      <w:r/>
    </w:p>
    <w:p>
      <w:pPr>
        <w:ind w:firstLine="567"/>
        <w:jc w:val="both"/>
        <w:widowControl/>
        <w:tabs>
          <w:tab w:val="left" w:pos="851" w:leader="none"/>
        </w:tabs>
      </w:pPr>
      <w:r>
        <w:rPr>
          <w:sz w:val="24"/>
          <w:szCs w:val="24"/>
        </w:rPr>
        <w:t xml:space="preserve">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w:t>
      </w:r>
      <w:r>
        <w:rPr>
          <w:sz w:val="24"/>
          <w:szCs w:val="24"/>
        </w:rPr>
        <w:t xml:space="preserve">иториальной зоны и (или) границах установленной схемой территориального планирования муниципального района, генеральным планом поселения, функциональной зоны, территории, в отношении которой предусматривается осуществление комплексного развития территории.</w:t>
      </w:r>
      <w:r>
        <w:rPr>
          <w:sz w:val="24"/>
          <w:szCs w:val="24"/>
        </w:rPr>
      </w:r>
      <w:r/>
    </w:p>
    <w:p>
      <w:pPr>
        <w:ind w:firstLine="567"/>
        <w:jc w:val="both"/>
        <w:widowControl/>
        <w:tabs>
          <w:tab w:val="left" w:pos="851" w:leader="none"/>
        </w:tabs>
      </w:pPr>
      <w:r>
        <w:rPr>
          <w:sz w:val="24"/>
          <w:szCs w:val="24"/>
        </w:rPr>
        <w:t xml:space="preserve">2. Подготовка проекта меже</w:t>
      </w:r>
      <w:r>
        <w:rPr>
          <w:sz w:val="24"/>
          <w:szCs w:val="24"/>
        </w:rPr>
        <w:t xml:space="preserve">вания территории осуществляется </w:t>
      </w:r>
      <w:r>
        <w:rPr>
          <w:sz w:val="24"/>
          <w:szCs w:val="24"/>
        </w:rPr>
        <w:t xml:space="preserve">для:</w:t>
      </w:r>
      <w:r>
        <w:rPr>
          <w:sz w:val="24"/>
          <w:szCs w:val="24"/>
        </w:rPr>
      </w:r>
      <w:r/>
    </w:p>
    <w:p>
      <w:pPr>
        <w:ind w:firstLine="567"/>
        <w:jc w:val="both"/>
        <w:widowControl/>
      </w:pPr>
      <w:r>
        <w:rPr>
          <w:sz w:val="24"/>
          <w:szCs w:val="24"/>
        </w:rPr>
        <w:t xml:space="preserve">1) определения местоположения </w:t>
      </w:r>
      <w:r>
        <w:rPr>
          <w:sz w:val="24"/>
          <w:szCs w:val="24"/>
        </w:rPr>
        <w:t xml:space="preserve">границ,</w:t>
      </w:r>
      <w:r>
        <w:rPr>
          <w:sz w:val="24"/>
          <w:szCs w:val="24"/>
        </w:rPr>
        <w:t xml:space="preserve"> образуемых и изменяемых земельных участков;</w:t>
      </w:r>
      <w:r>
        <w:rPr>
          <w:sz w:val="24"/>
          <w:szCs w:val="24"/>
        </w:rPr>
      </w:r>
      <w:r/>
    </w:p>
    <w:p>
      <w:pPr>
        <w:ind w:firstLine="567"/>
        <w:jc w:val="both"/>
        <w:widowControl/>
      </w:pPr>
      <w:r>
        <w:rPr>
          <w:sz w:val="24"/>
          <w:szCs w:val="24"/>
        </w:rPr>
        <w:t xml:space="preserve">2) установления, изменения, отмены красных линий для застроенных т</w:t>
      </w:r>
      <w:r>
        <w:rPr>
          <w:sz w:val="24"/>
          <w:szCs w:val="24"/>
        </w:rPr>
        <w:t xml:space="preserve">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w:t>
      </w:r>
      <w:r>
        <w:rPr>
          <w:sz w:val="24"/>
          <w:szCs w:val="24"/>
        </w:rPr>
        <w:t xml:space="preserve">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r>
        <w:rPr>
          <w:sz w:val="24"/>
          <w:szCs w:val="24"/>
        </w:rPr>
      </w:r>
      <w:r/>
    </w:p>
    <w:p>
      <w:pPr>
        <w:ind w:firstLine="567"/>
        <w:jc w:val="both"/>
        <w:widowControl/>
        <w:tabs>
          <w:tab w:val="left" w:pos="851" w:leader="none"/>
        </w:tabs>
      </w:pPr>
      <w:r>
        <w:rPr>
          <w:sz w:val="24"/>
          <w:szCs w:val="24"/>
        </w:rPr>
        <w:t xml:space="preserve">3. Проект межевания территории состоит из основной части, которая подлежит утверждению, и материалов по обоснованию этого проекта.</w:t>
      </w:r>
      <w:r>
        <w:rPr>
          <w:sz w:val="24"/>
          <w:szCs w:val="24"/>
        </w:rPr>
      </w:r>
      <w:r/>
    </w:p>
    <w:p>
      <w:pPr>
        <w:ind w:firstLine="567"/>
        <w:jc w:val="both"/>
        <w:widowControl/>
        <w:tabs>
          <w:tab w:val="left" w:pos="851" w:leader="none"/>
        </w:tabs>
      </w:pPr>
      <w:r>
        <w:rPr>
          <w:sz w:val="24"/>
          <w:szCs w:val="24"/>
        </w:rPr>
        <w:t xml:space="preserve">4. Основная часть проекта межевания территории включает в себя текстовую часть и чертежи межевания территории.</w:t>
      </w:r>
      <w:r>
        <w:rPr>
          <w:sz w:val="24"/>
          <w:szCs w:val="24"/>
        </w:rPr>
      </w:r>
      <w:r/>
    </w:p>
    <w:p>
      <w:pPr>
        <w:ind w:firstLine="567"/>
        <w:jc w:val="both"/>
        <w:widowControl/>
        <w:tabs>
          <w:tab w:val="left" w:pos="851" w:leader="none"/>
        </w:tabs>
      </w:pPr>
      <w:r>
        <w:rPr>
          <w:sz w:val="24"/>
          <w:szCs w:val="24"/>
        </w:rPr>
        <w:t xml:space="preserve">5. Текстовая часть проекта межевания территории включает в себя:</w:t>
      </w:r>
      <w:r>
        <w:rPr>
          <w:sz w:val="24"/>
          <w:szCs w:val="24"/>
        </w:rPr>
      </w:r>
      <w:r/>
    </w:p>
    <w:p>
      <w:pPr>
        <w:ind w:firstLine="567"/>
        <w:jc w:val="both"/>
        <w:widowControl/>
      </w:pPr>
      <w:r>
        <w:rPr>
          <w:sz w:val="24"/>
          <w:szCs w:val="24"/>
        </w:rPr>
        <w:t xml:space="preserve">1) перечень и сведения о площади образуемых земельных участков, в том числе возможные способы их образования;</w:t>
      </w:r>
      <w:r>
        <w:rPr>
          <w:sz w:val="24"/>
          <w:szCs w:val="24"/>
        </w:rPr>
      </w:r>
      <w:r/>
    </w:p>
    <w:p>
      <w:pPr>
        <w:ind w:firstLine="567"/>
        <w:jc w:val="both"/>
        <w:widowControl/>
      </w:pPr>
      <w:r>
        <w:rPr>
          <w:sz w:val="24"/>
          <w:szCs w:val="24"/>
        </w:rPr>
        <w:t xml:space="preserve">2) перечень и сведе</w:t>
      </w:r>
      <w:r>
        <w:rPr>
          <w:sz w:val="24"/>
          <w:szCs w:val="24"/>
        </w:rPr>
        <w:t xml:space="preserve">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r>
        <w:rPr>
          <w:sz w:val="24"/>
          <w:szCs w:val="24"/>
        </w:rPr>
      </w:r>
      <w:r/>
    </w:p>
    <w:p>
      <w:pPr>
        <w:ind w:firstLine="567"/>
        <w:jc w:val="both"/>
        <w:widowControl/>
      </w:pPr>
      <w:r>
        <w:rPr>
          <w:sz w:val="24"/>
          <w:szCs w:val="24"/>
        </w:rPr>
        <w:t xml:space="preserve">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r>
        <w:rPr>
          <w:sz w:val="24"/>
          <w:szCs w:val="24"/>
        </w:rPr>
      </w:r>
      <w:r/>
    </w:p>
    <w:p>
      <w:pPr>
        <w:ind w:firstLine="567"/>
        <w:jc w:val="both"/>
        <w:widowControl/>
      </w:pPr>
      <w:r>
        <w:rPr>
          <w:sz w:val="24"/>
          <w:szCs w:val="24"/>
        </w:rPr>
        <w:t xml:space="preserve">4) целевое назначение лесов, вид (виды) разрешенного использования лесного </w:t>
      </w:r>
      <w:r>
        <w:rPr>
          <w:sz w:val="24"/>
          <w:szCs w:val="24"/>
        </w:rPr>
        <w:t xml:space="preserve">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w:t>
      </w:r>
      <w:r>
        <w:rPr>
          <w:sz w:val="24"/>
          <w:szCs w:val="24"/>
        </w:rPr>
        <w:t xml:space="preserve">границ,</w:t>
      </w:r>
      <w:r>
        <w:rPr>
          <w:sz w:val="24"/>
          <w:szCs w:val="24"/>
        </w:rPr>
        <w:t xml:space="preserve"> образуемых и (или) изменяемых лесных участков);</w:t>
      </w:r>
      <w:r>
        <w:rPr>
          <w:sz w:val="24"/>
          <w:szCs w:val="24"/>
        </w:rPr>
      </w:r>
      <w:r/>
    </w:p>
    <w:p>
      <w:pPr>
        <w:ind w:firstLine="567"/>
        <w:jc w:val="both"/>
        <w:widowControl/>
      </w:pPr>
      <w:r>
        <w:rPr>
          <w:sz w:val="24"/>
          <w:szCs w:val="24"/>
        </w:rPr>
        <w:t xml:space="preserve">5) сведения о границах те</w:t>
      </w:r>
      <w:r>
        <w:rPr>
          <w:sz w:val="24"/>
          <w:szCs w:val="24"/>
        </w:rPr>
        <w:t xml:space="preserve">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w:t>
      </w:r>
      <w:r>
        <w:rPr>
          <w:sz w:val="24"/>
          <w:szCs w:val="24"/>
        </w:rPr>
        <w:t xml:space="preserve">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Градостроительным кодексом Российской Федерации для территориальных зон.</w:t>
      </w:r>
      <w:r>
        <w:rPr>
          <w:sz w:val="24"/>
          <w:szCs w:val="24"/>
        </w:rPr>
      </w:r>
      <w:r/>
    </w:p>
    <w:p>
      <w:pPr>
        <w:ind w:firstLine="567"/>
        <w:jc w:val="both"/>
        <w:widowControl/>
        <w:tabs>
          <w:tab w:val="left" w:pos="851" w:leader="none"/>
        </w:tabs>
      </w:pPr>
      <w:r>
        <w:rPr>
          <w:sz w:val="24"/>
          <w:szCs w:val="24"/>
        </w:rPr>
        <w:t xml:space="preserve">6.</w:t>
      </w:r>
      <w:r>
        <w:rPr>
          <w:sz w:val="24"/>
          <w:szCs w:val="24"/>
        </w:rPr>
        <w:tab/>
        <w:t xml:space="preserve">На чертежах межевания территории отображаются:</w:t>
      </w:r>
      <w:r>
        <w:rPr>
          <w:sz w:val="24"/>
          <w:szCs w:val="24"/>
        </w:rPr>
      </w:r>
      <w:r/>
    </w:p>
    <w:p>
      <w:pPr>
        <w:ind w:firstLine="567"/>
        <w:jc w:val="both"/>
        <w:widowControl/>
      </w:pPr>
      <w:r>
        <w:rPr>
          <w:sz w:val="24"/>
          <w:szCs w:val="24"/>
        </w:rPr>
        <w:t xml:space="preserve">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r>
        <w:rPr>
          <w:sz w:val="24"/>
          <w:szCs w:val="24"/>
        </w:rPr>
      </w:r>
      <w:r/>
    </w:p>
    <w:p>
      <w:pPr>
        <w:ind w:firstLine="567"/>
        <w:jc w:val="both"/>
        <w:widowControl/>
      </w:pPr>
      <w:r>
        <w:rPr>
          <w:sz w:val="24"/>
          <w:szCs w:val="24"/>
        </w:rPr>
        <w:t xml:space="preserve">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статьи 43 Градостроительным кодексом Российской Федерации;</w:t>
      </w:r>
      <w:r>
        <w:rPr>
          <w:sz w:val="24"/>
          <w:szCs w:val="24"/>
        </w:rPr>
      </w:r>
      <w:r/>
    </w:p>
    <w:p>
      <w:pPr>
        <w:ind w:firstLine="567"/>
        <w:jc w:val="both"/>
        <w:widowControl/>
      </w:pPr>
      <w:r>
        <w:rPr>
          <w:sz w:val="24"/>
          <w:szCs w:val="24"/>
        </w:rPr>
        <w:t xml:space="preserve">3) линии отступа от красных линий в целях определения мест допустимого размещения зданий, строений, сооружений;</w:t>
      </w:r>
      <w:r>
        <w:rPr>
          <w:sz w:val="24"/>
          <w:szCs w:val="24"/>
        </w:rPr>
      </w:r>
      <w:r/>
    </w:p>
    <w:p>
      <w:pPr>
        <w:ind w:firstLine="567"/>
        <w:jc w:val="both"/>
        <w:widowControl/>
      </w:pPr>
      <w:r>
        <w:rPr>
          <w:sz w:val="24"/>
          <w:szCs w:val="24"/>
        </w:rPr>
        <w:t xml:space="preserve">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r>
        <w:rPr>
          <w:sz w:val="24"/>
          <w:szCs w:val="24"/>
        </w:rPr>
      </w:r>
      <w:r/>
    </w:p>
    <w:p>
      <w:pPr>
        <w:ind w:firstLine="567"/>
        <w:jc w:val="both"/>
        <w:widowControl/>
      </w:pPr>
      <w:r>
        <w:rPr>
          <w:sz w:val="24"/>
          <w:szCs w:val="24"/>
        </w:rPr>
        <w:t xml:space="preserve">5) границы зон действия публичных сервитутов.</w:t>
      </w:r>
      <w:r>
        <w:rPr>
          <w:sz w:val="24"/>
          <w:szCs w:val="24"/>
        </w:rPr>
      </w:r>
      <w:r/>
    </w:p>
    <w:p>
      <w:pPr>
        <w:ind w:firstLine="567"/>
        <w:jc w:val="both"/>
        <w:widowControl/>
        <w:tabs>
          <w:tab w:val="left" w:pos="851" w:leader="none"/>
        </w:tabs>
      </w:pPr>
      <w:r>
        <w:rPr>
          <w:sz w:val="24"/>
          <w:szCs w:val="24"/>
        </w:rPr>
        <w:t xml:space="preserve">7. Материалы по обоснованию проекта межевания территории включают в себя чертежи, на которых отображаются:</w:t>
      </w:r>
      <w:r>
        <w:rPr>
          <w:sz w:val="24"/>
          <w:szCs w:val="24"/>
        </w:rPr>
      </w:r>
      <w:r/>
    </w:p>
    <w:p>
      <w:pPr>
        <w:ind w:firstLine="567"/>
        <w:jc w:val="both"/>
        <w:widowControl/>
      </w:pPr>
      <w:r>
        <w:rPr>
          <w:sz w:val="24"/>
          <w:szCs w:val="24"/>
        </w:rPr>
        <w:t xml:space="preserve">1) границы существующих земельных участков;</w:t>
      </w:r>
      <w:r>
        <w:rPr>
          <w:sz w:val="24"/>
          <w:szCs w:val="24"/>
        </w:rPr>
      </w:r>
      <w:r/>
    </w:p>
    <w:p>
      <w:pPr>
        <w:ind w:firstLine="567"/>
        <w:jc w:val="both"/>
        <w:widowControl/>
      </w:pPr>
      <w:r>
        <w:rPr>
          <w:sz w:val="24"/>
          <w:szCs w:val="24"/>
        </w:rPr>
        <w:t xml:space="preserve">2) границы зон с особыми условиями использования территорий;</w:t>
      </w:r>
      <w:r>
        <w:rPr>
          <w:sz w:val="24"/>
          <w:szCs w:val="24"/>
        </w:rPr>
      </w:r>
      <w:r/>
    </w:p>
    <w:p>
      <w:pPr>
        <w:ind w:firstLine="567"/>
        <w:jc w:val="both"/>
        <w:widowControl/>
      </w:pPr>
      <w:r>
        <w:rPr>
          <w:sz w:val="24"/>
          <w:szCs w:val="24"/>
        </w:rPr>
        <w:t xml:space="preserve">3) местоположение существующих объектов капитального строительства;</w:t>
      </w:r>
      <w:r>
        <w:rPr>
          <w:sz w:val="24"/>
          <w:szCs w:val="24"/>
        </w:rPr>
      </w:r>
      <w:r/>
    </w:p>
    <w:p>
      <w:pPr>
        <w:ind w:firstLine="567"/>
        <w:jc w:val="both"/>
        <w:widowControl/>
      </w:pPr>
      <w:r>
        <w:rPr>
          <w:sz w:val="24"/>
          <w:szCs w:val="24"/>
        </w:rPr>
        <w:t xml:space="preserve">4) границы особо охраняемых природных территорий;</w:t>
      </w:r>
      <w:r>
        <w:rPr>
          <w:sz w:val="24"/>
          <w:szCs w:val="24"/>
        </w:rPr>
      </w:r>
      <w:r/>
    </w:p>
    <w:p>
      <w:pPr>
        <w:ind w:firstLine="567"/>
        <w:jc w:val="both"/>
        <w:widowControl/>
      </w:pPr>
      <w:r>
        <w:rPr>
          <w:sz w:val="24"/>
          <w:szCs w:val="24"/>
        </w:rPr>
        <w:t xml:space="preserve">5) границы территорий объектов культурного наследия;</w:t>
      </w:r>
      <w:r>
        <w:rPr>
          <w:sz w:val="24"/>
          <w:szCs w:val="24"/>
        </w:rPr>
      </w:r>
      <w:r/>
    </w:p>
    <w:p>
      <w:pPr>
        <w:ind w:firstLine="567"/>
        <w:jc w:val="both"/>
        <w:widowControl/>
      </w:pPr>
      <w:r>
        <w:rPr>
          <w:sz w:val="24"/>
          <w:szCs w:val="24"/>
        </w:rPr>
        <w:t xml:space="preserve">6) границы лесничеств, участковых лесничеств, лесных кварталов, лесотаксационных выделов или частей лесотаксационных выделов.</w:t>
      </w:r>
      <w:r>
        <w:rPr>
          <w:sz w:val="24"/>
          <w:szCs w:val="24"/>
        </w:rPr>
      </w:r>
      <w:r/>
    </w:p>
    <w:p>
      <w:pPr>
        <w:ind w:firstLine="567"/>
        <w:jc w:val="both"/>
        <w:widowControl/>
        <w:tabs>
          <w:tab w:val="left" w:pos="851" w:leader="none"/>
        </w:tabs>
      </w:pPr>
      <w:r>
        <w:rPr>
          <w:sz w:val="24"/>
          <w:szCs w:val="24"/>
        </w:rPr>
        <w:t xml:space="preserve">8. Подготовка проектов </w:t>
      </w:r>
      <w:r>
        <w:rPr>
          <w:sz w:val="24"/>
          <w:szCs w:val="24"/>
        </w:rPr>
        <w:t xml:space="preserve">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w:t>
      </w:r>
      <w:r>
        <w:rPr>
          <w:sz w:val="24"/>
          <w:szCs w:val="24"/>
        </w:rPr>
        <w:t xml:space="preserve">ийской Федерации.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r>
        <w:rPr>
          <w:sz w:val="24"/>
          <w:szCs w:val="24"/>
        </w:rPr>
      </w:r>
      <w:r/>
    </w:p>
    <w:p>
      <w:pPr>
        <w:ind w:firstLine="567"/>
        <w:jc w:val="both"/>
        <w:widowControl/>
        <w:tabs>
          <w:tab w:val="left" w:pos="851" w:leader="none"/>
        </w:tabs>
      </w:pPr>
      <w:r>
        <w:rPr>
          <w:sz w:val="24"/>
          <w:szCs w:val="24"/>
        </w:rPr>
        <w:t xml:space="preserve">9. При подготовке проекта межевания территории определение местоположения </w:t>
      </w:r>
      <w:r>
        <w:rPr>
          <w:sz w:val="24"/>
          <w:szCs w:val="24"/>
        </w:rPr>
        <w:t xml:space="preserve">границ,</w:t>
      </w:r>
      <w:r>
        <w:rPr>
          <w:sz w:val="24"/>
          <w:szCs w:val="24"/>
        </w:rPr>
        <w:t xml:space="preserve"> образуемых и (или) изменяемых земельных участков осуществляется в соответствии с градостроительными регламентами и нормам</w:t>
      </w:r>
      <w:r>
        <w:rPr>
          <w:sz w:val="24"/>
          <w:szCs w:val="24"/>
        </w:rPr>
        <w:t xml:space="preserve">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r>
        <w:rPr>
          <w:sz w:val="24"/>
          <w:szCs w:val="24"/>
        </w:rPr>
      </w:r>
      <w:r/>
    </w:p>
    <w:p>
      <w:pPr>
        <w:ind w:firstLine="567"/>
        <w:jc w:val="both"/>
        <w:widowControl/>
        <w:tabs>
          <w:tab w:val="left" w:pos="851" w:leader="none"/>
        </w:tabs>
      </w:pPr>
      <w:r>
        <w:rPr>
          <w:sz w:val="24"/>
          <w:szCs w:val="24"/>
        </w:rPr>
        <w:t xml:space="preserve">1</w:t>
      </w:r>
      <w:r>
        <w:rPr>
          <w:sz w:val="24"/>
          <w:szCs w:val="24"/>
        </w:rPr>
        <w:t xml:space="preserve">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w:t>
      </w:r>
      <w:r>
        <w:rPr>
          <w:sz w:val="24"/>
          <w:szCs w:val="24"/>
        </w:rPr>
        <w:t xml:space="preserve">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r>
        <w:rPr>
          <w:sz w:val="24"/>
          <w:szCs w:val="24"/>
        </w:rPr>
      </w:r>
      <w:r/>
    </w:p>
    <w:p>
      <w:pPr>
        <w:ind w:firstLine="567"/>
        <w:jc w:val="both"/>
        <w:widowControl/>
      </w:pPr>
      <w:r>
        <w:rPr>
          <w:rFonts w:eastAsia="Calibri"/>
          <w:sz w:val="24"/>
          <w:szCs w:val="24"/>
          <w:lang w:eastAsia="en-US"/>
        </w:rPr>
        <w:t xml:space="preserve">11. В проекте межевания территории, подготовленном примени</w:t>
      </w:r>
      <w:r>
        <w:rPr>
          <w:rFonts w:eastAsia="Calibri"/>
          <w:sz w:val="24"/>
          <w:szCs w:val="24"/>
          <w:lang w:eastAsia="en-US"/>
        </w:rPr>
        <w:t xml:space="preserve">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r>
        <w:rPr>
          <w:rFonts w:eastAsia="Calibri"/>
          <w:sz w:val="24"/>
          <w:szCs w:val="24"/>
          <w:lang w:eastAsia="en-US"/>
        </w:rPr>
      </w:r>
      <w:r/>
    </w:p>
    <w:p>
      <w:pPr>
        <w:ind w:firstLine="567"/>
        <w:jc w:val="both"/>
        <w:widowControl/>
      </w:pPr>
      <w:r>
        <w:rPr>
          <w:rFonts w:eastAsia="Calibri"/>
          <w:sz w:val="24"/>
          <w:szCs w:val="24"/>
          <w:lang w:eastAsia="en-US"/>
        </w:rPr>
        <w:t xml:space="preserve">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w:t>
      </w:r>
      <w:r>
        <w:rPr>
          <w:rFonts w:eastAsia="Calibri"/>
          <w:sz w:val="24"/>
          <w:szCs w:val="24"/>
          <w:lang w:eastAsia="en-US"/>
        </w:rPr>
        <w:t xml:space="preserve">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w:t>
      </w:r>
      <w:r>
        <w:rPr>
          <w:rFonts w:eastAsia="Calibri"/>
          <w:sz w:val="24"/>
          <w:szCs w:val="24"/>
          <w:lang w:eastAsia="en-US"/>
        </w:rPr>
        <w:t xml:space="preserve">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r>
        <w:rPr>
          <w:rFonts w:eastAsia="Calibri"/>
          <w:sz w:val="24"/>
          <w:szCs w:val="24"/>
          <w:lang w:eastAsia="en-US"/>
        </w:rPr>
      </w:r>
      <w:r/>
    </w:p>
    <w:p>
      <w:pPr>
        <w:ind w:firstLine="567"/>
        <w:jc w:val="both"/>
        <w:keepNext/>
        <w:widowControl/>
        <w:tabs>
          <w:tab w:val="left" w:pos="1276" w:leader="none"/>
        </w:tabs>
        <w:outlineLvl w:val="2"/>
      </w:pPr>
      <w:r/>
      <w:bookmarkStart w:id="0" w:name="undefined"/>
      <w:r/>
      <w:bookmarkStart w:id="0" w:name="undefined"/>
      <w:r/>
      <w:bookmarkStart w:id="0" w:name="undefined"/>
      <w:r>
        <w:rPr>
          <w:b/>
          <w:bCs/>
          <w:sz w:val="24"/>
          <w:szCs w:val="24"/>
        </w:rPr>
        <w:t xml:space="preserve">Статья 12.</w:t>
      </w:r>
      <w:r>
        <w:rPr>
          <w:b/>
          <w:bCs/>
          <w:sz w:val="24"/>
          <w:szCs w:val="24"/>
        </w:rPr>
        <w:t xml:space="preserve"> </w:t>
      </w:r>
      <w:r>
        <w:rPr>
          <w:b/>
          <w:sz w:val="24"/>
          <w:szCs w:val="24"/>
        </w:rPr>
        <w:t xml:space="preserve">Случаи подготовки проекта планировки территории, проекта межевания территории</w:t>
      </w:r>
      <w:bookmarkEnd w:id="0"/>
      <w:r>
        <w:rPr>
          <w:b/>
          <w:sz w:val="24"/>
          <w:szCs w:val="24"/>
        </w:rPr>
      </w:r>
      <w:r/>
    </w:p>
    <w:p>
      <w:pPr>
        <w:ind w:firstLine="567"/>
        <w:jc w:val="both"/>
        <w:widowControl/>
        <w:tabs>
          <w:tab w:val="left" w:pos="851" w:leader="none"/>
        </w:tabs>
      </w:pPr>
      <w:r>
        <w:rPr>
          <w:sz w:val="24"/>
          <w:szCs w:val="24"/>
        </w:rPr>
        <w:t xml:space="preserve">1. Подготовка проекта планировки территории осуществляется на основании и в случаях, предусмотренных градостроительным и земельным законодательством. </w:t>
      </w:r>
      <w:r>
        <w:rPr>
          <w:sz w:val="24"/>
          <w:szCs w:val="24"/>
        </w:rPr>
      </w:r>
      <w:r/>
    </w:p>
    <w:p>
      <w:pPr>
        <w:ind w:firstLine="567"/>
        <w:jc w:val="both"/>
        <w:widowControl/>
        <w:tabs>
          <w:tab w:val="left" w:pos="851" w:leader="none"/>
        </w:tabs>
      </w:pPr>
      <w:r>
        <w:rPr>
          <w:sz w:val="24"/>
          <w:szCs w:val="24"/>
        </w:rPr>
        <w:t xml:space="preserve">2. Подготовка одновременно проекта планировки территории и проекта межевания территории должна осуществляться в следующих случаях:</w:t>
      </w:r>
      <w:r>
        <w:rPr>
          <w:sz w:val="24"/>
          <w:szCs w:val="24"/>
        </w:rPr>
      </w:r>
      <w:r/>
    </w:p>
    <w:p>
      <w:pPr>
        <w:ind w:firstLine="567"/>
        <w:jc w:val="both"/>
        <w:widowControl/>
      </w:pPr>
      <w:r>
        <w:rPr>
          <w:sz w:val="24"/>
          <w:szCs w:val="24"/>
        </w:rPr>
        <w:t xml:space="preserve">при развитии застроенной территории (в соответствии с договором о развитии застроенной территории);</w:t>
      </w:r>
      <w:r>
        <w:rPr>
          <w:sz w:val="24"/>
          <w:szCs w:val="24"/>
        </w:rPr>
      </w:r>
      <w:r/>
    </w:p>
    <w:p>
      <w:pPr>
        <w:ind w:firstLine="567"/>
        <w:jc w:val="both"/>
        <w:widowControl/>
      </w:pPr>
      <w:r>
        <w:rPr>
          <w:sz w:val="24"/>
          <w:szCs w:val="24"/>
        </w:rPr>
        <w:t xml:space="preserve">при комплексном освоении территории (в соответствии с договором о комплексном освоении территории);</w:t>
      </w:r>
      <w:r>
        <w:rPr>
          <w:sz w:val="24"/>
          <w:szCs w:val="24"/>
        </w:rPr>
      </w:r>
      <w:r/>
    </w:p>
    <w:p>
      <w:pPr>
        <w:ind w:firstLine="567"/>
        <w:jc w:val="both"/>
        <w:widowControl/>
      </w:pPr>
      <w:r>
        <w:rPr>
          <w:sz w:val="24"/>
          <w:szCs w:val="24"/>
        </w:rPr>
        <w:t xml:space="preserve">при комплексном освоении территории в целях строительства жилья экономического класса (в соответствии с договором о комплексном освоении территории в целях строительства жилья экономического класса);</w:t>
      </w:r>
      <w:r>
        <w:rPr>
          <w:sz w:val="24"/>
          <w:szCs w:val="24"/>
        </w:rPr>
      </w:r>
      <w:r/>
    </w:p>
    <w:p>
      <w:pPr>
        <w:ind w:firstLine="567"/>
        <w:jc w:val="both"/>
        <w:widowControl/>
      </w:pPr>
      <w:r>
        <w:rPr>
          <w:sz w:val="24"/>
          <w:szCs w:val="24"/>
        </w:rPr>
        <w:t xml:space="preserve">в соответствии с договором безвозмездного пользования земельным участком для ведения садоводства, заключаемый с некоммерческой организацией, созданной гражданами;</w:t>
      </w:r>
      <w:r>
        <w:rPr>
          <w:sz w:val="24"/>
          <w:szCs w:val="24"/>
        </w:rPr>
      </w:r>
      <w:r/>
    </w:p>
    <w:p>
      <w:pPr>
        <w:ind w:firstLine="567"/>
        <w:jc w:val="both"/>
        <w:widowControl/>
      </w:pPr>
      <w:r>
        <w:rPr>
          <w:sz w:val="24"/>
          <w:szCs w:val="24"/>
        </w:rPr>
        <w:t xml:space="preserve">в соответствии с договором аренды земельного участка, находящегося в муниципальной собственности, заключенным с юридическим лицом в целях ведения дачного хозяйства;</w:t>
      </w:r>
      <w:r>
        <w:rPr>
          <w:sz w:val="24"/>
          <w:szCs w:val="24"/>
        </w:rPr>
      </w:r>
      <w:r/>
    </w:p>
    <w:p>
      <w:pPr>
        <w:ind w:firstLine="567"/>
        <w:jc w:val="both"/>
        <w:widowControl/>
      </w:pPr>
      <w:r>
        <w:rPr>
          <w:sz w:val="24"/>
          <w:szCs w:val="24"/>
        </w:rPr>
        <w:t xml:space="preserve">при о</w:t>
      </w:r>
      <w:r>
        <w:rPr>
          <w:sz w:val="24"/>
          <w:szCs w:val="24"/>
        </w:rPr>
        <w:t xml:space="preserve">бмене земельного участка, находящегося в муниципальной собственности, на земельный участок, который находится в частной собственности и предназначен (в соответствии с утверждёнными проектом планировки территории и проектом межевания территории) для размеще</w:t>
      </w:r>
      <w:r>
        <w:rPr>
          <w:sz w:val="24"/>
          <w:szCs w:val="24"/>
        </w:rPr>
        <w:t xml:space="preserve">ния объекта социальной инфраструктуры (если размещение объекта социальной инфраструктуры необходимо для соблюдения нормативов градостроительного проектирования), объектов инженерной и транспортной инфраструктур или на котором расположены указанные объекты;</w:t>
      </w:r>
      <w:r>
        <w:rPr>
          <w:sz w:val="24"/>
          <w:szCs w:val="24"/>
        </w:rPr>
      </w:r>
      <w:r/>
    </w:p>
    <w:p>
      <w:pPr>
        <w:ind w:firstLine="567"/>
        <w:jc w:val="both"/>
        <w:widowControl/>
      </w:pPr>
      <w:r>
        <w:rPr>
          <w:sz w:val="24"/>
          <w:szCs w:val="24"/>
        </w:rPr>
        <w:t xml:space="preserve">в целях резервирования земель для муниципальных нужд;</w:t>
      </w:r>
      <w:r>
        <w:rPr>
          <w:sz w:val="24"/>
          <w:szCs w:val="24"/>
        </w:rPr>
      </w:r>
      <w:r/>
    </w:p>
    <w:p>
      <w:pPr>
        <w:ind w:firstLine="567"/>
        <w:jc w:val="both"/>
        <w:widowControl/>
      </w:pPr>
      <w:r>
        <w:rPr>
          <w:sz w:val="24"/>
          <w:szCs w:val="24"/>
        </w:rPr>
        <w:t xml:space="preserve">в иных случаях, предусмотренных Градостроительным кодексом РФ.</w:t>
      </w:r>
      <w:r>
        <w:rPr>
          <w:sz w:val="24"/>
          <w:szCs w:val="24"/>
        </w:rPr>
      </w:r>
      <w:r/>
    </w:p>
    <w:p>
      <w:pPr>
        <w:ind w:firstLine="567"/>
        <w:jc w:val="both"/>
        <w:widowControl/>
        <w:tabs>
          <w:tab w:val="left" w:pos="851" w:leader="none"/>
        </w:tabs>
      </w:pPr>
      <w:r>
        <w:rPr>
          <w:sz w:val="24"/>
          <w:szCs w:val="24"/>
        </w:rPr>
        <w:t xml:space="preserve">3. Подготовка проекта межевания территории должна осуществляться в следующих случаях:</w:t>
      </w:r>
      <w:r>
        <w:rPr>
          <w:sz w:val="24"/>
          <w:szCs w:val="24"/>
        </w:rPr>
      </w:r>
      <w:r/>
    </w:p>
    <w:p>
      <w:pPr>
        <w:ind w:firstLine="567"/>
        <w:jc w:val="both"/>
        <w:widowControl/>
      </w:pPr>
      <w:r>
        <w:rPr>
          <w:sz w:val="24"/>
          <w:szCs w:val="24"/>
        </w:rPr>
        <w:t xml:space="preserve">в целях раздела земельного участка, предоставленного некоммерческой организации, созданной гражданами, для ведения садоводства, огородничества, дачного хозяйства;</w:t>
      </w:r>
      <w:r>
        <w:rPr>
          <w:sz w:val="24"/>
          <w:szCs w:val="24"/>
        </w:rPr>
      </w:r>
      <w:r/>
    </w:p>
    <w:p>
      <w:pPr>
        <w:ind w:firstLine="567"/>
        <w:jc w:val="both"/>
        <w:widowControl/>
      </w:pPr>
      <w:r>
        <w:rPr>
          <w:sz w:val="24"/>
          <w:szCs w:val="24"/>
        </w:rPr>
        <w:t xml:space="preserve">в целях раздела земельного участка, предоставленного для комплексного освоения;</w:t>
      </w:r>
      <w:r>
        <w:rPr>
          <w:sz w:val="24"/>
          <w:szCs w:val="24"/>
        </w:rPr>
      </w:r>
      <w:r/>
    </w:p>
    <w:p>
      <w:pPr>
        <w:ind w:firstLine="567"/>
        <w:jc w:val="both"/>
        <w:widowControl/>
      </w:pPr>
      <w:r>
        <w:rPr>
          <w:sz w:val="24"/>
          <w:szCs w:val="24"/>
        </w:rPr>
        <w:t xml:space="preserve">в соответствии с договором безвозмездного пользования земельным участком для ведения огородничества, заключаемым с некоммерческой организацией, созданной гражданами;</w:t>
      </w:r>
      <w:r>
        <w:rPr>
          <w:sz w:val="24"/>
          <w:szCs w:val="24"/>
        </w:rPr>
      </w:r>
      <w:r/>
    </w:p>
    <w:p>
      <w:pPr>
        <w:ind w:firstLine="567"/>
        <w:jc w:val="both"/>
        <w:widowControl/>
      </w:pPr>
      <w:r>
        <w:rPr>
          <w:sz w:val="24"/>
          <w:szCs w:val="24"/>
        </w:rPr>
        <w:t xml:space="preserve">в иных случаях, предусмотренных Градостроительным кодексом РФ.</w:t>
      </w:r>
      <w:r>
        <w:rPr>
          <w:sz w:val="24"/>
          <w:szCs w:val="24"/>
        </w:rPr>
      </w:r>
      <w:r/>
    </w:p>
    <w:p>
      <w:pPr>
        <w:ind w:firstLine="567"/>
        <w:jc w:val="both"/>
        <w:widowControl/>
        <w:tabs>
          <w:tab w:val="left" w:pos="851" w:leader="none"/>
        </w:tabs>
      </w:pPr>
      <w:r>
        <w:rPr>
          <w:sz w:val="24"/>
          <w:szCs w:val="24"/>
        </w:rPr>
        <w:t xml:space="preserve">4. Подготовка проекта межевания территории может осуществляться: </w:t>
      </w:r>
      <w:r>
        <w:rPr>
          <w:sz w:val="24"/>
          <w:szCs w:val="24"/>
        </w:rPr>
      </w:r>
      <w:r/>
    </w:p>
    <w:p>
      <w:pPr>
        <w:ind w:firstLine="567"/>
        <w:jc w:val="both"/>
        <w:widowControl/>
      </w:pPr>
      <w:r>
        <w:rPr>
          <w:sz w:val="24"/>
          <w:szCs w:val="24"/>
        </w:rPr>
        <w:t xml:space="preserve">в целях образования земельного участка, находящегося в муниципальной собственности, для его предоставления в собственность, аренду, постоянное (бессрочное) пользование, безвозмездное пользование без проведения торгов;</w:t>
      </w:r>
      <w:r>
        <w:rPr>
          <w:sz w:val="24"/>
          <w:szCs w:val="24"/>
        </w:rPr>
      </w:r>
      <w:r/>
    </w:p>
    <w:p>
      <w:pPr>
        <w:ind w:firstLine="567"/>
        <w:jc w:val="both"/>
        <w:widowControl/>
      </w:pPr>
      <w:r>
        <w:rPr>
          <w:sz w:val="24"/>
          <w:szCs w:val="24"/>
        </w:rPr>
        <w:t xml:space="preserve">в целях образования земельного участка, находящегося в муниципальной собственности, для его продажи или предоставления в аренду путём проведения аукциона;</w:t>
      </w:r>
      <w:r>
        <w:rPr>
          <w:sz w:val="24"/>
          <w:szCs w:val="24"/>
        </w:rPr>
      </w:r>
      <w:r/>
    </w:p>
    <w:p>
      <w:pPr>
        <w:ind w:firstLine="567"/>
        <w:jc w:val="both"/>
        <w:widowControl/>
      </w:pPr>
      <w:r>
        <w:rPr>
          <w:sz w:val="24"/>
          <w:szCs w:val="24"/>
        </w:rPr>
        <w:t xml:space="preserve">в случае перераспределения земель и (или) земельных участков, находящихся в муниципальной собственности, между собой</w:t>
      </w:r>
      <w:r>
        <w:rPr>
          <w:sz w:val="24"/>
          <w:szCs w:val="24"/>
        </w:rPr>
      </w:r>
      <w:r/>
    </w:p>
    <w:p>
      <w:pPr>
        <w:ind w:firstLine="567"/>
        <w:jc w:val="both"/>
        <w:widowControl/>
      </w:pPr>
      <w:r>
        <w:rPr>
          <w:sz w:val="24"/>
          <w:szCs w:val="24"/>
        </w:rPr>
        <w:t xml:space="preserve">в случае безвозмездной передачи земельных участков, находящихся в федеральной собственности, в муниципальную собственность;</w:t>
      </w:r>
      <w:r>
        <w:rPr>
          <w:sz w:val="24"/>
          <w:szCs w:val="24"/>
        </w:rPr>
      </w:r>
      <w:r/>
    </w:p>
    <w:p>
      <w:pPr>
        <w:ind w:firstLine="567"/>
        <w:jc w:val="both"/>
        <w:widowControl/>
      </w:pPr>
      <w:r>
        <w:rPr>
          <w:sz w:val="24"/>
          <w:szCs w:val="24"/>
        </w:rPr>
        <w:t xml:space="preserve">в случае изъятия земельных участков для муниципальных нужд, в том числе для размещения объектов местного значения</w:t>
      </w:r>
      <w:r>
        <w:rPr>
          <w:sz w:val="24"/>
          <w:szCs w:val="24"/>
        </w:rPr>
      </w:r>
      <w:r/>
    </w:p>
    <w:p>
      <w:pPr>
        <w:ind w:firstLine="567"/>
        <w:jc w:val="both"/>
        <w:widowControl/>
      </w:pPr>
      <w:r>
        <w:rPr>
          <w:sz w:val="24"/>
          <w:szCs w:val="24"/>
        </w:rPr>
        <w:t xml:space="preserve">в иных случаях, предусмотренных Градостроительным кодексом РФ.</w:t>
      </w:r>
      <w:r>
        <w:rPr>
          <w:sz w:val="24"/>
          <w:szCs w:val="24"/>
        </w:rPr>
      </w:r>
      <w:r/>
    </w:p>
    <w:p>
      <w:pPr>
        <w:ind w:firstLine="567"/>
        <w:jc w:val="both"/>
        <w:keepNext/>
        <w:widowControl/>
        <w:tabs>
          <w:tab w:val="left" w:pos="1276" w:leader="none"/>
        </w:tabs>
        <w:outlineLvl w:val="2"/>
      </w:pPr>
      <w:r/>
      <w:bookmarkStart w:id="0" w:name="undefined"/>
      <w:r/>
      <w:bookmarkStart w:id="0" w:name="undefined"/>
      <w:r>
        <w:rPr>
          <w:b/>
          <w:bCs/>
          <w:sz w:val="24"/>
          <w:szCs w:val="24"/>
        </w:rPr>
        <w:t xml:space="preserve">Статья 13.</w:t>
      </w:r>
      <w:r>
        <w:rPr>
          <w:b/>
          <w:bCs/>
          <w:sz w:val="24"/>
          <w:szCs w:val="24"/>
        </w:rPr>
        <w:t xml:space="preserve"> </w:t>
      </w:r>
      <w:r>
        <w:rPr>
          <w:b/>
          <w:sz w:val="24"/>
          <w:szCs w:val="24"/>
        </w:rPr>
        <w:t xml:space="preserve">Порядок подготовки документации по планировке территории</w:t>
      </w:r>
      <w:bookmarkEnd w:id="0"/>
      <w:r>
        <w:rPr>
          <w:b/>
          <w:sz w:val="24"/>
          <w:szCs w:val="24"/>
        </w:rPr>
      </w:r>
      <w:r/>
    </w:p>
    <w:p>
      <w:pPr>
        <w:numPr>
          <w:ilvl w:val="0"/>
          <w:numId w:val="33"/>
        </w:numPr>
        <w:ind w:left="0" w:firstLine="567"/>
        <w:jc w:val="both"/>
        <w:widowControl/>
        <w:tabs>
          <w:tab w:val="left" w:pos="1180" w:leader="none"/>
        </w:tabs>
      </w:pPr>
      <w:r>
        <w:rPr>
          <w:sz w:val="24"/>
          <w:szCs w:val="24"/>
        </w:rPr>
        <w:t xml:space="preserve">Подготовка документации по планировке территории осуществляется на основании документов территориального планирования, правил</w:t>
      </w:r>
      <w:r>
        <w:rPr>
          <w:sz w:val="24"/>
          <w:szCs w:val="24"/>
        </w:rPr>
        <w:t xml:space="preserve">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w:t>
      </w:r>
      <w:r>
        <w:rPr>
          <w:sz w:val="24"/>
          <w:szCs w:val="24"/>
        </w:rPr>
        <w:t xml:space="preserve">развития транспортной инфраструктуры, прог</w:t>
      </w:r>
      <w:r>
        <w:rPr>
          <w:sz w:val="24"/>
          <w:szCs w:val="24"/>
        </w:rPr>
        <w:t xml:space="preserve">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w:t>
      </w:r>
      <w:r>
        <w:rPr>
          <w:sz w:val="24"/>
          <w:szCs w:val="24"/>
        </w:rPr>
        <w:t xml:space="preserve">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r>
        <w:rPr>
          <w:sz w:val="24"/>
          <w:szCs w:val="24"/>
        </w:rPr>
      </w:r>
      <w:r/>
    </w:p>
    <w:p>
      <w:pPr>
        <w:ind w:firstLine="567"/>
        <w:jc w:val="both"/>
        <w:tabs>
          <w:tab w:val="left" w:pos="1180" w:leader="none"/>
        </w:tabs>
      </w:pPr>
      <w:r>
        <w:rPr>
          <w:rFonts w:eastAsia="Calibri"/>
          <w:sz w:val="24"/>
          <w:szCs w:val="24"/>
          <w:shd w:val="clear" w:color="auto" w:fill="ffffff"/>
          <w:lang w:eastAsia="en-US"/>
        </w:rPr>
        <w:t xml:space="preserve">Не допускается осуществлять подготовку документации по планировке территории (за исключением случая, предусмотренного </w:t>
      </w:r>
      <w:hyperlink r:id="rId14" w:tooltip="https://internet.garant.ru/#/document/12138258/entry/1806" w:anchor="/document/12138258/entry/1806" w:history="1">
        <w:r>
          <w:rPr>
            <w:rFonts w:eastAsia="Calibri"/>
            <w:sz w:val="24"/>
            <w:szCs w:val="24"/>
            <w:shd w:val="clear" w:color="auto" w:fill="ffffff"/>
            <w:lang w:eastAsia="en-US"/>
          </w:rPr>
          <w:t xml:space="preserve">частью 6 статьи 18</w:t>
        </w:r>
      </w:hyperlink>
      <w:r>
        <w:rPr>
          <w:rFonts w:eastAsia="Calibri"/>
          <w:sz w:val="24"/>
          <w:szCs w:val="24"/>
          <w:shd w:val="clear" w:color="auto" w:fill="ffffff"/>
          <w:lang w:eastAsia="en-US"/>
        </w:rPr>
        <w:t xml:space="preserve">  настоящего Кодекса), предусматривающей размещение объектов местного значения поселения в областях, указанных в пункте 1 части 5 статьи 23 настоящего Кодекса, </w:t>
      </w:r>
      <w:r>
        <w:rPr>
          <w:sz w:val="24"/>
          <w:szCs w:val="24"/>
          <w:shd w:val="clear" w:color="auto" w:fill="ffffff"/>
        </w:rPr>
        <w:t xml:space="preserve">если размещение таких объектов не предусмотрено соответственно документами территориального планирования (ч.6 ст.45 ГрК РФ).</w:t>
      </w:r>
      <w:r>
        <w:rPr>
          <w:sz w:val="24"/>
          <w:szCs w:val="24"/>
        </w:rPr>
      </w:r>
      <w:r/>
    </w:p>
    <w:p>
      <w:pPr>
        <w:numPr>
          <w:ilvl w:val="0"/>
          <w:numId w:val="33"/>
        </w:numPr>
        <w:ind w:left="0" w:firstLine="567"/>
        <w:jc w:val="both"/>
        <w:widowControl/>
        <w:tabs>
          <w:tab w:val="left" w:pos="1098" w:leader="none"/>
        </w:tabs>
      </w:pPr>
      <w:r>
        <w:rPr>
          <w:sz w:val="24"/>
          <w:szCs w:val="24"/>
        </w:rPr>
        <w:t xml:space="preserve">Решение о подготовке документации по планировке территории принимается </w:t>
      </w:r>
      <w:r>
        <w:rPr>
          <w:sz w:val="24"/>
          <w:szCs w:val="24"/>
        </w:rPr>
        <w:t xml:space="preserve">администрацией ОМС по инициативе самого ОМС, либо на основании предложений физических или юридических лиц о подготовке документации по планировке территории, за исключением случая, указанного в части 3 настоящей статьи.</w:t>
      </w:r>
      <w:r>
        <w:rPr>
          <w:sz w:val="24"/>
          <w:szCs w:val="24"/>
        </w:rPr>
      </w:r>
      <w:r/>
    </w:p>
    <w:p>
      <w:pPr>
        <w:numPr>
          <w:ilvl w:val="1"/>
          <w:numId w:val="33"/>
        </w:numPr>
        <w:ind w:left="0" w:firstLine="567"/>
        <w:jc w:val="both"/>
        <w:widowControl/>
        <w:tabs>
          <w:tab w:val="left" w:pos="1223" w:leader="none"/>
        </w:tabs>
      </w:pPr>
      <w:r>
        <w:rPr>
          <w:sz w:val="24"/>
          <w:szCs w:val="24"/>
        </w:rPr>
        <w:t xml:space="preserve">Решения о подготовке документации по планировке территории принимаются самостоятельно:</w:t>
      </w:r>
      <w:r>
        <w:rPr>
          <w:sz w:val="24"/>
          <w:szCs w:val="24"/>
        </w:rPr>
      </w:r>
      <w:r/>
    </w:p>
    <w:p>
      <w:pPr>
        <w:ind w:firstLine="567"/>
        <w:jc w:val="both"/>
        <w:widowControl/>
        <w:tabs>
          <w:tab w:val="left" w:pos="851" w:leader="none"/>
        </w:tabs>
      </w:pPr>
      <w:r>
        <w:rPr>
          <w:sz w:val="24"/>
          <w:szCs w:val="24"/>
        </w:rPr>
        <w:t xml:space="preserve">1) лицами, с которыми заключены договоры о комплексном развитии территории;</w:t>
      </w:r>
      <w:r>
        <w:rPr>
          <w:sz w:val="24"/>
          <w:szCs w:val="24"/>
        </w:rPr>
      </w:r>
      <w:r/>
    </w:p>
    <w:p>
      <w:pPr>
        <w:ind w:firstLine="567"/>
        <w:jc w:val="both"/>
        <w:widowControl/>
        <w:tabs>
          <w:tab w:val="left" w:pos="851" w:leader="none"/>
        </w:tabs>
      </w:pPr>
      <w:r>
        <w:rPr>
          <w:sz w:val="24"/>
          <w:szCs w:val="24"/>
        </w:rPr>
        <w:t xml:space="preserve">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статьи 45 </w:t>
      </w:r>
      <w:r>
        <w:rPr>
          <w:sz w:val="24"/>
          <w:szCs w:val="24"/>
        </w:rPr>
        <w:t xml:space="preserve">ГрК РФ</w:t>
      </w:r>
      <w:r>
        <w:rPr>
          <w:sz w:val="24"/>
          <w:szCs w:val="24"/>
        </w:rPr>
        <w:t xml:space="preserve">);</w:t>
      </w:r>
      <w:r>
        <w:rPr>
          <w:sz w:val="24"/>
          <w:szCs w:val="24"/>
        </w:rPr>
      </w:r>
      <w:r/>
    </w:p>
    <w:p>
      <w:pPr>
        <w:ind w:firstLine="567"/>
        <w:jc w:val="both"/>
        <w:widowControl/>
        <w:tabs>
          <w:tab w:val="left" w:pos="851" w:leader="none"/>
        </w:tabs>
      </w:pPr>
      <w:r>
        <w:rPr>
          <w:sz w:val="24"/>
          <w:szCs w:val="24"/>
        </w:rPr>
        <w:t xml:space="preserve">3) субъектами естественных монополий, орган</w:t>
      </w:r>
      <w:r>
        <w:rPr>
          <w:sz w:val="24"/>
          <w:szCs w:val="24"/>
        </w:rPr>
        <w:t xml:space="preserve">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12.12 статьи45 </w:t>
      </w:r>
      <w:r>
        <w:rPr>
          <w:sz w:val="24"/>
          <w:szCs w:val="24"/>
        </w:rPr>
        <w:t xml:space="preserve">ГрК РФ</w:t>
      </w:r>
      <w:r>
        <w:rPr>
          <w:sz w:val="24"/>
          <w:szCs w:val="24"/>
        </w:rPr>
        <w:t xml:space="preserve">);</w:t>
      </w:r>
      <w:r>
        <w:rPr>
          <w:sz w:val="24"/>
          <w:szCs w:val="24"/>
        </w:rPr>
      </w:r>
      <w:r/>
    </w:p>
    <w:p>
      <w:pPr>
        <w:ind w:firstLine="567"/>
        <w:jc w:val="both"/>
        <w:widowControl/>
        <w:tabs>
          <w:tab w:val="left" w:pos="851" w:leader="none"/>
        </w:tabs>
      </w:pPr>
      <w:r>
        <w:rPr>
          <w:sz w:val="24"/>
          <w:szCs w:val="24"/>
        </w:rPr>
        <w:t xml:space="preserve">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r>
        <w:rPr>
          <w:sz w:val="24"/>
          <w:szCs w:val="24"/>
        </w:rPr>
      </w:r>
      <w:r/>
    </w:p>
    <w:p>
      <w:pPr>
        <w:ind w:firstLine="567"/>
        <w:jc w:val="both"/>
        <w:widowControl/>
        <w:tabs>
          <w:tab w:val="left" w:pos="851" w:leader="none"/>
        </w:tabs>
      </w:pPr>
      <w:r>
        <w:rPr>
          <w:sz w:val="24"/>
          <w:szCs w:val="24"/>
        </w:rPr>
        <w:t xml:space="preserve">В случаях, предусмотренных частью 2.1 настоящей статьи, подготовка документации по планировке территории осуществляется указанными лицами за счет их средств самостоят</w:t>
      </w:r>
      <w:r>
        <w:rPr>
          <w:sz w:val="24"/>
          <w:szCs w:val="24"/>
        </w:rPr>
        <w:t xml:space="preserve">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r>
        <w:rPr>
          <w:sz w:val="24"/>
          <w:szCs w:val="24"/>
        </w:rPr>
      </w:r>
      <w:r/>
    </w:p>
    <w:p>
      <w:pPr>
        <w:ind w:firstLine="567"/>
        <w:jc w:val="both"/>
        <w:widowControl/>
        <w:tabs>
          <w:tab w:val="left" w:pos="851" w:leader="none"/>
        </w:tabs>
      </w:pPr>
      <w:r>
        <w:rPr>
          <w:rFonts w:eastAsia="Calibri"/>
          <w:sz w:val="24"/>
          <w:szCs w:val="24"/>
          <w:shd w:val="clear" w:color="auto" w:fill="ffffff"/>
          <w:lang w:eastAsia="en-US"/>
        </w:rPr>
        <w:t xml:space="preserve">Лица, указанные в </w:t>
      </w:r>
      <w:hyperlink r:id="rId15" w:tooltip="https://internet.garant.ru/#/document/12138258/entry/45113" w:anchor="/document/12138258/entry/45113" w:history="1">
        <w:r>
          <w:rPr>
            <w:rFonts w:eastAsia="Calibri"/>
            <w:sz w:val="24"/>
            <w:szCs w:val="24"/>
            <w:shd w:val="clear" w:color="auto" w:fill="ffffff"/>
            <w:lang w:eastAsia="en-US"/>
          </w:rPr>
          <w:t xml:space="preserve">пунктах 2</w:t>
        </w:r>
      </w:hyperlink>
      <w:r>
        <w:rPr>
          <w:rFonts w:eastAsia="Calibri"/>
          <w:sz w:val="24"/>
          <w:szCs w:val="24"/>
          <w:shd w:val="clear" w:color="auto" w:fill="ffffff"/>
          <w:lang w:eastAsia="en-US"/>
        </w:rPr>
        <w:t xml:space="preserve"> и </w:t>
      </w:r>
      <w:hyperlink r:id="rId16" w:tooltip="https://internet.garant.ru/#/document/12138258/entry/45114" w:anchor="/document/12138258/entry/45114" w:history="1">
        <w:r>
          <w:rPr>
            <w:rFonts w:eastAsia="Calibri"/>
            <w:sz w:val="24"/>
            <w:szCs w:val="24"/>
            <w:shd w:val="clear" w:color="auto" w:fill="ffffff"/>
            <w:lang w:eastAsia="en-US"/>
          </w:rPr>
          <w:t xml:space="preserve">3 части 2.1</w:t>
        </w:r>
      </w:hyperlink>
      <w:r>
        <w:rPr>
          <w:rFonts w:eastAsia="Calibri"/>
          <w:sz w:val="24"/>
          <w:szCs w:val="24"/>
          <w:shd w:val="clear" w:color="auto" w:fill="ffffff"/>
          <w:lang w:eastAsia="en-US"/>
        </w:rPr>
        <w:t xml:space="preserve">  настоящей статьи осуществляют подготовку документации по планировке территории в соответствии с требованиями, указанными в </w:t>
      </w:r>
      <w:hyperlink r:id="rId17" w:tooltip="https://internet.garant.ru/#/document/12138258/entry/45010" w:anchor="/document/12138258/entry/45010" w:history="1">
        <w:r>
          <w:rPr>
            <w:rFonts w:eastAsia="Calibri"/>
            <w:sz w:val="24"/>
            <w:szCs w:val="24"/>
            <w:shd w:val="clear" w:color="auto" w:fill="ffffff"/>
            <w:lang w:eastAsia="en-US"/>
          </w:rPr>
          <w:t xml:space="preserve">части 1</w:t>
        </w:r>
      </w:hyperlink>
      <w:r>
        <w:rPr>
          <w:rFonts w:eastAsia="Calibri"/>
          <w:sz w:val="24"/>
          <w:szCs w:val="24"/>
          <w:shd w:val="clear" w:color="auto" w:fill="ffffff"/>
          <w:lang w:eastAsia="en-US"/>
        </w:rPr>
        <w:t xml:space="preserve"> настоящей статьи, и направляют такую документацию для утверждения уполномоченным органом местного самоуправления. </w:t>
      </w:r>
      <w:r>
        <w:rPr>
          <w:rFonts w:eastAsia="Calibri"/>
          <w:sz w:val="24"/>
          <w:szCs w:val="24"/>
          <w:shd w:val="clear" w:color="auto" w:fill="ffffff"/>
          <w:lang w:eastAsia="en-US"/>
        </w:rPr>
      </w:r>
      <w:r/>
    </w:p>
    <w:p>
      <w:pPr>
        <w:ind w:firstLine="567"/>
        <w:jc w:val="both"/>
        <w:widowControl/>
        <w:tabs>
          <w:tab w:val="left" w:pos="851" w:leader="none"/>
        </w:tabs>
      </w:pPr>
      <w:r>
        <w:rPr>
          <w:rFonts w:eastAsia="Calibri"/>
          <w:sz w:val="24"/>
          <w:szCs w:val="24"/>
          <w:shd w:val="clear" w:color="auto" w:fill="ffffff"/>
          <w:lang w:eastAsia="en-US"/>
        </w:rPr>
        <w:t xml:space="preserve">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w:t>
      </w:r>
      <w:hyperlink r:id="rId18" w:tooltip="https://internet.garant.ru/#/document/12138258/entry/4504" w:anchor="/document/12138258/entry/4504" w:history="1">
        <w:r>
          <w:rPr>
            <w:rFonts w:eastAsia="Calibri"/>
            <w:sz w:val="24"/>
            <w:szCs w:val="24"/>
            <w:shd w:val="clear" w:color="auto" w:fill="ffffff"/>
            <w:lang w:eastAsia="en-US"/>
          </w:rPr>
          <w:t xml:space="preserve">части</w:t>
        </w:r>
      </w:hyperlink>
      <w:r>
        <w:rPr>
          <w:rFonts w:eastAsia="Calibri"/>
          <w:sz w:val="24"/>
          <w:szCs w:val="24"/>
          <w:lang w:eastAsia="en-US"/>
        </w:rPr>
        <w:t xml:space="preserve"> 5.2 статьи 45 </w:t>
      </w:r>
      <w:r>
        <w:rPr>
          <w:rFonts w:eastAsia="Calibri"/>
          <w:sz w:val="24"/>
          <w:szCs w:val="24"/>
          <w:lang w:eastAsia="en-US"/>
        </w:rPr>
        <w:t xml:space="preserve">ГрК РФ</w:t>
      </w:r>
      <w:r>
        <w:rPr>
          <w:rFonts w:eastAsia="Calibri"/>
          <w:sz w:val="24"/>
          <w:szCs w:val="24"/>
          <w:shd w:val="clear" w:color="auto" w:fill="ffffff"/>
          <w:lang w:eastAsia="en-US"/>
        </w:rPr>
        <w:t xml:space="preserve">, подготовленной в том числе лицами, указанными в </w:t>
      </w:r>
      <w:hyperlink r:id="rId19" w:tooltip="https://internet.garant.ru/#/document/12138258/entry/45113" w:anchor="/document/12138258/entry/45113" w:history="1">
        <w:r>
          <w:rPr>
            <w:rFonts w:eastAsia="Calibri"/>
            <w:sz w:val="24"/>
            <w:szCs w:val="24"/>
            <w:shd w:val="clear" w:color="auto" w:fill="ffffff"/>
            <w:lang w:eastAsia="en-US"/>
          </w:rPr>
          <w:t xml:space="preserve">пунктах 2</w:t>
        </w:r>
      </w:hyperlink>
      <w:r>
        <w:rPr>
          <w:rFonts w:eastAsia="Calibri"/>
          <w:sz w:val="24"/>
          <w:szCs w:val="24"/>
          <w:shd w:val="clear" w:color="auto" w:fill="ffffff"/>
          <w:lang w:eastAsia="en-US"/>
        </w:rPr>
        <w:t xml:space="preserve"> и </w:t>
      </w:r>
      <w:hyperlink r:id="rId20" w:tooltip="https://internet.garant.ru/#/document/12138258/entry/45114" w:anchor="/document/12138258/entry/45114" w:history="1">
        <w:r>
          <w:rPr>
            <w:rFonts w:eastAsia="Calibri"/>
            <w:sz w:val="24"/>
            <w:szCs w:val="24"/>
            <w:shd w:val="clear" w:color="auto" w:fill="ffffff"/>
            <w:lang w:eastAsia="en-US"/>
          </w:rPr>
          <w:t xml:space="preserve">3 части 2.1</w:t>
        </w:r>
      </w:hyperlink>
      <w:r>
        <w:rPr>
          <w:rFonts w:eastAsia="Calibri"/>
          <w:sz w:val="24"/>
          <w:szCs w:val="24"/>
          <w:shd w:val="clear" w:color="auto" w:fill="ffffff"/>
          <w:lang w:eastAsia="en-US"/>
        </w:rPr>
        <w:t xml:space="preserve">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w:t>
      </w:r>
      <w:r>
        <w:rPr>
          <w:rFonts w:eastAsia="Calibri"/>
          <w:sz w:val="24"/>
          <w:szCs w:val="24"/>
          <w:lang w:eastAsia="en-US"/>
        </w:rPr>
        <w:t xml:space="preserve">Градостроительным кодексом Российской Федерации</w:t>
      </w:r>
      <w:r>
        <w:rPr>
          <w:rFonts w:eastAsia="Calibri"/>
          <w:sz w:val="24"/>
          <w:szCs w:val="24"/>
          <w:shd w:val="clear" w:color="auto" w:fill="ffffff"/>
          <w:lang w:eastAsia="en-US"/>
        </w:rPr>
        <w:t xml:space="preserve"> и нормативными правовыми актами органов местного самоуправления (ч. 20 ст. 45 ГрК РФ).</w:t>
      </w:r>
      <w:r>
        <w:rPr>
          <w:rFonts w:eastAsia="Calibri"/>
          <w:sz w:val="24"/>
          <w:szCs w:val="24"/>
          <w:shd w:val="clear" w:color="auto" w:fill="ffffff"/>
          <w:lang w:eastAsia="en-US"/>
        </w:rPr>
      </w:r>
      <w:r/>
    </w:p>
    <w:p>
      <w:pPr>
        <w:ind w:firstLine="567"/>
        <w:jc w:val="both"/>
        <w:tabs>
          <w:tab w:val="left" w:pos="1233" w:leader="none"/>
        </w:tabs>
      </w:pPr>
      <w:r>
        <w:rPr>
          <w:sz w:val="24"/>
          <w:szCs w:val="24"/>
        </w:rPr>
        <w:t xml:space="preserve">2.2. Органы местного самоуправления поселения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статьи 45 </w:t>
      </w:r>
      <w:r>
        <w:rPr>
          <w:sz w:val="24"/>
          <w:szCs w:val="24"/>
        </w:rPr>
        <w:t xml:space="preserve">ГрК РФ</w:t>
      </w:r>
      <w:r>
        <w:rPr>
          <w:sz w:val="24"/>
          <w:szCs w:val="24"/>
        </w:rPr>
        <w:t xml:space="preserve">, и утверждают документацию по планировке территории в границах поселения, за исключением случаев, указанных в частях 2 - 4.2, 5.2 статьи 45 </w:t>
      </w:r>
      <w:r>
        <w:rPr>
          <w:sz w:val="24"/>
          <w:szCs w:val="24"/>
        </w:rPr>
        <w:t xml:space="preserve">ГрК РФ</w:t>
      </w:r>
      <w:r>
        <w:rPr>
          <w:sz w:val="24"/>
          <w:szCs w:val="24"/>
        </w:rPr>
        <w:t xml:space="preserve">, с </w:t>
      </w:r>
      <w:r>
        <w:rPr>
          <w:sz w:val="24"/>
          <w:szCs w:val="24"/>
        </w:rPr>
        <w:t xml:space="preserve">учетом особенностей, указанных в части 5.1 статьи 45 </w:t>
      </w:r>
      <w:r>
        <w:rPr>
          <w:sz w:val="24"/>
          <w:szCs w:val="24"/>
        </w:rPr>
        <w:t xml:space="preserve">ГрК РФ</w:t>
      </w:r>
      <w:r>
        <w:rPr>
          <w:sz w:val="24"/>
          <w:szCs w:val="24"/>
        </w:rPr>
        <w:t xml:space="preserve">.</w:t>
      </w:r>
      <w:r>
        <w:rPr>
          <w:sz w:val="24"/>
          <w:szCs w:val="24"/>
        </w:rPr>
      </w:r>
      <w:r/>
    </w:p>
    <w:p>
      <w:pPr>
        <w:numPr>
          <w:ilvl w:val="0"/>
          <w:numId w:val="33"/>
        </w:numPr>
        <w:ind w:left="0" w:firstLine="567"/>
        <w:jc w:val="both"/>
        <w:widowControl/>
        <w:tabs>
          <w:tab w:val="left" w:pos="1081" w:leader="none"/>
        </w:tabs>
      </w:pPr>
      <w:r>
        <w:rPr>
          <w:sz w:val="24"/>
          <w:szCs w:val="24"/>
        </w:rPr>
        <w:t xml:space="preserve">В случае если в отношении соответствующей терри</w:t>
      </w:r>
      <w:r>
        <w:rPr>
          <w:sz w:val="24"/>
          <w:szCs w:val="24"/>
        </w:rPr>
        <w:t xml:space="preserve">тории заключен договор о комплексном освоении территории либо договор о развитии застроенной территории, принятие администрацией ОМС решения о подготовке документации по планировке территории не требуется. Подготовка документации по планировке соответствую</w:t>
      </w:r>
      <w:r>
        <w:rPr>
          <w:sz w:val="24"/>
          <w:szCs w:val="24"/>
        </w:rPr>
        <w:t xml:space="preserve">щей территории осуществляется лицами, с которыми заключены указанные договоры. Документация по планировке территории применительно к территории, подлежащей комплексному развитию по инициативе правообладателей, подготавливается в соответствии со статьей 46 </w:t>
      </w:r>
      <w:r>
        <w:rPr>
          <w:sz w:val="24"/>
          <w:szCs w:val="24"/>
        </w:rPr>
        <w:t xml:space="preserve">ГрК РФ</w:t>
      </w:r>
      <w:r>
        <w:rPr>
          <w:sz w:val="24"/>
          <w:szCs w:val="24"/>
        </w:rPr>
        <w:t xml:space="preserve">.</w:t>
      </w:r>
      <w:r>
        <w:rPr>
          <w:sz w:val="24"/>
          <w:szCs w:val="24"/>
        </w:rPr>
      </w:r>
      <w:r/>
    </w:p>
    <w:p>
      <w:pPr>
        <w:numPr>
          <w:ilvl w:val="0"/>
          <w:numId w:val="33"/>
        </w:numPr>
        <w:ind w:left="0" w:firstLine="567"/>
        <w:jc w:val="both"/>
        <w:widowControl/>
        <w:tabs>
          <w:tab w:val="left" w:pos="1086" w:leader="none"/>
        </w:tabs>
      </w:pPr>
      <w:r>
        <w:rPr>
          <w:sz w:val="24"/>
          <w:szCs w:val="24"/>
        </w:rPr>
        <w:t xml:space="preserve">Указанное в части 2.2 настоящей статьи решение подлежит опубликованию в порядке, установленном </w:t>
      </w:r>
      <w:r>
        <w:rPr>
          <w:sz w:val="24"/>
          <w:szCs w:val="24"/>
        </w:rPr>
        <w:t xml:space="preserve">для официального опубликования муниципальных правовых актов, иной официальной информации, в течение трёх дней со дня принятия такого решения и размещается на официальном сайте муниципального образования в информационно-телекоммуникационной сети «Интернет».</w:t>
      </w:r>
      <w:r>
        <w:rPr>
          <w:sz w:val="24"/>
          <w:szCs w:val="24"/>
        </w:rPr>
      </w:r>
      <w:r/>
    </w:p>
    <w:p>
      <w:pPr>
        <w:numPr>
          <w:ilvl w:val="0"/>
          <w:numId w:val="33"/>
        </w:numPr>
        <w:ind w:left="0" w:firstLine="567"/>
        <w:jc w:val="both"/>
        <w:widowControl/>
        <w:tabs>
          <w:tab w:val="left" w:pos="1120" w:leader="none"/>
        </w:tabs>
      </w:pPr>
      <w:r>
        <w:rPr>
          <w:sz w:val="24"/>
          <w:szCs w:val="24"/>
        </w:rPr>
        <w:t xml:space="preserve">Со дня опубликования решения о подготовке документации по планировке территории физические или юридические лица вправе представить в администрацию ОМС свои предложения о порядке, сроках подготовки и содержании этих документов.</w:t>
      </w:r>
      <w:r>
        <w:rPr>
          <w:sz w:val="24"/>
          <w:szCs w:val="24"/>
        </w:rPr>
      </w:r>
      <w:r/>
    </w:p>
    <w:p>
      <w:pPr>
        <w:numPr>
          <w:ilvl w:val="0"/>
          <w:numId w:val="33"/>
        </w:numPr>
        <w:ind w:left="0" w:firstLine="567"/>
        <w:jc w:val="both"/>
        <w:widowControl/>
        <w:tabs>
          <w:tab w:val="left" w:pos="1120" w:leader="none"/>
        </w:tabs>
      </w:pPr>
      <w:r>
        <w:rPr>
          <w:rFonts w:eastAsia="Calibri"/>
          <w:sz w:val="24"/>
          <w:szCs w:val="24"/>
          <w:shd w:val="clear" w:color="auto" w:fill="ffffff"/>
          <w:lang w:eastAsia="en-US"/>
        </w:rPr>
        <w:t xml:space="preserve">Орган местного самоуправления поселения в течение двадцати рабочих </w:t>
      </w:r>
      <w:r>
        <w:rPr>
          <w:rFonts w:eastAsia="Calibri"/>
          <w:sz w:val="24"/>
          <w:szCs w:val="24"/>
          <w:shd w:val="clear" w:color="auto" w:fill="ffffff"/>
          <w:lang w:eastAsia="en-US"/>
        </w:rPr>
        <w:t xml:space="preserve">дней со дня поступления документации по планировке территории, решение об утверждении которой принимается органом местного самоуправления поселения, осуществляет проверку такой документации на соответствие требованиям, указанным в части 1 настоящей статьи.</w:t>
      </w:r>
      <w:r>
        <w:rPr>
          <w:sz w:val="24"/>
          <w:szCs w:val="24"/>
        </w:rPr>
      </w:r>
      <w:r/>
    </w:p>
    <w:p>
      <w:pPr>
        <w:ind w:firstLine="567"/>
        <w:jc w:val="both"/>
        <w:tabs>
          <w:tab w:val="left" w:pos="1120" w:leader="none"/>
        </w:tabs>
      </w:pPr>
      <w:r>
        <w:rPr>
          <w:rFonts w:eastAsia="Calibri"/>
          <w:sz w:val="24"/>
          <w:szCs w:val="24"/>
          <w:shd w:val="clear" w:color="auto" w:fill="ffffff"/>
          <w:lang w:eastAsia="en-US"/>
        </w:rPr>
        <w:t xml:space="preserve">По результатам проверки ОМС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r>
        <w:rPr>
          <w:sz w:val="24"/>
          <w:szCs w:val="24"/>
        </w:rPr>
      </w:r>
      <w:r/>
    </w:p>
    <w:p>
      <w:pPr>
        <w:numPr>
          <w:ilvl w:val="0"/>
          <w:numId w:val="33"/>
        </w:numPr>
        <w:ind w:left="0" w:firstLine="567"/>
        <w:jc w:val="both"/>
        <w:widowControl/>
        <w:tabs>
          <w:tab w:val="left" w:pos="1074" w:leader="none"/>
        </w:tabs>
      </w:pPr>
      <w:r>
        <w:rPr>
          <w:sz w:val="24"/>
          <w:szCs w:val="24"/>
        </w:rPr>
        <w:t xml:space="preserve">Порядок организации и проведения общественных обсуж</w:t>
      </w:r>
      <w:r>
        <w:rPr>
          <w:sz w:val="24"/>
          <w:szCs w:val="24"/>
        </w:rPr>
        <w:t xml:space="preserve">дений или публичных слушаний по проекту планировки территории и проекту межевания территории определяется Градостроительным кодексом Российской Федерации, Уставом муниципального образования и нормативными правовыми актами Совета муниципального образования.</w:t>
      </w:r>
      <w:r>
        <w:rPr>
          <w:sz w:val="24"/>
          <w:szCs w:val="24"/>
        </w:rPr>
      </w:r>
      <w:r/>
    </w:p>
    <w:p>
      <w:pPr>
        <w:ind w:firstLine="567"/>
        <w:jc w:val="both"/>
        <w:tabs>
          <w:tab w:val="left" w:pos="1074" w:leader="none"/>
        </w:tabs>
      </w:pPr>
      <w:r>
        <w:rPr>
          <w:sz w:val="24"/>
          <w:szCs w:val="24"/>
          <w:shd w:val="clear" w:color="auto" w:fill="ffffff"/>
        </w:rPr>
        <w:t xml:space="preserve">Оповещение о начале общественных обсуждений или публичных слушаний подлежит опубликованию не позднее чем за семь дней до дня размещения на официальном сайте проекта, подлежащего рассмотрению.</w:t>
      </w:r>
      <w:r>
        <w:rPr>
          <w:sz w:val="24"/>
          <w:szCs w:val="24"/>
        </w:rPr>
      </w:r>
      <w:r/>
    </w:p>
    <w:p>
      <w:pPr>
        <w:numPr>
          <w:ilvl w:val="0"/>
          <w:numId w:val="33"/>
        </w:numPr>
        <w:ind w:left="0" w:firstLine="567"/>
        <w:jc w:val="both"/>
        <w:widowControl/>
        <w:tabs>
          <w:tab w:val="left" w:pos="1098" w:leader="none"/>
        </w:tabs>
      </w:pPr>
      <w:r>
        <w:rPr>
          <w:sz w:val="24"/>
          <w:szCs w:val="24"/>
        </w:rPr>
        <w:t xml:space="preserve">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частью 12 статьи 43 и частью 22 статьи 45 </w:t>
      </w:r>
      <w:r>
        <w:rPr>
          <w:sz w:val="24"/>
          <w:szCs w:val="24"/>
        </w:rPr>
        <w:t xml:space="preserve">ГрК РФ</w:t>
      </w:r>
      <w:r>
        <w:rPr>
          <w:sz w:val="24"/>
          <w:szCs w:val="24"/>
        </w:rPr>
        <w:t xml:space="preserve">, а также в случае, если проект планировки территории и проект межевания территории подготовлены в отношении:</w:t>
      </w:r>
      <w:r>
        <w:rPr>
          <w:sz w:val="24"/>
          <w:szCs w:val="24"/>
        </w:rPr>
      </w:r>
      <w:r/>
    </w:p>
    <w:p>
      <w:pPr>
        <w:ind w:firstLine="567"/>
        <w:jc w:val="both"/>
        <w:widowControl/>
        <w:tabs>
          <w:tab w:val="left" w:pos="851" w:leader="none"/>
        </w:tabs>
      </w:pPr>
      <w:r>
        <w:rPr>
          <w:sz w:val="24"/>
          <w:szCs w:val="24"/>
        </w:rPr>
        <w:t xml:space="preserve">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r>
        <w:rPr>
          <w:sz w:val="24"/>
          <w:szCs w:val="24"/>
        </w:rPr>
      </w:r>
      <w:r/>
    </w:p>
    <w:p>
      <w:pPr>
        <w:ind w:firstLine="567"/>
        <w:jc w:val="both"/>
        <w:widowControl/>
        <w:tabs>
          <w:tab w:val="left" w:pos="851" w:leader="none"/>
        </w:tabs>
      </w:pPr>
      <w:r>
        <w:rPr>
          <w:sz w:val="24"/>
          <w:szCs w:val="24"/>
        </w:rPr>
        <w:t xml:space="preserve">2) территории для размещения линейных объектов в границах земель лесного фонда.</w:t>
      </w:r>
      <w:r>
        <w:rPr>
          <w:sz w:val="24"/>
          <w:szCs w:val="24"/>
        </w:rPr>
      </w:r>
      <w:r/>
    </w:p>
    <w:p>
      <w:pPr>
        <w:ind w:firstLine="567"/>
        <w:jc w:val="both"/>
        <w:widowControl/>
        <w:tabs>
          <w:tab w:val="left" w:pos="851" w:leader="none"/>
        </w:tabs>
      </w:pPr>
      <w:r>
        <w:rPr>
          <w:sz w:val="24"/>
          <w:szCs w:val="24"/>
        </w:rPr>
        <w:t xml:space="preserve">В случае внесения изменений в проект планировки </w:t>
      </w:r>
      <w:r>
        <w:rPr>
          <w:sz w:val="24"/>
          <w:szCs w:val="24"/>
        </w:rPr>
        <w:t xml:space="preserve">территории и (или) проект межевания территории (подлежащих обязательному рассмотрению на общественных обсуждениях или публичных слушаниях) путем утверждения их отдельных частей общественные обсуждения или публичные слушания проводятся применительно к таким</w:t>
      </w:r>
      <w:r>
        <w:rPr>
          <w:sz w:val="24"/>
          <w:szCs w:val="24"/>
        </w:rPr>
        <w:t xml:space="preserve"> </w:t>
      </w:r>
      <w:r>
        <w:rPr>
          <w:sz w:val="24"/>
          <w:szCs w:val="24"/>
        </w:rPr>
        <w:t xml:space="preserve">утверждаемым частям.</w:t>
      </w:r>
      <w:r>
        <w:rPr>
          <w:sz w:val="24"/>
          <w:szCs w:val="24"/>
        </w:rPr>
      </w:r>
      <w:r/>
    </w:p>
    <w:p>
      <w:pPr>
        <w:numPr>
          <w:ilvl w:val="0"/>
          <w:numId w:val="33"/>
        </w:numPr>
        <w:ind w:left="0" w:firstLine="567"/>
        <w:jc w:val="both"/>
        <w:widowControl/>
        <w:tabs>
          <w:tab w:val="left" w:pos="1098" w:leader="none"/>
        </w:tabs>
      </w:pPr>
      <w:r>
        <w:rPr>
          <w:sz w:val="24"/>
          <w:szCs w:val="24"/>
        </w:rPr>
        <w:t xml:space="preserve">Заключение о результатах общественных обсуждений или публичных слушаний по проекту планировки территории и проекту межевания территории подлежит опубликованию в порядке, установленном частью 4 настоящей статьи.</w:t>
      </w:r>
      <w:r>
        <w:rPr>
          <w:sz w:val="24"/>
          <w:szCs w:val="24"/>
        </w:rPr>
      </w:r>
      <w:r/>
    </w:p>
    <w:p>
      <w:pPr>
        <w:numPr>
          <w:ilvl w:val="0"/>
          <w:numId w:val="33"/>
        </w:numPr>
        <w:ind w:left="0" w:firstLine="567"/>
        <w:jc w:val="both"/>
        <w:widowControl/>
        <w:tabs>
          <w:tab w:val="left" w:pos="1098" w:leader="none"/>
        </w:tabs>
      </w:pPr>
      <w:r>
        <w:rPr>
          <w:sz w:val="24"/>
          <w:szCs w:val="24"/>
        </w:rPr>
        <w:t xml:space="preserve">Глава ОМС с учетом </w:t>
      </w:r>
      <w:r>
        <w:rPr>
          <w:sz w:val="24"/>
          <w:szCs w:val="24"/>
        </w:rPr>
        <w:t xml:space="preserve">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w:t>
      </w:r>
      <w:r>
        <w:rPr>
          <w:sz w:val="24"/>
          <w:szCs w:val="24"/>
        </w:rPr>
        <w:t xml:space="preserve">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w:t>
      </w:r>
      <w:r>
        <w:rPr>
          <w:sz w:val="24"/>
          <w:szCs w:val="24"/>
        </w:rPr>
        <w:t xml:space="preserve">соответствии с настоящей статьей общественные обсуждения или публичные слушания не проводятся, в срок, указанный в части 4 статьи 46 </w:t>
      </w:r>
      <w:r>
        <w:rPr>
          <w:sz w:val="24"/>
          <w:szCs w:val="24"/>
        </w:rPr>
        <w:t xml:space="preserve">ГрК РФ</w:t>
      </w:r>
      <w:r>
        <w:rPr>
          <w:sz w:val="24"/>
          <w:szCs w:val="24"/>
        </w:rPr>
        <w:t xml:space="preserve">.</w:t>
      </w:r>
      <w:r>
        <w:rPr>
          <w:color w:val="ff0000"/>
          <w:sz w:val="24"/>
          <w:szCs w:val="24"/>
        </w:rPr>
      </w:r>
      <w:r/>
    </w:p>
    <w:p>
      <w:pPr>
        <w:ind w:firstLine="567"/>
        <w:jc w:val="both"/>
        <w:tabs>
          <w:tab w:val="left" w:pos="1098" w:leader="none"/>
        </w:tabs>
      </w:pPr>
      <w:r>
        <w:rPr>
          <w:sz w:val="24"/>
          <w:szCs w:val="24"/>
          <w:shd w:val="clear" w:color="auto" w:fill="ffffff"/>
        </w:rPr>
        <w:t xml:space="preserve">Срок проведения общественных обсуждений или публичных слушаний со дня оповещения жителей муниципального обр</w:t>
      </w:r>
      <w:r>
        <w:rPr>
          <w:sz w:val="24"/>
          <w:szCs w:val="24"/>
          <w:shd w:val="clear" w:color="auto" w:fill="ffffff"/>
        </w:rPr>
        <w:t xml:space="preserve">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w:t>
      </w:r>
      <w:r>
        <w:rPr>
          <w:sz w:val="24"/>
          <w:szCs w:val="24"/>
          <w:shd w:val="clear" w:color="auto" w:fill="ffffff"/>
        </w:rPr>
        <w:t xml:space="preserve">не может быть</w:t>
      </w:r>
      <w:r>
        <w:rPr>
          <w:color w:val="ff0000"/>
          <w:sz w:val="24"/>
          <w:szCs w:val="24"/>
          <w:shd w:val="clear" w:color="auto" w:fill="ffffff"/>
        </w:rPr>
        <w:t xml:space="preserve"> </w:t>
      </w:r>
      <w:r>
        <w:rPr>
          <w:sz w:val="24"/>
          <w:szCs w:val="24"/>
          <w:shd w:val="clear" w:color="auto" w:fill="ffffff"/>
        </w:rPr>
        <w:t xml:space="preserve">менее четырнадцати дней и более тридцати дней</w:t>
      </w:r>
      <w:r>
        <w:rPr>
          <w:sz w:val="24"/>
          <w:szCs w:val="24"/>
          <w:shd w:val="clear" w:color="auto" w:fill="ffffff"/>
        </w:rPr>
        <w:t xml:space="preserve">.</w:t>
      </w:r>
      <w:r>
        <w:rPr>
          <w:sz w:val="24"/>
          <w:szCs w:val="24"/>
        </w:rPr>
      </w:r>
      <w:r/>
    </w:p>
    <w:p>
      <w:pPr>
        <w:numPr>
          <w:ilvl w:val="0"/>
          <w:numId w:val="33"/>
        </w:numPr>
        <w:ind w:left="0" w:firstLine="567"/>
        <w:jc w:val="both"/>
        <w:widowControl/>
        <w:tabs>
          <w:tab w:val="left" w:pos="1098" w:leader="none"/>
        </w:tabs>
      </w:pPr>
      <w:r>
        <w:rPr>
          <w:sz w:val="24"/>
          <w:szCs w:val="24"/>
        </w:rPr>
        <w:t xml:space="preserve">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w:t>
      </w:r>
      <w:r>
        <w:rPr>
          <w:sz w:val="24"/>
          <w:szCs w:val="24"/>
        </w:rPr>
        <w:t xml:space="preserve">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официального сайта муниципального образования) в сети "Интернет".</w:t>
      </w:r>
      <w:r>
        <w:rPr>
          <w:color w:val="ff0000"/>
          <w:sz w:val="24"/>
          <w:szCs w:val="24"/>
        </w:rPr>
      </w:r>
      <w:r/>
    </w:p>
    <w:p>
      <w:pPr>
        <w:ind w:firstLine="567"/>
        <w:jc w:val="both"/>
        <w:tabs>
          <w:tab w:val="left" w:pos="1098" w:leader="none"/>
        </w:tabs>
      </w:pPr>
      <w:r>
        <w:rPr>
          <w:rFonts w:eastAsia="Calibri"/>
          <w:sz w:val="24"/>
          <w:szCs w:val="24"/>
          <w:shd w:val="clear" w:color="auto" w:fill="ffffff"/>
          <w:lang w:eastAsia="en-US"/>
        </w:rPr>
        <w:t xml:space="preserve">12. Основанием для отклонения документации по планировке территории, подготовленной лицами, указанными в </w:t>
      </w:r>
      <w:hyperlink r:id="rId21" w:tooltip="https://internet.garant.ru/#/document/12138258/entry/4511" w:anchor="/document/12138258/entry/4511" w:history="1">
        <w:r>
          <w:rPr>
            <w:rFonts w:eastAsia="Calibri"/>
            <w:sz w:val="24"/>
            <w:szCs w:val="24"/>
            <w:shd w:val="clear" w:color="auto" w:fill="ffffff"/>
            <w:lang w:eastAsia="en-US"/>
          </w:rPr>
          <w:t xml:space="preserve">части 1.1 статьи 45</w:t>
        </w:r>
      </w:hyperlink>
      <w:r>
        <w:rPr>
          <w:rFonts w:eastAsia="Calibri"/>
          <w:sz w:val="24"/>
          <w:szCs w:val="24"/>
          <w:shd w:val="clear" w:color="auto" w:fill="ffffff"/>
          <w:lang w:eastAsia="en-US"/>
        </w:rPr>
        <w:t xml:space="preserve"> настоящего Кодекса, и направления ее на доработку является несоответствие такой документации требованиям, указанным в </w:t>
      </w:r>
      <w:hyperlink r:id="rId22" w:tooltip="https://internet.garant.ru/#/document/12138258/entry/45010" w:anchor="/document/12138258/entry/45010" w:history="1">
        <w:r>
          <w:rPr>
            <w:rFonts w:eastAsia="Calibri"/>
            <w:sz w:val="24"/>
            <w:szCs w:val="24"/>
            <w:shd w:val="clear" w:color="auto" w:fill="ffffff"/>
            <w:lang w:eastAsia="en-US"/>
          </w:rPr>
          <w:t xml:space="preserve">части 10 статьи 45</w:t>
        </w:r>
      </w:hyperlink>
      <w:r>
        <w:rPr>
          <w:rFonts w:eastAsia="Calibri"/>
          <w:sz w:val="24"/>
          <w:szCs w:val="24"/>
          <w:shd w:val="clear" w:color="auto" w:fill="ffffff"/>
          <w:lang w:eastAsia="en-US"/>
        </w:rPr>
        <w:t xml:space="preserve"> настоящего Кодекса. В иных случаях отклонение представленной такими лицами документации по планировке территории не допускается.</w:t>
      </w:r>
      <w:r>
        <w:rPr>
          <w:sz w:val="24"/>
          <w:szCs w:val="24"/>
        </w:rPr>
      </w:r>
      <w:r/>
    </w:p>
    <w:p>
      <w:pPr>
        <w:ind w:firstLine="567"/>
        <w:jc w:val="both"/>
        <w:widowControl/>
        <w:tabs>
          <w:tab w:val="left" w:pos="1098" w:leader="none"/>
        </w:tabs>
      </w:pPr>
      <w:r>
        <w:rPr>
          <w:sz w:val="24"/>
          <w:szCs w:val="24"/>
        </w:rPr>
        <w:t xml:space="preserve">13. </w:t>
      </w:r>
      <w:r>
        <w:rPr>
          <w:sz w:val="24"/>
          <w:szCs w:val="24"/>
        </w:rPr>
        <w:t xml:space="preserve">Органы государственной власти Российской Федерации, органы государственной власти Краснодарского края, органы местного самоуправления муниципального образования </w:t>
      </w:r>
      <w:r>
        <w:rPr>
          <w:sz w:val="24"/>
          <w:szCs w:val="24"/>
        </w:rPr>
        <w:t xml:space="preserve">Кавказский</w:t>
      </w:r>
      <w:r>
        <w:rPr>
          <w:sz w:val="24"/>
          <w:szCs w:val="24"/>
        </w:rPr>
        <w:t xml:space="preserve"> район, физические и юридические лица вправе оспорить в судебном порядке документацию по планировке территории.</w:t>
      </w:r>
      <w:r>
        <w:rPr>
          <w:sz w:val="24"/>
          <w:szCs w:val="24"/>
        </w:rPr>
      </w:r>
      <w:r/>
    </w:p>
    <w:p>
      <w:pPr>
        <w:ind w:firstLine="567"/>
        <w:jc w:val="both"/>
        <w:widowControl/>
        <w:tabs>
          <w:tab w:val="left" w:pos="1098" w:leader="none"/>
        </w:tabs>
      </w:pPr>
      <w:r>
        <w:rPr>
          <w:sz w:val="24"/>
          <w:szCs w:val="24"/>
        </w:rPr>
        <w:t xml:space="preserve">14.</w:t>
      </w:r>
      <w:r>
        <w:rPr>
          <w:sz w:val="24"/>
          <w:szCs w:val="24"/>
        </w:rPr>
        <w:t xml:space="preserve">Утвержденная документация по планировке территории подлежит размещению на официальном сайте</w:t>
      </w:r>
      <w:r>
        <w:rPr>
          <w:sz w:val="24"/>
          <w:szCs w:val="24"/>
        </w:rPr>
        <w:t xml:space="preserve"> администрации муниципального образования Кавказский район</w:t>
      </w:r>
      <w:r>
        <w:rPr>
          <w:sz w:val="24"/>
          <w:szCs w:val="24"/>
        </w:rPr>
        <w:t xml:space="preserve"> в информационно-телекоммуникационной сети «Интернет».</w:t>
      </w:r>
      <w:r>
        <w:rPr>
          <w:sz w:val="24"/>
          <w:szCs w:val="24"/>
        </w:rPr>
      </w:r>
      <w:r/>
    </w:p>
    <w:p>
      <w:pPr>
        <w:ind w:firstLine="567"/>
        <w:jc w:val="both"/>
        <w:widowControl/>
        <w:tabs>
          <w:tab w:val="left" w:pos="1098" w:leader="none"/>
        </w:tabs>
      </w:pPr>
      <w:r>
        <w:rPr>
          <w:sz w:val="24"/>
          <w:szCs w:val="24"/>
        </w:rPr>
        <w:t xml:space="preserve">15.</w:t>
      </w:r>
      <w:r>
        <w:rPr>
          <w:sz w:val="24"/>
          <w:szCs w:val="24"/>
        </w:rPr>
        <w:t xml:space="preserve">Внесение изменений в документацию по планировке территории допускается путем утверждения ее </w:t>
      </w:r>
      <w:r>
        <w:rPr>
          <w:sz w:val="24"/>
          <w:szCs w:val="24"/>
        </w:rPr>
        <w:t xml:space="preserve">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r>
        <w:rPr>
          <w:sz w:val="24"/>
          <w:szCs w:val="24"/>
        </w:rPr>
      </w:r>
      <w:r/>
    </w:p>
    <w:p>
      <w:pPr>
        <w:ind w:firstLine="567"/>
        <w:jc w:val="both"/>
        <w:keepNext/>
        <w:widowControl/>
        <w:outlineLvl w:val="1"/>
      </w:pPr>
      <w:r/>
      <w:bookmarkStart w:id="0" w:name="undefined"/>
      <w:r/>
      <w:bookmarkEnd w:id="0"/>
      <w:r>
        <w:rPr>
          <w:b/>
          <w:bCs/>
          <w:i/>
          <w:iCs/>
          <w:sz w:val="24"/>
          <w:szCs w:val="24"/>
        </w:rPr>
        <w:t xml:space="preserve">Глава 4. Положение о проведении общественных обсуждений или публичных слушаний по вопросам землепользования и застройки</w:t>
      </w:r>
      <w:r>
        <w:rPr>
          <w:b/>
          <w:bCs/>
          <w:i/>
          <w:iCs/>
          <w:sz w:val="24"/>
          <w:szCs w:val="24"/>
        </w:rPr>
      </w:r>
      <w:r/>
    </w:p>
    <w:p>
      <w:pPr>
        <w:ind w:firstLine="567"/>
        <w:jc w:val="both"/>
        <w:keepNext/>
        <w:widowControl/>
        <w:outlineLvl w:val="2"/>
      </w:pPr>
      <w:r/>
      <w:bookmarkStart w:id="0" w:name="undefined"/>
      <w:r/>
      <w:bookmarkStart w:id="0" w:name="undefined"/>
      <w:r>
        <w:rPr>
          <w:b/>
          <w:bCs/>
          <w:sz w:val="24"/>
          <w:szCs w:val="24"/>
        </w:rPr>
        <w:t xml:space="preserve">Статья 14. </w:t>
      </w:r>
      <w:bookmarkEnd w:id="0"/>
      <w:r>
        <w:rPr>
          <w:b/>
          <w:bCs/>
          <w:sz w:val="24"/>
          <w:szCs w:val="24"/>
        </w:rPr>
        <w:t xml:space="preserve">Процедура проведения общественных обсуждений или публичных слушаний</w:t>
      </w:r>
      <w:r>
        <w:rPr>
          <w:b/>
          <w:bCs/>
          <w:sz w:val="24"/>
          <w:szCs w:val="24"/>
        </w:rPr>
      </w:r>
      <w:r/>
    </w:p>
    <w:p>
      <w:pPr>
        <w:ind w:firstLine="567"/>
        <w:jc w:val="both"/>
        <w:widowControl/>
        <w:tabs>
          <w:tab w:val="left" w:pos="851" w:leader="none"/>
        </w:tabs>
      </w:pPr>
      <w:r>
        <w:rPr>
          <w:sz w:val="24"/>
          <w:szCs w:val="24"/>
        </w:rPr>
        <w:t xml:space="preserve">Процедура проведения общественных обсуждений,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решений о предоставлении разрешения на ус</w:t>
      </w:r>
      <w:r>
        <w:rPr>
          <w:sz w:val="24"/>
          <w:szCs w:val="24"/>
        </w:rPr>
        <w:t xml:space="preserve">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Pr>
          <w:sz w:val="24"/>
          <w:szCs w:val="24"/>
        </w:rPr>
        <w:t xml:space="preserve">, в целях утверждения </w:t>
      </w:r>
      <w:r>
        <w:rPr>
          <w:rFonts w:ascii="LiberationSerif" w:hAnsi="LiberationSerif" w:eastAsia="Calibri"/>
          <w:color w:val="000000"/>
          <w:sz w:val="24"/>
          <w:szCs w:val="24"/>
          <w:lang w:eastAsia="en-US"/>
        </w:rPr>
        <w:t xml:space="preserve">схемы расположения земельного участка на кадастровом плане соответствующей территории</w:t>
      </w:r>
      <w:r>
        <w:rPr>
          <w:rFonts w:ascii="LiberationSerif" w:hAnsi="LiberationSerif" w:eastAsia="Calibri"/>
          <w:color w:val="000000"/>
          <w:sz w:val="24"/>
          <w:szCs w:val="24"/>
          <w:lang w:eastAsia="en-US"/>
        </w:rPr>
        <w:t xml:space="preserve">,</w:t>
      </w:r>
      <w:r>
        <w:rPr>
          <w:sz w:val="24"/>
          <w:szCs w:val="24"/>
        </w:rPr>
        <w:t xml:space="preserve"> осуществляется в порядке предусмотренной статьей 5.1 </w:t>
      </w:r>
      <w:r>
        <w:rPr>
          <w:sz w:val="24"/>
          <w:szCs w:val="24"/>
        </w:rPr>
        <w:t xml:space="preserve">ГрК РФ</w:t>
      </w:r>
      <w:r>
        <w:rPr>
          <w:sz w:val="24"/>
          <w:szCs w:val="24"/>
        </w:rPr>
        <w:t xml:space="preserve"> и </w:t>
      </w:r>
      <w:r>
        <w:rPr>
          <w:sz w:val="24"/>
          <w:szCs w:val="24"/>
        </w:rPr>
        <w:t xml:space="preserve">Порядке организации и проведения общественных обсуждений или публичных слушаний по вопросам градостроительной деятельности, утвержденным ОМС</w:t>
      </w:r>
      <w:r>
        <w:rPr>
          <w:sz w:val="24"/>
          <w:szCs w:val="24"/>
        </w:rPr>
        <w:t xml:space="preserve">.</w:t>
      </w:r>
      <w:r>
        <w:rPr>
          <w:sz w:val="24"/>
          <w:szCs w:val="24"/>
        </w:rPr>
      </w:r>
      <w:r/>
    </w:p>
    <w:p>
      <w:pPr>
        <w:ind w:firstLine="567"/>
        <w:jc w:val="both"/>
        <w:keepNext/>
        <w:widowControl/>
        <w:outlineLvl w:val="1"/>
      </w:pPr>
      <w:r/>
      <w:bookmarkStart w:id="0" w:name="undefined"/>
      <w:r/>
      <w:bookmarkStart w:id="0" w:name="undefined"/>
      <w:r/>
      <w:bookmarkStart w:id="0" w:name="undefined"/>
      <w:r/>
      <w:bookmarkStart w:id="0" w:name="undefined"/>
      <w:r/>
      <w:bookmarkStart w:id="0" w:name="undefined"/>
      <w:r>
        <w:rPr>
          <w:b/>
          <w:bCs/>
          <w:i/>
          <w:iCs/>
          <w:sz w:val="24"/>
          <w:szCs w:val="24"/>
        </w:rPr>
        <w:t xml:space="preserve">Глава 5. Положение о внесении изменений в правила землепользования и застройки</w:t>
      </w:r>
      <w:bookmarkEnd w:id="0"/>
      <w:r>
        <w:rPr>
          <w:b/>
          <w:bCs/>
          <w:i/>
          <w:iCs/>
          <w:sz w:val="24"/>
          <w:szCs w:val="24"/>
        </w:rPr>
      </w:r>
      <w:r/>
    </w:p>
    <w:p>
      <w:pPr>
        <w:ind w:firstLine="567"/>
        <w:jc w:val="both"/>
        <w:keepNext/>
        <w:widowControl/>
        <w:outlineLvl w:val="2"/>
      </w:pPr>
      <w:r/>
      <w:bookmarkStart w:id="0" w:name="undefined"/>
      <w:r>
        <w:rPr>
          <w:b/>
          <w:bCs/>
          <w:sz w:val="24"/>
          <w:szCs w:val="24"/>
        </w:rPr>
        <w:t xml:space="preserve">Статья 15. </w:t>
      </w:r>
      <w:bookmarkEnd w:id="0"/>
      <w:r>
        <w:rPr>
          <w:b/>
          <w:bCs/>
          <w:sz w:val="24"/>
          <w:szCs w:val="24"/>
        </w:rPr>
        <w:t xml:space="preserve">Порядок внесения изменений в Правила землепользования застройки</w:t>
      </w:r>
      <w:r>
        <w:rPr>
          <w:b/>
          <w:bCs/>
          <w:sz w:val="24"/>
          <w:szCs w:val="24"/>
        </w:rPr>
      </w:r>
      <w:r/>
    </w:p>
    <w:p>
      <w:pPr>
        <w:ind w:firstLine="567"/>
        <w:jc w:val="both"/>
        <w:widowControl/>
      </w:pPr>
      <w:r/>
      <w:bookmarkStart w:id="0" w:name="undefined"/>
      <w:r/>
      <w:bookmarkStart w:id="0" w:name="undefined"/>
      <w:r/>
      <w:bookmarkStart w:id="0" w:name="undefined"/>
      <w:r>
        <w:rPr>
          <w:rFonts w:eastAsia="Calibri"/>
          <w:sz w:val="24"/>
          <w:szCs w:val="24"/>
          <w:lang w:eastAsia="en-US"/>
        </w:rPr>
        <w:t xml:space="preserve">1. Изменениями настоящих Правил считаются любые изменения текста Правил, карты градостроительного зонирования либо градостроительных регламентов</w:t>
      </w:r>
      <w:r>
        <w:rPr>
          <w:rFonts w:eastAsia="Calibri"/>
          <w:sz w:val="28"/>
          <w:szCs w:val="28"/>
          <w:lang w:eastAsia="en-US"/>
        </w:rPr>
        <w:t xml:space="preserve">.</w:t>
      </w:r>
      <w:r>
        <w:rPr>
          <w:rFonts w:eastAsia="Calibri"/>
          <w:sz w:val="28"/>
          <w:szCs w:val="28"/>
          <w:lang w:eastAsia="en-US"/>
        </w:rPr>
      </w:r>
      <w:r/>
    </w:p>
    <w:p>
      <w:pPr>
        <w:ind w:firstLine="567"/>
        <w:jc w:val="both"/>
        <w:widowControl/>
      </w:pPr>
      <w:r>
        <w:rPr>
          <w:sz w:val="24"/>
          <w:szCs w:val="24"/>
          <w:lang w:bidi="en-US"/>
        </w:rPr>
        <w:t xml:space="preserve">Внесение изменений в правила землепользования и застройки осуществляется в порядке, предусмотренном </w:t>
      </w:r>
      <w:r>
        <w:rPr>
          <w:sz w:val="24"/>
          <w:szCs w:val="24"/>
          <w:lang w:bidi="en-US"/>
        </w:rPr>
        <w:t xml:space="preserve">статьями 31,32, </w:t>
      </w:r>
      <w:hyperlink r:id="rId23" w:tooltip="http://www.consultant.ru/document/cons_doc_LAW_51040/36fb3e57a8031adb90c7b7d13d835d1f31efff63/#dst100487" w:anchor="dst100487" w:history="1">
        <w:r>
          <w:rPr>
            <w:sz w:val="24"/>
            <w:szCs w:val="24"/>
            <w:lang w:bidi="en-US"/>
          </w:rPr>
          <w:t xml:space="preserve">3</w:t>
        </w:r>
      </w:hyperlink>
      <w:r>
        <w:rPr>
          <w:sz w:val="24"/>
          <w:szCs w:val="24"/>
          <w:lang w:bidi="en-US"/>
        </w:rPr>
        <w:t xml:space="preserve">3 </w:t>
      </w:r>
      <w:r>
        <w:rPr>
          <w:sz w:val="24"/>
          <w:szCs w:val="24"/>
          <w:lang w:bidi="en-US"/>
        </w:rPr>
        <w:t xml:space="preserve">ГрК РФ</w:t>
      </w:r>
      <w:r>
        <w:rPr>
          <w:sz w:val="24"/>
          <w:szCs w:val="24"/>
          <w:lang w:bidi="en-US"/>
        </w:rPr>
        <w:t xml:space="preserve">.</w:t>
      </w:r>
      <w:r>
        <w:rPr>
          <w:sz w:val="24"/>
          <w:szCs w:val="24"/>
          <w:lang w:bidi="en-US"/>
        </w:rPr>
      </w:r>
      <w:r/>
    </w:p>
    <w:p>
      <w:pPr>
        <w:ind w:firstLine="567"/>
        <w:jc w:val="both"/>
        <w:widowControl/>
      </w:pPr>
      <w:r/>
      <w:bookmarkStart w:id="0" w:name="undefined"/>
      <w:r/>
      <w:bookmarkEnd w:id="0"/>
      <w:r>
        <w:rPr>
          <w:sz w:val="24"/>
          <w:szCs w:val="24"/>
          <w:lang w:bidi="en-US"/>
        </w:rPr>
        <w:t xml:space="preserve">2. Основаниями для рассмотрения вопроса о внесении изменений в правила землепользования и застройки являются:</w:t>
      </w:r>
      <w:r>
        <w:rPr>
          <w:sz w:val="24"/>
          <w:szCs w:val="24"/>
          <w:lang w:bidi="en-US"/>
        </w:rPr>
      </w:r>
      <w:r/>
    </w:p>
    <w:p>
      <w:pPr>
        <w:ind w:firstLine="567"/>
        <w:jc w:val="both"/>
        <w:widowControl/>
      </w:pPr>
      <w:r/>
      <w:bookmarkStart w:id="0" w:name="undefined"/>
      <w:r/>
      <w:bookmarkEnd w:id="0"/>
      <w:r>
        <w:rPr>
          <w:sz w:val="24"/>
          <w:szCs w:val="24"/>
          <w:lang w:bidi="en-US"/>
        </w:rPr>
        <w:t xml:space="preserve">1) несоответствие</w:t>
      </w:r>
      <w:r>
        <w:rPr>
          <w:sz w:val="24"/>
          <w:szCs w:val="24"/>
          <w:lang w:bidi="en-US"/>
        </w:rPr>
        <w:t xml:space="preserve">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r>
        <w:rPr>
          <w:sz w:val="24"/>
          <w:szCs w:val="24"/>
          <w:lang w:bidi="en-US"/>
        </w:rPr>
      </w:r>
      <w:r/>
    </w:p>
    <w:p>
      <w:pPr>
        <w:ind w:firstLine="567"/>
        <w:jc w:val="both"/>
        <w:widowControl/>
      </w:pPr>
      <w:r>
        <w:rPr>
          <w:sz w:val="24"/>
          <w:szCs w:val="24"/>
          <w:lang w:bidi="en-US"/>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w:t>
      </w:r>
      <w:r>
        <w:rPr>
          <w:sz w:val="24"/>
          <w:szCs w:val="24"/>
          <w:lang w:bidi="en-US"/>
        </w:rPr>
        <w:t xml:space="preserve">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w:t>
      </w:r>
      <w:r>
        <w:rPr>
          <w:sz w:val="24"/>
          <w:szCs w:val="24"/>
          <w:lang w:bidi="en-US"/>
        </w:rPr>
      </w:r>
      <w:r/>
    </w:p>
    <w:p>
      <w:pPr>
        <w:ind w:firstLine="567"/>
        <w:jc w:val="both"/>
        <w:widowControl/>
      </w:pPr>
      <w:r/>
      <w:bookmarkStart w:id="0" w:name="undefined"/>
      <w:r/>
      <w:bookmarkEnd w:id="0"/>
      <w:r>
        <w:rPr>
          <w:sz w:val="24"/>
          <w:szCs w:val="24"/>
          <w:lang w:bidi="en-US"/>
        </w:rPr>
        <w:t xml:space="preserve">2) поступление предложений об изменении границ территориальных зон, изменении градостроительных регламентов.</w:t>
      </w:r>
      <w:r>
        <w:rPr>
          <w:sz w:val="24"/>
          <w:szCs w:val="24"/>
          <w:lang w:bidi="en-US"/>
        </w:rPr>
      </w:r>
      <w:r/>
    </w:p>
    <w:p>
      <w:pPr>
        <w:ind w:firstLine="567"/>
        <w:jc w:val="both"/>
        <w:widowControl/>
      </w:pPr>
      <w:r>
        <w:rPr>
          <w:sz w:val="24"/>
          <w:szCs w:val="24"/>
          <w:lang w:bidi="en-US"/>
        </w:rPr>
        <w:t xml:space="preserve">3) несоответствие сведений о местоположении границ зон с о</w:t>
      </w:r>
      <w:r>
        <w:rPr>
          <w:sz w:val="24"/>
          <w:szCs w:val="24"/>
          <w:lang w:bidi="en-US"/>
        </w:rPr>
        <w:t xml:space="preserve">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r>
        <w:rPr>
          <w:sz w:val="24"/>
          <w:szCs w:val="24"/>
          <w:lang w:bidi="en-US"/>
        </w:rPr>
      </w:r>
      <w:r/>
    </w:p>
    <w:p>
      <w:pPr>
        <w:ind w:firstLine="567"/>
        <w:jc w:val="both"/>
        <w:widowControl/>
      </w:pPr>
      <w:r>
        <w:rPr>
          <w:sz w:val="24"/>
          <w:szCs w:val="24"/>
          <w:lang w:bidi="en-US"/>
        </w:rPr>
        <w:t xml:space="preserve">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w:t>
      </w:r>
      <w:r>
        <w:rPr>
          <w:sz w:val="24"/>
          <w:szCs w:val="24"/>
          <w:lang w:bidi="en-US"/>
        </w:rPr>
        <w:t xml:space="preserve">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r>
        <w:rPr>
          <w:sz w:val="24"/>
          <w:szCs w:val="24"/>
          <w:lang w:bidi="en-US"/>
        </w:rPr>
      </w:r>
      <w:r/>
    </w:p>
    <w:p>
      <w:pPr>
        <w:ind w:firstLine="567"/>
        <w:jc w:val="both"/>
        <w:widowControl/>
      </w:pPr>
      <w:r>
        <w:rPr>
          <w:sz w:val="24"/>
          <w:szCs w:val="24"/>
          <w:lang w:bidi="en-US"/>
        </w:rPr>
        <w:t xml:space="preserve">5) установление, изменение, прекраще</w:t>
      </w:r>
      <w:r>
        <w:rPr>
          <w:sz w:val="24"/>
          <w:szCs w:val="24"/>
          <w:lang w:bidi="en-US"/>
        </w:rPr>
        <w:t xml:space="preserve">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r>
        <w:rPr>
          <w:color w:val="ff0000"/>
          <w:sz w:val="24"/>
          <w:szCs w:val="24"/>
          <w:lang w:bidi="en-US"/>
        </w:rPr>
        <w:t xml:space="preserve">;</w:t>
      </w:r>
      <w:r>
        <w:rPr>
          <w:sz w:val="24"/>
          <w:szCs w:val="24"/>
          <w:lang w:bidi="en-US"/>
        </w:rPr>
      </w:r>
      <w:r/>
    </w:p>
    <w:p>
      <w:pPr>
        <w:ind w:firstLine="567"/>
        <w:jc w:val="both"/>
        <w:shd w:val="clear" w:color="auto" w:fill="ffffff"/>
        <w:widowControl/>
      </w:pPr>
      <w:r>
        <w:rPr>
          <w:sz w:val="23"/>
          <w:szCs w:val="23"/>
          <w:lang w:eastAsia="ru-RU"/>
        </w:rPr>
        <w:t xml:space="preserve">6</w:t>
      </w:r>
      <w:r>
        <w:rPr>
          <w:sz w:val="24"/>
          <w:szCs w:val="24"/>
          <w:lang w:eastAsia="ru-RU"/>
        </w:rPr>
        <w:t xml:space="preserve">) принятие решения о комплексном развитии территории;</w:t>
      </w:r>
      <w:r>
        <w:rPr>
          <w:sz w:val="24"/>
          <w:szCs w:val="24"/>
          <w:lang w:eastAsia="ru-RU"/>
        </w:rPr>
      </w:r>
      <w:r/>
    </w:p>
    <w:p>
      <w:pPr>
        <w:ind w:firstLine="567"/>
        <w:jc w:val="both"/>
        <w:shd w:val="clear" w:color="auto" w:fill="ffffff"/>
        <w:widowControl/>
      </w:pPr>
      <w:r>
        <w:rPr>
          <w:sz w:val="24"/>
          <w:szCs w:val="24"/>
          <w:lang w:eastAsia="ru-RU"/>
        </w:rPr>
        <w:t xml:space="preserve">7) обнаружение мест </w:t>
      </w:r>
      <w:r>
        <w:rPr>
          <w:sz w:val="24"/>
          <w:szCs w:val="24"/>
          <w:lang w:eastAsia="ru-RU"/>
        </w:rPr>
        <w:t xml:space="preserve">захоронений,</w:t>
      </w:r>
      <w:r>
        <w:rPr>
          <w:sz w:val="24"/>
          <w:szCs w:val="24"/>
          <w:lang w:eastAsia="ru-RU"/>
        </w:rPr>
        <w:t xml:space="preserve"> погибших при защите Отечества, расположенных в границах муниципальных образований.</w:t>
      </w:r>
      <w:r>
        <w:rPr>
          <w:sz w:val="24"/>
          <w:szCs w:val="24"/>
          <w:lang w:eastAsia="ru-RU"/>
        </w:rPr>
      </w:r>
      <w:r/>
    </w:p>
    <w:p>
      <w:pPr>
        <w:ind w:firstLine="567"/>
        <w:jc w:val="both"/>
        <w:widowControl/>
      </w:pPr>
      <w:r/>
      <w:bookmarkStart w:id="0" w:name="undefined"/>
      <w:r/>
      <w:bookmarkEnd w:id="0"/>
      <w:r>
        <w:rPr>
          <w:sz w:val="24"/>
          <w:szCs w:val="24"/>
          <w:lang w:bidi="en-US"/>
        </w:rPr>
        <w:t xml:space="preserve">3. Предложения о внесении изменений в правила землепользования и застройки в Комиссию направляются:</w:t>
      </w:r>
      <w:r>
        <w:rPr>
          <w:sz w:val="24"/>
          <w:szCs w:val="24"/>
          <w:lang w:bidi="en-US"/>
        </w:rPr>
      </w:r>
      <w:r/>
    </w:p>
    <w:p>
      <w:pPr>
        <w:ind w:firstLine="567"/>
        <w:jc w:val="both"/>
        <w:widowControl/>
      </w:pPr>
      <w:r/>
      <w:bookmarkStart w:id="0" w:name="undefined"/>
      <w:r/>
      <w:bookmarkEnd w:id="0"/>
      <w:r>
        <w:rPr>
          <w:sz w:val="24"/>
          <w:szCs w:val="24"/>
          <w:lang w:bidi="en-US"/>
        </w:rPr>
        <w:t xml:space="preserve">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r>
        <w:rPr>
          <w:sz w:val="24"/>
          <w:szCs w:val="24"/>
          <w:lang w:bidi="en-US"/>
        </w:rPr>
      </w:r>
      <w:r/>
    </w:p>
    <w:p>
      <w:pPr>
        <w:ind w:firstLine="567"/>
        <w:jc w:val="both"/>
        <w:widowControl/>
      </w:pPr>
      <w:r/>
      <w:bookmarkStart w:id="0" w:name="undefined"/>
      <w:r/>
      <w:bookmarkEnd w:id="0"/>
      <w:r>
        <w:rPr>
          <w:sz w:val="24"/>
          <w:szCs w:val="24"/>
          <w:lang w:bidi="en-US"/>
        </w:rPr>
        <w:t xml:space="preserve">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r>
        <w:rPr>
          <w:sz w:val="24"/>
          <w:szCs w:val="24"/>
          <w:lang w:bidi="en-US"/>
        </w:rPr>
      </w:r>
      <w:r/>
    </w:p>
    <w:p>
      <w:pPr>
        <w:ind w:firstLine="567"/>
        <w:jc w:val="both"/>
        <w:widowControl/>
      </w:pPr>
      <w:r/>
      <w:bookmarkStart w:id="0" w:name="undefined"/>
      <w:r/>
      <w:bookmarkEnd w:id="0"/>
      <w:r>
        <w:rPr>
          <w:sz w:val="24"/>
          <w:szCs w:val="24"/>
          <w:lang w:bidi="en-US"/>
        </w:rPr>
        <w:t xml:space="preserve">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r>
        <w:rPr>
          <w:sz w:val="24"/>
          <w:szCs w:val="24"/>
          <w:lang w:bidi="en-US"/>
        </w:rPr>
      </w:r>
      <w:r/>
    </w:p>
    <w:p>
      <w:pPr>
        <w:ind w:firstLine="567"/>
        <w:jc w:val="both"/>
        <w:widowControl/>
      </w:pPr>
      <w:r/>
      <w:bookmarkStart w:id="0" w:name="undefined"/>
      <w:r/>
      <w:bookmarkEnd w:id="0"/>
      <w:r>
        <w:rPr>
          <w:sz w:val="24"/>
          <w:szCs w:val="24"/>
          <w:lang w:bidi="en-US"/>
        </w:rPr>
        <w:t xml:space="preserve">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сельского поселения;</w:t>
      </w:r>
      <w:r>
        <w:rPr>
          <w:sz w:val="24"/>
          <w:szCs w:val="24"/>
          <w:lang w:bidi="en-US"/>
        </w:rPr>
      </w:r>
      <w:r/>
    </w:p>
    <w:p>
      <w:pPr>
        <w:ind w:firstLine="567"/>
        <w:jc w:val="both"/>
        <w:widowControl/>
      </w:pPr>
      <w:r/>
      <w:bookmarkStart w:id="0" w:name="undefined"/>
      <w:r/>
      <w:bookmarkEnd w:id="0"/>
      <w:r>
        <w:rPr>
          <w:sz w:val="24"/>
          <w:szCs w:val="24"/>
          <w:lang w:bidi="en-US"/>
        </w:rPr>
        <w:t xml:space="preserve">5) физическими или юридическими лицами в инициативном порядке либо в случаях, если в результате применения правил землепользования и застройки земельны</w:t>
      </w:r>
      <w:r>
        <w:rPr>
          <w:sz w:val="24"/>
          <w:szCs w:val="24"/>
          <w:lang w:bidi="en-US"/>
        </w:rPr>
        <w:t xml:space="preserve">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bookmarkStart w:id="0" w:name="undefined"/>
      <w:r/>
      <w:bookmarkEnd w:id="0"/>
      <w:r>
        <w:rPr>
          <w:sz w:val="24"/>
          <w:szCs w:val="24"/>
          <w:lang w:bidi="en-US"/>
        </w:rPr>
        <w:t xml:space="preserve">;</w:t>
      </w:r>
      <w:r>
        <w:rPr>
          <w:sz w:val="24"/>
          <w:szCs w:val="24"/>
          <w:lang w:bidi="en-US"/>
        </w:rPr>
      </w:r>
      <w:r/>
    </w:p>
    <w:p>
      <w:pPr>
        <w:ind w:firstLine="567"/>
        <w:jc w:val="both"/>
        <w:widowControl/>
      </w:pPr>
      <w:r>
        <w:rPr>
          <w:sz w:val="24"/>
          <w:szCs w:val="24"/>
          <w:lang w:bidi="en-US"/>
        </w:rPr>
        <w:t xml:space="preserve">6) уполномоченным федеральным органом и</w:t>
      </w:r>
      <w:r>
        <w:rPr>
          <w:sz w:val="24"/>
          <w:szCs w:val="24"/>
          <w:lang w:bidi="en-US"/>
        </w:rPr>
        <w:t xml:space="preserve">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r>
        <w:rPr>
          <w:sz w:val="24"/>
          <w:szCs w:val="24"/>
          <w:lang w:bidi="en-US"/>
        </w:rPr>
      </w:r>
      <w:r/>
    </w:p>
    <w:p>
      <w:pPr>
        <w:ind w:firstLine="567"/>
        <w:jc w:val="both"/>
        <w:widowControl/>
      </w:pPr>
      <w:r>
        <w:rPr>
          <w:sz w:val="24"/>
          <w:szCs w:val="24"/>
          <w:lang w:bidi="en-US"/>
        </w:rPr>
        <w:t xml:space="preserve">7) высшим исполнительным органом государ</w:t>
      </w:r>
      <w:r>
        <w:rPr>
          <w:sz w:val="24"/>
          <w:szCs w:val="24"/>
          <w:lang w:bidi="en-US"/>
        </w:rPr>
        <w:t xml:space="preserve">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w:t>
      </w:r>
      <w:r>
        <w:rPr>
          <w:sz w:val="24"/>
          <w:szCs w:val="24"/>
          <w:lang w:bidi="en-US"/>
        </w:rPr>
        <w:t xml:space="preserve">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r>
        <w:rPr>
          <w:sz w:val="24"/>
          <w:szCs w:val="24"/>
          <w:lang w:bidi="en-US"/>
        </w:rPr>
      </w:r>
      <w:r/>
    </w:p>
    <w:p>
      <w:pPr>
        <w:ind w:firstLine="567"/>
        <w:jc w:val="both"/>
        <w:widowControl/>
      </w:pPr>
      <w:r>
        <w:rPr>
          <w:rFonts w:eastAsia="Calibri"/>
          <w:sz w:val="24"/>
          <w:szCs w:val="24"/>
          <w:lang w:eastAsia="en-US"/>
        </w:rPr>
        <w:t xml:space="preserve">4. Предложение о внесении изменений в настоящие Правила нап</w:t>
      </w:r>
      <w:r>
        <w:rPr>
          <w:rFonts w:eastAsia="Calibri"/>
          <w:sz w:val="24"/>
          <w:szCs w:val="24"/>
          <w:lang w:eastAsia="en-US"/>
        </w:rPr>
        <w:t xml:space="preserve">равляются в письменной форме в К</w:t>
      </w:r>
      <w:r>
        <w:rPr>
          <w:rFonts w:eastAsia="Calibri"/>
          <w:sz w:val="24"/>
          <w:szCs w:val="24"/>
          <w:lang w:eastAsia="en-US"/>
        </w:rPr>
        <w:t xml:space="preserve">омиссию.</w:t>
      </w:r>
      <w:r>
        <w:rPr>
          <w:rFonts w:eastAsia="Calibri"/>
          <w:sz w:val="24"/>
          <w:szCs w:val="24"/>
          <w:lang w:eastAsia="en-US"/>
        </w:rPr>
      </w:r>
      <w:r/>
    </w:p>
    <w:p>
      <w:pPr>
        <w:ind w:firstLine="567"/>
        <w:jc w:val="both"/>
        <w:shd w:val="clear" w:color="auto" w:fill="ffffff"/>
        <w:widowControl/>
      </w:pPr>
      <w:r>
        <w:rPr>
          <w:sz w:val="24"/>
          <w:szCs w:val="24"/>
          <w:lang w:eastAsia="ru-RU"/>
        </w:rPr>
        <w:t xml:space="preserve">4.1. В случае, если правилами землепользовани</w:t>
      </w:r>
      <w:r>
        <w:rPr>
          <w:sz w:val="24"/>
          <w:szCs w:val="24"/>
          <w:lang w:eastAsia="ru-RU"/>
        </w:rPr>
        <w:t xml:space="preserve">я и застройки не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w:t>
      </w:r>
      <w:r>
        <w:rPr>
          <w:sz w:val="24"/>
          <w:szCs w:val="24"/>
          <w:lang w:eastAsia="ru-RU"/>
        </w:rPr>
        <w:t xml:space="preserve">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ОМС требование</w:t>
      </w:r>
      <w:r>
        <w:rPr>
          <w:sz w:val="24"/>
          <w:szCs w:val="24"/>
          <w:lang w:eastAsia="ru-RU"/>
        </w:rPr>
        <w:t xml:space="preserve"> о внесении изменений в правила землепользования и застройки в целях обеспечения размещения указанных объектов. Глава ОМС обеспечивает внесение изменений в правила землепользования и застройки в течение тридцати дней со дня получения указанного требования.</w:t>
      </w:r>
      <w:r>
        <w:rPr>
          <w:sz w:val="24"/>
          <w:szCs w:val="24"/>
          <w:lang w:eastAsia="ru-RU"/>
        </w:rPr>
      </w:r>
      <w:r/>
    </w:p>
    <w:p>
      <w:pPr>
        <w:ind w:firstLine="567"/>
        <w:jc w:val="both"/>
        <w:widowControl/>
      </w:pPr>
      <w:r>
        <w:rPr>
          <w:sz w:val="24"/>
          <w:szCs w:val="24"/>
          <w:lang w:eastAsia="ru-RU"/>
        </w:rPr>
        <w:t xml:space="preserve">4.2. </w:t>
      </w:r>
      <w:r>
        <w:rPr>
          <w:sz w:val="24"/>
          <w:szCs w:val="24"/>
          <w:lang w:eastAsia="ru-RU"/>
        </w:rPr>
        <w:t xml:space="preserve">При </w:t>
      </w:r>
      <w:r>
        <w:rPr>
          <w:sz w:val="24"/>
          <w:szCs w:val="24"/>
          <w:lang w:eastAsia="ru-RU"/>
        </w:rPr>
        <w:t xml:space="preserve">внесении изменений в правила землепользования и застройки не требуются проведение общественных обсуждений</w:t>
      </w:r>
      <w:r>
        <w:rPr>
          <w:color w:val="0070c0"/>
          <w:sz w:val="24"/>
          <w:szCs w:val="24"/>
          <w:lang w:eastAsia="ru-RU"/>
        </w:rPr>
        <w:t xml:space="preserve"> </w:t>
      </w:r>
      <w:r>
        <w:rPr>
          <w:sz w:val="24"/>
          <w:szCs w:val="24"/>
          <w:lang w:eastAsia="ru-RU"/>
        </w:rPr>
        <w:t xml:space="preserve">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заключения комиссии</w:t>
      </w:r>
      <w:r>
        <w:rPr>
          <w:sz w:val="24"/>
          <w:szCs w:val="24"/>
          <w:lang w:eastAsia="ru-RU"/>
        </w:rPr>
        <w:t xml:space="preserve">, в случае: </w:t>
      </w:r>
      <w:r>
        <w:rPr>
          <w:sz w:val="24"/>
          <w:szCs w:val="24"/>
          <w:lang w:eastAsia="ru-RU"/>
        </w:rPr>
      </w:r>
      <w:r/>
    </w:p>
    <w:p>
      <w:pPr>
        <w:ind w:firstLine="567"/>
        <w:jc w:val="both"/>
        <w:shd w:val="clear" w:color="auto" w:fill="ffffff"/>
        <w:widowControl/>
      </w:pPr>
      <w:r>
        <w:rPr>
          <w:sz w:val="24"/>
          <w:szCs w:val="24"/>
          <w:lang w:eastAsia="ru-RU"/>
        </w:rPr>
        <w:t xml:space="preserve">1)</w:t>
      </w:r>
      <w:r>
        <w:rPr>
          <w:sz w:val="24"/>
          <w:szCs w:val="24"/>
          <w:lang w:eastAsia="ru-RU"/>
        </w:rPr>
        <w:t xml:space="preserve"> несоответствия сведений о местоположении границ зон с о</w:t>
      </w:r>
      <w:r>
        <w:rPr>
          <w:sz w:val="24"/>
          <w:szCs w:val="24"/>
          <w:lang w:eastAsia="ru-RU"/>
        </w:rPr>
        <w:t xml:space="preserve">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r>
        <w:rPr>
          <w:sz w:val="24"/>
          <w:szCs w:val="24"/>
          <w:lang w:eastAsia="ru-RU"/>
        </w:rPr>
      </w:r>
      <w:r/>
    </w:p>
    <w:p>
      <w:pPr>
        <w:ind w:firstLine="567"/>
        <w:jc w:val="both"/>
        <w:widowControl/>
      </w:pPr>
      <w:r>
        <w:rPr>
          <w:sz w:val="24"/>
          <w:szCs w:val="24"/>
          <w:lang w:eastAsia="ru-RU"/>
        </w:rPr>
        <w:t xml:space="preserve">2)</w:t>
      </w:r>
      <w:r>
        <w:rPr>
          <w:sz w:val="24"/>
          <w:szCs w:val="24"/>
          <w:lang w:eastAsia="ru-RU"/>
        </w:rPr>
        <w:t xml:space="preserve"> несоответствия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w:t>
      </w:r>
      <w:r>
        <w:rPr>
          <w:sz w:val="24"/>
          <w:szCs w:val="24"/>
          <w:lang w:eastAsia="ru-RU"/>
        </w:rPr>
        <w:t xml:space="preserve">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r>
        <w:rPr>
          <w:sz w:val="24"/>
          <w:szCs w:val="24"/>
          <w:lang w:eastAsia="ru-RU"/>
        </w:rPr>
      </w:r>
      <w:r/>
    </w:p>
    <w:p>
      <w:pPr>
        <w:ind w:firstLine="567"/>
        <w:jc w:val="both"/>
        <w:widowControl/>
      </w:pPr>
      <w:r>
        <w:rPr>
          <w:sz w:val="24"/>
          <w:szCs w:val="24"/>
          <w:lang w:eastAsia="ru-RU"/>
        </w:rPr>
        <w:t xml:space="preserve">3)</w:t>
      </w:r>
      <w:r>
        <w:rPr>
          <w:sz w:val="24"/>
          <w:szCs w:val="24"/>
          <w:lang w:eastAsia="ru-RU"/>
        </w:rPr>
        <w:t xml:space="preserve"> установления, изменения, прекращен</w:t>
      </w:r>
      <w:r>
        <w:rPr>
          <w:sz w:val="24"/>
          <w:szCs w:val="24"/>
          <w:lang w:eastAsia="ru-RU"/>
        </w:rPr>
        <w:t xml:space="preserve">ия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r>
        <w:rPr>
          <w:sz w:val="24"/>
          <w:szCs w:val="24"/>
          <w:lang w:eastAsia="ru-RU"/>
        </w:rPr>
      </w:r>
      <w:r/>
    </w:p>
    <w:p>
      <w:pPr>
        <w:ind w:firstLine="567"/>
        <w:jc w:val="both"/>
        <w:widowControl/>
      </w:pPr>
      <w:r>
        <w:rPr>
          <w:sz w:val="24"/>
          <w:szCs w:val="24"/>
          <w:lang w:eastAsia="ru-RU"/>
        </w:rPr>
        <w:t xml:space="preserve">4)</w:t>
      </w:r>
      <w:r>
        <w:rPr>
          <w:sz w:val="24"/>
          <w:szCs w:val="24"/>
          <w:lang w:eastAsia="ru-RU"/>
        </w:rPr>
        <w:t xml:space="preserve"> принятия решения о комплексном развитии территории;</w:t>
      </w:r>
      <w:r>
        <w:rPr>
          <w:sz w:val="24"/>
          <w:szCs w:val="24"/>
          <w:lang w:eastAsia="ru-RU"/>
        </w:rPr>
      </w:r>
      <w:r/>
    </w:p>
    <w:p>
      <w:pPr>
        <w:ind w:firstLine="567"/>
        <w:jc w:val="both"/>
        <w:widowControl/>
      </w:pPr>
      <w:r>
        <w:rPr>
          <w:sz w:val="24"/>
          <w:szCs w:val="24"/>
          <w:lang w:eastAsia="ru-RU"/>
        </w:rPr>
        <w:t xml:space="preserve">5)</w:t>
      </w:r>
      <w:r>
        <w:rPr>
          <w:sz w:val="24"/>
          <w:szCs w:val="24"/>
          <w:lang w:eastAsia="ru-RU"/>
        </w:rPr>
        <w:t xml:space="preserve"> если правилами землепользования и застройки не обеспечена</w:t>
      </w:r>
      <w:r>
        <w:rPr>
          <w:sz w:val="24"/>
          <w:szCs w:val="24"/>
          <w:lang w:eastAsia="ru-RU"/>
        </w:rPr>
        <w:t xml:space="preserve">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w:t>
      </w:r>
      <w:r>
        <w:rPr>
          <w:sz w:val="24"/>
          <w:szCs w:val="24"/>
          <w:lang w:eastAsia="ru-RU"/>
        </w:rPr>
      </w:r>
      <w:r/>
    </w:p>
    <w:p>
      <w:pPr>
        <w:ind w:firstLine="567"/>
        <w:jc w:val="both"/>
        <w:widowControl/>
      </w:pPr>
      <w:r>
        <w:rPr>
          <w:sz w:val="24"/>
          <w:szCs w:val="24"/>
          <w:lang w:eastAsia="ru-RU"/>
        </w:rPr>
        <w:t xml:space="preserve">6)</w:t>
      </w:r>
      <w:r>
        <w:rPr>
          <w:sz w:val="24"/>
          <w:szCs w:val="24"/>
          <w:lang w:eastAsia="ru-RU"/>
        </w:rPr>
        <w:t xml:space="preserve"> о</w:t>
      </w:r>
      <w:r>
        <w:rPr>
          <w:sz w:val="24"/>
          <w:szCs w:val="24"/>
          <w:lang w:eastAsia="ru-RU"/>
        </w:rPr>
        <w:t xml:space="preserve">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w:t>
      </w:r>
      <w:r>
        <w:rPr>
          <w:sz w:val="24"/>
          <w:szCs w:val="24"/>
          <w:lang w:eastAsia="ru-RU"/>
        </w:rPr>
        <w:t xml:space="preserve"> строительства и (или) в случае однок</w:t>
      </w:r>
      <w:r>
        <w:rPr>
          <w:sz w:val="24"/>
          <w:szCs w:val="24"/>
          <w:lang w:eastAsia="ru-RU"/>
        </w:rPr>
        <w:t xml:space="preserve">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w:t>
      </w:r>
      <w:r>
        <w:rPr>
          <w:sz w:val="24"/>
          <w:szCs w:val="24"/>
          <w:lang w:eastAsia="ru-RU"/>
        </w:rPr>
      </w:r>
      <w:r/>
    </w:p>
    <w:p>
      <w:pPr>
        <w:ind w:firstLine="567"/>
        <w:jc w:val="both"/>
        <w:widowControl/>
      </w:pPr>
      <w:r>
        <w:rPr>
          <w:rFonts w:eastAsia="Calibri"/>
          <w:sz w:val="24"/>
          <w:szCs w:val="24"/>
          <w:lang w:eastAsia="en-US"/>
        </w:rPr>
        <w:t xml:space="preserve">5. Комиссия </w:t>
      </w:r>
      <w:r>
        <w:rPr>
          <w:rFonts w:eastAsia="Calibri"/>
          <w:sz w:val="24"/>
          <w:szCs w:val="24"/>
          <w:lang w:eastAsia="en-US"/>
        </w:rPr>
        <w:t xml:space="preserve">в течение двадцати пяти дней</w:t>
      </w:r>
      <w:r>
        <w:rPr>
          <w:rFonts w:eastAsia="Calibri"/>
          <w:sz w:val="24"/>
          <w:szCs w:val="24"/>
          <w:lang w:eastAsia="en-US"/>
        </w:rPr>
        <w:t xml:space="preserve">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w:t>
      </w:r>
      <w:r>
        <w:rPr>
          <w:rFonts w:eastAsia="Calibri"/>
          <w:sz w:val="24"/>
          <w:szCs w:val="24"/>
          <w:lang w:eastAsia="en-US"/>
        </w:rPr>
        <w:t xml:space="preserve">правила землепользования и застройки или об отклонении такого предложения с указанием причин отклонения, и направляет это заключение главе муниципального образования </w:t>
      </w:r>
      <w:r>
        <w:rPr>
          <w:rFonts w:eastAsia="Calibri"/>
          <w:sz w:val="24"/>
          <w:szCs w:val="24"/>
          <w:lang w:eastAsia="en-US"/>
        </w:rPr>
        <w:t xml:space="preserve">Кавказский</w:t>
      </w:r>
      <w:r>
        <w:rPr>
          <w:rFonts w:eastAsia="Calibri"/>
          <w:sz w:val="24"/>
          <w:szCs w:val="24"/>
          <w:lang w:eastAsia="en-US"/>
        </w:rPr>
        <w:t xml:space="preserve"> район.</w:t>
      </w:r>
      <w:r>
        <w:rPr>
          <w:rFonts w:eastAsia="Calibri"/>
          <w:sz w:val="24"/>
          <w:szCs w:val="24"/>
          <w:lang w:eastAsia="en-US"/>
        </w:rPr>
      </w:r>
      <w:r/>
    </w:p>
    <w:p>
      <w:pPr>
        <w:ind w:firstLine="567"/>
        <w:jc w:val="both"/>
        <w:widowControl/>
      </w:pPr>
      <w:r>
        <w:rPr>
          <w:rFonts w:eastAsia="Calibri"/>
          <w:sz w:val="24"/>
          <w:szCs w:val="24"/>
          <w:lang w:eastAsia="en-US"/>
        </w:rPr>
        <w:t xml:space="preserve">5.1 Про</w:t>
      </w:r>
      <w:r>
        <w:rPr>
          <w:rFonts w:eastAsia="Calibri"/>
          <w:sz w:val="24"/>
          <w:szCs w:val="24"/>
          <w:lang w:eastAsia="en-US"/>
        </w:rPr>
        <w:t xml:space="preserve">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r>
        <w:rPr>
          <w:rFonts w:eastAsia="Calibri"/>
          <w:sz w:val="24"/>
          <w:szCs w:val="24"/>
          <w:lang w:eastAsia="en-US"/>
        </w:rPr>
      </w:r>
      <w:r/>
    </w:p>
    <w:p>
      <w:pPr>
        <w:ind w:firstLine="567"/>
        <w:jc w:val="both"/>
        <w:widowControl/>
      </w:pPr>
      <w:r>
        <w:rPr>
          <w:rFonts w:eastAsia="Calibri"/>
          <w:sz w:val="24"/>
          <w:szCs w:val="24"/>
          <w:lang w:eastAsia="en-US"/>
        </w:rPr>
        <w:t xml:space="preserve">6. Глава </w:t>
      </w:r>
      <w:r>
        <w:rPr>
          <w:rFonts w:eastAsia="Calibri"/>
          <w:sz w:val="24"/>
          <w:szCs w:val="24"/>
          <w:lang w:eastAsia="en-US"/>
        </w:rPr>
        <w:t xml:space="preserve">ОМС с учетом рекомендаций, содержащихся в заключении комиссии, </w:t>
      </w:r>
      <w:r>
        <w:rPr>
          <w:rFonts w:eastAsia="Calibri"/>
          <w:sz w:val="24"/>
          <w:szCs w:val="24"/>
          <w:lang w:eastAsia="en-US"/>
        </w:rPr>
        <w:t xml:space="preserve">в течение двадцати пяти дней</w:t>
      </w:r>
      <w:r>
        <w:rPr>
          <w:rFonts w:eastAsia="Calibri"/>
          <w:sz w:val="24"/>
          <w:szCs w:val="24"/>
          <w:lang w:eastAsia="en-US"/>
        </w:rPr>
        <w:t xml:space="preserve">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w:t>
      </w:r>
      <w:r>
        <w:rPr>
          <w:rFonts w:eastAsia="Calibri"/>
          <w:sz w:val="24"/>
          <w:szCs w:val="24"/>
          <w:lang w:eastAsia="en-US"/>
        </w:rPr>
        <w:t xml:space="preserve">причин отклонения и направляет копию такого решения заявителям.</w:t>
      </w:r>
      <w:r>
        <w:rPr>
          <w:rFonts w:eastAsia="Calibri"/>
          <w:sz w:val="24"/>
          <w:szCs w:val="24"/>
          <w:lang w:eastAsia="en-US"/>
        </w:rPr>
      </w:r>
      <w:r/>
    </w:p>
    <w:p>
      <w:pPr>
        <w:ind w:firstLine="567"/>
        <w:jc w:val="both"/>
        <w:widowControl/>
      </w:pPr>
      <w:r>
        <w:rPr>
          <w:rFonts w:eastAsia="Calibri"/>
          <w:sz w:val="24"/>
          <w:szCs w:val="24"/>
          <w:lang w:eastAsia="en-US"/>
        </w:rPr>
        <w:t xml:space="preserve">6.1. В случае, если утверждение изменений в правила землепользования и застройки осуществляется представительным органом местного самоуправления, </w:t>
      </w:r>
      <w:r>
        <w:rPr>
          <w:rFonts w:eastAsia="Calibri"/>
          <w:sz w:val="24"/>
          <w:szCs w:val="24"/>
          <w:lang w:eastAsia="en-US"/>
        </w:rPr>
        <w:t xml:space="preserve">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r>
        <w:rPr>
          <w:rFonts w:eastAsia="Calibri"/>
          <w:sz w:val="24"/>
          <w:szCs w:val="24"/>
          <w:lang w:eastAsia="en-US"/>
        </w:rPr>
      </w:r>
      <w:r/>
    </w:p>
    <w:p>
      <w:pPr>
        <w:ind w:firstLine="567"/>
        <w:jc w:val="both"/>
        <w:widowControl/>
      </w:pPr>
      <w:r>
        <w:rPr>
          <w:rFonts w:eastAsia="Calibri"/>
          <w:sz w:val="24"/>
          <w:szCs w:val="24"/>
          <w:lang w:eastAsia="en-US"/>
        </w:rPr>
        <w:t xml:space="preserve">7. Глава </w:t>
      </w:r>
      <w:r>
        <w:rPr>
          <w:rFonts w:eastAsia="Calibri"/>
          <w:sz w:val="24"/>
          <w:szCs w:val="24"/>
          <w:lang w:eastAsia="en-US"/>
        </w:rPr>
        <w:t xml:space="preserve">ОМС после поступления от уполномоченного Правительством Российской Федерации федерального органа исполнительно</w:t>
      </w:r>
      <w:r>
        <w:rPr>
          <w:rFonts w:eastAsia="Calibri"/>
          <w:sz w:val="24"/>
          <w:szCs w:val="24"/>
          <w:lang w:eastAsia="en-US"/>
        </w:rPr>
        <w:t xml:space="preserve">й власти предписания о приведении данных правил в соответствие с ограничениями использования объектов недвижимости, установленными на приаэродромной территории, обязан принять решение о внесении изменений в правила землепользования и застройки. Предписание</w:t>
      </w:r>
      <w:r>
        <w:rPr>
          <w:rFonts w:eastAsia="Calibri"/>
          <w:sz w:val="24"/>
          <w:szCs w:val="24"/>
          <w:lang w:eastAsia="en-US"/>
        </w:rPr>
        <w:t xml:space="preserve"> </w:t>
      </w:r>
      <w:r>
        <w:rPr>
          <w:rFonts w:eastAsia="Calibri"/>
          <w:sz w:val="24"/>
          <w:szCs w:val="24"/>
          <w:lang w:eastAsia="en-US"/>
        </w:rPr>
        <w:t xml:space="preserve">может быть обжаловано главой ОМС в суде.</w:t>
      </w:r>
      <w:r>
        <w:rPr>
          <w:rFonts w:eastAsia="Calibri"/>
          <w:sz w:val="24"/>
          <w:szCs w:val="24"/>
          <w:lang w:eastAsia="en-US"/>
        </w:rPr>
      </w:r>
      <w:r/>
    </w:p>
    <w:p>
      <w:pPr>
        <w:ind w:firstLine="567"/>
        <w:jc w:val="both"/>
        <w:widowControl/>
      </w:pPr>
      <w:r>
        <w:rPr>
          <w:rFonts w:eastAsia="Calibri"/>
          <w:sz w:val="24"/>
          <w:szCs w:val="24"/>
          <w:lang w:eastAsia="en-US"/>
        </w:rPr>
        <w:t xml:space="preserve">8. Со</w:t>
      </w:r>
      <w:r>
        <w:rPr>
          <w:rFonts w:eastAsia="Calibri"/>
          <w:sz w:val="24"/>
          <w:szCs w:val="24"/>
          <w:lang w:eastAsia="en-US"/>
        </w:rPr>
        <w:t xml:space="preserve">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w:t>
      </w:r>
      <w:r>
        <w:rPr>
          <w:rFonts w:eastAsia="Calibri"/>
          <w:sz w:val="24"/>
          <w:szCs w:val="24"/>
          <w:lang w:eastAsia="en-US"/>
        </w:rPr>
        <w:t xml:space="preserve">5.32 ГрК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w:t>
      </w:r>
      <w:r>
        <w:rPr>
          <w:rFonts w:eastAsia="Calibri"/>
          <w:sz w:val="24"/>
          <w:szCs w:val="24"/>
          <w:lang w:eastAsia="en-US"/>
        </w:rPr>
        <w:t xml:space="preserve"> </w:t>
      </w:r>
      <w:r>
        <w:rPr>
          <w:rFonts w:eastAsia="Calibri"/>
          <w:sz w:val="24"/>
          <w:szCs w:val="24"/>
          <w:lang w:eastAsia="en-US"/>
        </w:rPr>
        <w:t xml:space="preserve">объектов капитального строительства, предельных параметров разрешенного строительства, реконструкции объектов капитального стро</w:t>
      </w:r>
      <w:r>
        <w:rPr>
          <w:rFonts w:eastAsia="Calibri"/>
          <w:sz w:val="24"/>
          <w:szCs w:val="24"/>
          <w:lang w:eastAsia="en-US"/>
        </w:rPr>
        <w:t xml:space="preserve">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w:t>
      </w:r>
      <w:r>
        <w:rPr>
          <w:rFonts w:eastAsia="Calibri"/>
          <w:sz w:val="24"/>
          <w:szCs w:val="24"/>
          <w:lang w:eastAsia="en-US"/>
        </w:rPr>
        <w:t xml:space="preserve">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ГрКРФ и от которых поступило данное уведомление, направлено уведом</w:t>
      </w:r>
      <w:r>
        <w:rPr>
          <w:rFonts w:eastAsia="Calibri"/>
          <w:sz w:val="24"/>
          <w:szCs w:val="24"/>
          <w:lang w:eastAsia="en-US"/>
        </w:rPr>
        <w:t xml:space="preserve">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r>
        <w:rPr>
          <w:rFonts w:eastAsia="Calibri"/>
          <w:sz w:val="24"/>
          <w:szCs w:val="24"/>
          <w:lang w:eastAsia="en-US"/>
        </w:rPr>
      </w:r>
      <w:r/>
    </w:p>
    <w:p>
      <w:pPr>
        <w:ind w:firstLine="567"/>
        <w:jc w:val="both"/>
        <w:widowControl/>
      </w:pPr>
      <w:r>
        <w:rPr>
          <w:rFonts w:eastAsia="Calibri"/>
          <w:sz w:val="24"/>
          <w:szCs w:val="24"/>
          <w:lang w:eastAsia="en-US"/>
        </w:rPr>
        <w:t xml:space="preserve">9. В случаях, предусмотренных пунктами 3 - 5 части 2 статьи 33 </w:t>
      </w:r>
      <w:r>
        <w:rPr>
          <w:rFonts w:eastAsia="Calibri"/>
          <w:sz w:val="24"/>
          <w:szCs w:val="24"/>
          <w:lang w:eastAsia="en-US"/>
        </w:rPr>
        <w:t xml:space="preserve">ГрК РФ</w:t>
      </w:r>
      <w:r>
        <w:rPr>
          <w:rFonts w:eastAsia="Calibri"/>
          <w:sz w:val="24"/>
          <w:szCs w:val="24"/>
          <w:lang w:eastAsia="en-US"/>
        </w:rPr>
        <w:t xml:space="preserve">, исполнительный орган государственной </w:t>
      </w:r>
      <w:r>
        <w:rPr>
          <w:rFonts w:eastAsia="Calibri"/>
          <w:sz w:val="24"/>
          <w:szCs w:val="24"/>
          <w:lang w:eastAsia="en-US"/>
        </w:rPr>
        <w:t xml:space="preserve">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w:t>
      </w:r>
      <w:r>
        <w:rPr>
          <w:rFonts w:eastAsia="Calibri"/>
          <w:sz w:val="24"/>
          <w:szCs w:val="24"/>
          <w:lang w:eastAsia="en-US"/>
        </w:rPr>
        <w:t xml:space="preserve">ских поселений регионального значения, направляет главе местной администрации требование о внесении изменений в правила землепользования и застройки в части отображения границ зон с особыми условиями использования территорий, территорий объектов культурног</w:t>
      </w:r>
      <w:r>
        <w:rPr>
          <w:rFonts w:eastAsia="Calibri"/>
          <w:sz w:val="24"/>
          <w:szCs w:val="24"/>
          <w:lang w:eastAsia="en-US"/>
        </w:rPr>
        <w:t xml:space="preserve">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r>
        <w:rPr>
          <w:rFonts w:eastAsia="Calibri"/>
          <w:sz w:val="24"/>
          <w:szCs w:val="24"/>
          <w:lang w:eastAsia="en-US"/>
        </w:rPr>
      </w:r>
      <w:r/>
    </w:p>
    <w:p>
      <w:pPr>
        <w:ind w:firstLine="567"/>
        <w:jc w:val="both"/>
        <w:widowControl/>
      </w:pPr>
      <w:r>
        <w:rPr>
          <w:rFonts w:eastAsia="Calibri"/>
          <w:sz w:val="24"/>
          <w:szCs w:val="24"/>
          <w:lang w:eastAsia="en-US"/>
        </w:rPr>
        <w:t xml:space="preserve">10.</w:t>
      </w:r>
      <w:r>
        <w:rPr>
          <w:rFonts w:eastAsia="Calibri"/>
          <w:sz w:val="24"/>
          <w:szCs w:val="24"/>
          <w:lang w:eastAsia="en-US"/>
        </w:rPr>
        <w:tab/>
        <w:t xml:space="preserve">В случае поступления требования, предусмотренного частью 8 статьи 33 </w:t>
      </w:r>
      <w:r>
        <w:rPr>
          <w:rFonts w:eastAsia="Calibri"/>
          <w:sz w:val="24"/>
          <w:szCs w:val="24"/>
          <w:lang w:eastAsia="en-US"/>
        </w:rPr>
        <w:t xml:space="preserve">ГрК РФ</w:t>
      </w:r>
      <w:r>
        <w:rPr>
          <w:rFonts w:eastAsia="Calibri"/>
          <w:sz w:val="24"/>
          <w:szCs w:val="24"/>
          <w:lang w:eastAsia="en-US"/>
        </w:rPr>
        <w:t xml:space="preserve">,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w:t>
      </w:r>
      <w:r>
        <w:rPr>
          <w:rFonts w:eastAsia="Calibri"/>
          <w:sz w:val="24"/>
          <w:szCs w:val="24"/>
          <w:lang w:eastAsia="en-US"/>
        </w:rPr>
        <w:t xml:space="preserve">выявления предусмотренных пунктами 3 - 5 части 2 статьи 33 </w:t>
      </w:r>
      <w:r>
        <w:rPr>
          <w:rFonts w:eastAsia="Calibri"/>
          <w:sz w:val="24"/>
          <w:szCs w:val="24"/>
          <w:lang w:eastAsia="en-US"/>
        </w:rPr>
        <w:t xml:space="preserve">ГрК РФ</w:t>
      </w:r>
      <w:r>
        <w:rPr>
          <w:rFonts w:eastAsia="Calibri"/>
          <w:sz w:val="24"/>
          <w:szCs w:val="24"/>
          <w:lang w:eastAsia="en-US"/>
        </w:rPr>
        <w:t xml:space="preserve">, оснований для внесения изменений в правила землепользования и застройки глава ОМС</w:t>
      </w:r>
      <w:r>
        <w:rPr>
          <w:rFonts w:eastAsia="Calibri"/>
          <w:sz w:val="24"/>
          <w:szCs w:val="24"/>
          <w:lang w:eastAsia="en-US"/>
        </w:rPr>
        <w:t xml:space="preserve"> </w:t>
      </w:r>
      <w:r>
        <w:rPr>
          <w:rFonts w:eastAsia="Calibri"/>
          <w:sz w:val="24"/>
          <w:szCs w:val="24"/>
          <w:lang w:eastAsia="en-US"/>
        </w:rPr>
        <w:t xml:space="preserve">обязан обеспечить внесение изменений в правила землепользования и застройки </w:t>
      </w:r>
      <w:r>
        <w:rPr>
          <w:rFonts w:eastAsia="Calibri"/>
          <w:sz w:val="24"/>
          <w:szCs w:val="24"/>
          <w:lang w:eastAsia="en-US"/>
        </w:rPr>
        <w:t xml:space="preserve">путем их уточнения в соответствии с таким требованием. При этом </w:t>
      </w:r>
      <w:r>
        <w:rPr>
          <w:rFonts w:eastAsia="Calibri"/>
          <w:sz w:val="24"/>
          <w:szCs w:val="24"/>
          <w:lang w:eastAsia="en-US"/>
        </w:rPr>
        <w:t xml:space="preserve">утверждение изменений в правила землепользования и застройки в целях их уточнения в соответствии с требованием, предусмотренным частью 8 статьи 33 </w:t>
      </w:r>
      <w:r>
        <w:rPr>
          <w:rFonts w:eastAsia="Calibri"/>
          <w:sz w:val="24"/>
          <w:szCs w:val="24"/>
          <w:lang w:eastAsia="en-US"/>
        </w:rPr>
        <w:t xml:space="preserve">ГрК РФ</w:t>
      </w:r>
      <w:r>
        <w:rPr>
          <w:rFonts w:eastAsia="Calibri"/>
          <w:sz w:val="24"/>
          <w:szCs w:val="24"/>
          <w:lang w:eastAsia="en-US"/>
        </w:rPr>
        <w:t xml:space="preserve">, не требуется.</w:t>
      </w:r>
      <w:r>
        <w:rPr>
          <w:rFonts w:eastAsia="Calibri"/>
          <w:sz w:val="24"/>
          <w:szCs w:val="24"/>
          <w:lang w:eastAsia="en-US"/>
        </w:rPr>
      </w:r>
      <w:r/>
    </w:p>
    <w:p>
      <w:pPr>
        <w:ind w:firstLine="567"/>
        <w:jc w:val="both"/>
        <w:widowControl/>
      </w:pPr>
      <w:r>
        <w:rPr>
          <w:rFonts w:eastAsia="Calibri"/>
          <w:sz w:val="24"/>
          <w:szCs w:val="24"/>
          <w:lang w:eastAsia="en-US"/>
        </w:rPr>
        <w:t xml:space="preserve">Срок    уточнения     правил     землепользования     и     застройки     соответствии с частью 9 статьи 33 </w:t>
      </w:r>
      <w:r>
        <w:rPr>
          <w:rFonts w:eastAsia="Calibri"/>
          <w:sz w:val="24"/>
          <w:szCs w:val="24"/>
          <w:lang w:eastAsia="en-US"/>
        </w:rPr>
        <w:t xml:space="preserve">ГрК РФ</w:t>
      </w:r>
      <w:r>
        <w:rPr>
          <w:rFonts w:eastAsia="Calibri"/>
          <w:sz w:val="24"/>
          <w:szCs w:val="24"/>
          <w:lang w:eastAsia="en-US"/>
        </w:rPr>
        <w:t xml:space="preserve">,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w:t>
      </w:r>
      <w:r>
        <w:rPr>
          <w:rFonts w:eastAsia="Calibri"/>
          <w:sz w:val="24"/>
          <w:szCs w:val="24"/>
          <w:lang w:eastAsia="en-US"/>
        </w:rPr>
        <w:t xml:space="preserve">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w:t>
      </w:r>
      <w:r>
        <w:rPr>
          <w:rFonts w:eastAsia="Calibri"/>
          <w:sz w:val="24"/>
          <w:szCs w:val="24"/>
          <w:lang w:eastAsia="en-US"/>
        </w:rPr>
        <w:t xml:space="preserve"> </w:t>
      </w:r>
      <w:r>
        <w:rPr>
          <w:rFonts w:eastAsia="Calibri"/>
          <w:sz w:val="24"/>
          <w:szCs w:val="24"/>
          <w:lang w:eastAsia="en-US"/>
        </w:rPr>
        <w:t xml:space="preserve">требования, предусмотренного частью 8 статьи 33 </w:t>
      </w:r>
      <w:r>
        <w:rPr>
          <w:rFonts w:eastAsia="Calibri"/>
          <w:sz w:val="24"/>
          <w:szCs w:val="24"/>
          <w:lang w:eastAsia="en-US"/>
        </w:rPr>
        <w:t xml:space="preserve">ГрК РФ</w:t>
      </w:r>
      <w:r>
        <w:rPr>
          <w:rFonts w:eastAsia="Calibri"/>
          <w:sz w:val="24"/>
          <w:szCs w:val="24"/>
          <w:lang w:eastAsia="en-US"/>
        </w:rPr>
        <w:t xml:space="preserve">, поступления от органа </w:t>
      </w:r>
      <w:r>
        <w:rPr>
          <w:rFonts w:eastAsia="Calibri"/>
          <w:sz w:val="24"/>
          <w:szCs w:val="24"/>
          <w:lang w:eastAsia="en-US"/>
        </w:rPr>
        <w:t xml:space="preserve">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статьи 33 </w:t>
      </w:r>
      <w:r>
        <w:rPr>
          <w:rFonts w:eastAsia="Calibri"/>
          <w:sz w:val="24"/>
          <w:szCs w:val="24"/>
          <w:lang w:eastAsia="en-US"/>
        </w:rPr>
        <w:t xml:space="preserve">ГрК РФ</w:t>
      </w:r>
      <w:r>
        <w:rPr>
          <w:rFonts w:eastAsia="Calibri"/>
          <w:sz w:val="24"/>
          <w:szCs w:val="24"/>
          <w:lang w:eastAsia="en-US"/>
        </w:rPr>
        <w:t xml:space="preserve"> оснований для внесения изменений в правил</w:t>
      </w:r>
      <w:r>
        <w:rPr>
          <w:rFonts w:eastAsia="Calibri"/>
          <w:sz w:val="24"/>
          <w:szCs w:val="24"/>
          <w:lang w:eastAsia="en-US"/>
        </w:rPr>
        <w:t xml:space="preserve">а землепользования и застройк</w:t>
      </w:r>
      <w:r>
        <w:rPr>
          <w:rFonts w:eastAsia="Calibri"/>
          <w:sz w:val="24"/>
          <w:szCs w:val="24"/>
          <w:highlight w:val="white"/>
          <w:lang w:eastAsia="en-US"/>
        </w:rPr>
        <w:t xml:space="preserve">и</w:t>
      </w:r>
      <w:r>
        <w:rPr>
          <w:rFonts w:eastAsia="Calibri"/>
          <w:sz w:val="24"/>
          <w:szCs w:val="24"/>
          <w:highlight w:val="white"/>
          <w:lang w:eastAsia="en-US"/>
        </w:rPr>
        <w:t xml:space="preserve">.</w:t>
      </w:r>
      <w:r>
        <w:rPr>
          <w:rFonts w:eastAsia="Calibri"/>
          <w:color w:val="0070c0"/>
          <w:sz w:val="24"/>
          <w:szCs w:val="24"/>
          <w:highlight w:val="white"/>
          <w:shd w:val="clear" w:color="auto" w:fill="f3f1e9"/>
          <w:lang w:eastAsia="en-US"/>
        </w:rPr>
        <w:t xml:space="preserve"> </w:t>
      </w:r>
      <w:r>
        <w:rPr>
          <w:rFonts w:eastAsia="Calibri"/>
          <w:sz w:val="24"/>
          <w:szCs w:val="24"/>
          <w:highlight w:val="white"/>
          <w:shd w:val="clear" w:color="auto" w:fill="f3f1e9"/>
          <w:lang w:eastAsia="en-US"/>
        </w:rPr>
        <w:t xml:space="preserve">П</w:t>
      </w:r>
      <w:r>
        <w:rPr>
          <w:rFonts w:eastAsia="Calibri"/>
          <w:sz w:val="24"/>
          <w:szCs w:val="24"/>
          <w:highlight w:val="white"/>
          <w:shd w:val="clear" w:color="auto" w:fill="f3f1e9"/>
          <w:lang w:eastAsia="en-US"/>
        </w:rPr>
        <w:t xml:space="preserve">родолжительность общественных обсуждений или публичных слушаний по проекту </w:t>
      </w:r>
      <w:hyperlink r:id="rId24" w:tooltip="https://internet.garant.ru/#/document/76809896/entry/108" w:anchor="/document/76809896/entry/108" w:history="1">
        <w:r>
          <w:rPr>
            <w:rFonts w:eastAsia="Calibri"/>
            <w:sz w:val="24"/>
            <w:szCs w:val="24"/>
            <w:highlight w:val="white"/>
            <w:shd w:val="clear" w:color="auto" w:fill="f3f1e9"/>
            <w:lang w:eastAsia="en-US"/>
          </w:rPr>
          <w:t xml:space="preserve">правил землепользования и застройки</w:t>
        </w:r>
      </w:hyperlink>
      <w:r>
        <w:rPr>
          <w:rFonts w:eastAsia="Calibri"/>
          <w:sz w:val="24"/>
          <w:szCs w:val="24"/>
          <w:highlight w:val="white"/>
          <w:shd w:val="clear" w:color="auto" w:fill="f3f1e9"/>
          <w:lang w:eastAsia="en-US"/>
        </w:rPr>
        <w:t xml:space="preserve"> составляет не</w:t>
      </w:r>
      <w:r>
        <w:rPr>
          <w:rFonts w:eastAsia="Calibri"/>
          <w:sz w:val="24"/>
          <w:szCs w:val="24"/>
          <w:highlight w:val="white"/>
          <w:shd w:val="clear" w:color="auto" w:fill="f3f1e9"/>
          <w:lang w:eastAsia="en-US"/>
        </w:rPr>
        <w:t xml:space="preserve"> более</w:t>
      </w:r>
      <w:r>
        <w:rPr>
          <w:rFonts w:eastAsia="Calibri"/>
          <w:sz w:val="24"/>
          <w:szCs w:val="24"/>
          <w:highlight w:val="white"/>
          <w:shd w:val="clear" w:color="auto" w:fill="f3f1e9"/>
          <w:lang w:eastAsia="en-US"/>
        </w:rPr>
        <w:t xml:space="preserve"> одного</w:t>
      </w:r>
      <w:r>
        <w:rPr>
          <w:rFonts w:eastAsia="Calibri"/>
          <w:sz w:val="24"/>
          <w:szCs w:val="24"/>
          <w:highlight w:val="white"/>
          <w:shd w:val="clear" w:color="auto" w:fill="f3f1e9"/>
          <w:lang w:eastAsia="en-US"/>
        </w:rPr>
        <w:t xml:space="preserve"> месяца</w:t>
      </w:r>
      <w:r>
        <w:rPr>
          <w:rFonts w:eastAsia="Calibri"/>
          <w:sz w:val="24"/>
          <w:szCs w:val="24"/>
          <w:highlight w:val="white"/>
          <w:shd w:val="clear" w:color="auto" w:fill="f3f1e9"/>
          <w:lang w:eastAsia="en-US"/>
        </w:rPr>
        <w:t xml:space="preserve"> со д</w:t>
      </w:r>
      <w:r>
        <w:rPr>
          <w:rFonts w:eastAsia="Calibri"/>
          <w:sz w:val="24"/>
          <w:szCs w:val="24"/>
          <w:highlight w:val="white"/>
          <w:shd w:val="clear" w:color="auto" w:fill="f3f1e9"/>
          <w:lang w:eastAsia="en-US"/>
        </w:rPr>
        <w:t xml:space="preserve">ня опубликования такого проекта</w:t>
      </w:r>
      <w:r>
        <w:rPr>
          <w:rFonts w:eastAsia="Calibri"/>
          <w:sz w:val="24"/>
          <w:szCs w:val="24"/>
          <w:highlight w:val="white"/>
          <w:shd w:val="clear" w:color="auto" w:fill="f3f1e9"/>
          <w:lang w:eastAsia="en-US"/>
        </w:rPr>
        <w:t xml:space="preserve">.</w:t>
      </w:r>
      <w:r>
        <w:rPr>
          <w:rFonts w:eastAsia="Calibri"/>
          <w:color w:val="ff0000"/>
          <w:sz w:val="24"/>
          <w:szCs w:val="24"/>
          <w:highlight w:val="white"/>
          <w:shd w:val="clear" w:color="auto" w:fill="f3f1e9"/>
        </w:rPr>
      </w:r>
      <w:r/>
    </w:p>
    <w:p>
      <w:pPr>
        <w:ind w:firstLine="567"/>
        <w:jc w:val="both"/>
        <w:widowControl/>
      </w:pPr>
      <w:r>
        <w:rPr>
          <w:rFonts w:eastAsia="Calibri"/>
          <w:color w:val="0070c0"/>
          <w:sz w:val="24"/>
          <w:szCs w:val="24"/>
          <w:lang w:eastAsia="en-US"/>
        </w:rPr>
      </w:r>
      <w:r>
        <w:rPr>
          <w:rFonts w:eastAsia="Calibri"/>
          <w:color w:val="0070c0"/>
          <w:sz w:val="24"/>
          <w:szCs w:val="24"/>
          <w:lang w:eastAsia="en-US"/>
        </w:rPr>
      </w:r>
      <w:r/>
    </w:p>
    <w:p>
      <w:pPr>
        <w:ind w:firstLine="567"/>
        <w:jc w:val="both"/>
        <w:keepNext/>
        <w:widowControl/>
        <w:outlineLvl w:val="1"/>
      </w:pPr>
      <w:r/>
      <w:bookmarkStart w:id="0" w:name="undefined"/>
      <w:r/>
      <w:bookmarkStart w:id="0" w:name="undefined"/>
      <w:r/>
      <w:bookmarkEnd w:id="0"/>
      <w:r>
        <w:rPr>
          <w:b/>
          <w:bCs/>
          <w:i/>
          <w:iCs/>
          <w:sz w:val="24"/>
          <w:szCs w:val="24"/>
        </w:rPr>
        <w:t xml:space="preserve">Глава 6. Положение о регулировании иных вопросов землепользования и застройки </w:t>
      </w:r>
      <w:r>
        <w:rPr>
          <w:b/>
          <w:bCs/>
          <w:i/>
          <w:iCs/>
          <w:sz w:val="24"/>
          <w:szCs w:val="24"/>
        </w:rPr>
      </w:r>
      <w:r/>
    </w:p>
    <w:p>
      <w:pPr>
        <w:pStyle w:val="903"/>
        <w:ind w:firstLine="567"/>
        <w:spacing w:before="0"/>
      </w:pPr>
      <w:r>
        <w:rPr>
          <w:rFonts w:ascii="Times New Roman" w:hAnsi="Times New Roman" w:cs="Times New Roman"/>
          <w:b/>
          <w:color w:val="000000"/>
        </w:rPr>
        <w:t xml:space="preserve">Статья 16. Прекращение прав на земельные участки. </w:t>
      </w:r>
      <w:r>
        <w:rPr>
          <w:rFonts w:ascii="Times New Roman" w:hAnsi="Times New Roman" w:cs="Times New Roman"/>
          <w:b/>
          <w:color w:val="000000"/>
        </w:rPr>
      </w:r>
      <w:r/>
    </w:p>
    <w:p>
      <w:pPr>
        <w:ind w:firstLine="567"/>
        <w:jc w:val="both"/>
      </w:pPr>
      <w:r>
        <w:rPr>
          <w:b/>
          <w:color w:val="000000"/>
          <w:sz w:val="24"/>
          <w:szCs w:val="24"/>
        </w:rPr>
      </w:r>
      <w:r>
        <w:rPr>
          <w:b/>
          <w:color w:val="000000"/>
          <w:sz w:val="24"/>
          <w:szCs w:val="24"/>
        </w:rPr>
      </w:r>
      <w:r/>
    </w:p>
    <w:p>
      <w:pPr>
        <w:ind w:firstLine="567"/>
        <w:jc w:val="both"/>
      </w:pPr>
      <w:r>
        <w:rPr>
          <w:color w:val="000000"/>
          <w:sz w:val="24"/>
          <w:szCs w:val="24"/>
        </w:rPr>
        <w:t xml:space="preserve">1. Права на земельный участок прекращаются по основаниям, установленным федеральным законодательством. 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r>
        <w:rPr>
          <w:color w:val="000000"/>
          <w:sz w:val="24"/>
          <w:szCs w:val="24"/>
        </w:rPr>
      </w:r>
      <w:r/>
    </w:p>
    <w:p>
      <w:pPr>
        <w:ind w:firstLine="567"/>
        <w:jc w:val="both"/>
      </w:pPr>
      <w:r>
        <w:rPr>
          <w:color w:val="000000"/>
          <w:sz w:val="24"/>
          <w:szCs w:val="24"/>
        </w:rPr>
      </w:r>
      <w:r>
        <w:rPr>
          <w:color w:val="000000"/>
          <w:sz w:val="24"/>
          <w:szCs w:val="24"/>
        </w:rPr>
      </w:r>
      <w:r/>
    </w:p>
    <w:p>
      <w:pPr>
        <w:pStyle w:val="903"/>
        <w:ind w:firstLine="567"/>
        <w:spacing w:before="0"/>
      </w:pPr>
      <w:r>
        <w:rPr>
          <w:rFonts w:ascii="Times New Roman" w:hAnsi="Times New Roman" w:cs="Times New Roman"/>
          <w:b/>
          <w:color w:val="000000"/>
        </w:rPr>
        <w:t xml:space="preserve">Статья 1</w:t>
      </w:r>
      <w:r>
        <w:rPr>
          <w:rFonts w:ascii="Times New Roman" w:hAnsi="Times New Roman" w:cs="Times New Roman"/>
          <w:b/>
          <w:color w:val="000000"/>
        </w:rPr>
        <w:t xml:space="preserve">7</w:t>
      </w:r>
      <w:r>
        <w:rPr>
          <w:rFonts w:ascii="Times New Roman" w:hAnsi="Times New Roman" w:cs="Times New Roman"/>
          <w:b/>
          <w:color w:val="000000"/>
        </w:rPr>
        <w:t xml:space="preserve">. Право ограниченного пользования чужим земельным участком (сервитут)</w:t>
      </w:r>
      <w:r>
        <w:rPr>
          <w:rFonts w:ascii="Times New Roman" w:hAnsi="Times New Roman" w:cs="Times New Roman"/>
          <w:b/>
          <w:color w:val="000000"/>
        </w:rPr>
      </w:r>
      <w:r/>
    </w:p>
    <w:p>
      <w:pPr>
        <w:ind w:firstLine="567"/>
        <w:jc w:val="both"/>
      </w:pPr>
      <w:r>
        <w:rPr>
          <w:b/>
          <w:color w:val="000000"/>
          <w:sz w:val="24"/>
          <w:szCs w:val="24"/>
        </w:rPr>
      </w:r>
      <w:r>
        <w:rPr>
          <w:b/>
          <w:color w:val="000000"/>
          <w:sz w:val="24"/>
          <w:szCs w:val="24"/>
        </w:rPr>
      </w:r>
      <w:r/>
    </w:p>
    <w:p>
      <w:pPr>
        <w:ind w:firstLine="567"/>
        <w:jc w:val="both"/>
      </w:pPr>
      <w:r>
        <w:rPr>
          <w:sz w:val="24"/>
          <w:szCs w:val="24"/>
          <w:lang w:eastAsia="ru-RU"/>
        </w:rPr>
        <w:t xml:space="preserve">1. 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главой V.3 Земельного Кодекса РФ.</w:t>
      </w:r>
      <w:r>
        <w:rPr>
          <w:sz w:val="24"/>
          <w:szCs w:val="24"/>
          <w:lang w:eastAsia="ru-RU"/>
        </w:rPr>
      </w:r>
      <w:r/>
    </w:p>
    <w:p>
      <w:pPr>
        <w:ind w:firstLine="567"/>
        <w:keepNext/>
      </w:pPr>
      <w:r>
        <w:rPr>
          <w:sz w:val="24"/>
          <w:szCs w:val="24"/>
          <w:lang w:eastAsia="ru-RU"/>
        </w:rPr>
        <w:t xml:space="preserve">1.1. </w:t>
      </w:r>
      <w:r>
        <w:rPr>
          <w:sz w:val="24"/>
          <w:szCs w:val="24"/>
          <w:shd w:val="clear" w:color="auto" w:fill="ffffff"/>
          <w:lang w:eastAsia="ru-RU"/>
        </w:rPr>
        <w:t xml:space="preserve">Сервитуты, устанавливаются в отношении земельных участков в границах полос отвода автомобильных дорог, за исключением сервитутов, установленных на срок менее чем один год</w:t>
      </w:r>
      <w:r>
        <w:rPr>
          <w:sz w:val="24"/>
          <w:szCs w:val="24"/>
          <w:shd w:val="clear" w:color="auto" w:fill="ffffff"/>
          <w:lang w:eastAsia="ru-RU"/>
        </w:rPr>
        <w:t xml:space="preserve">.</w:t>
      </w:r>
      <w:r>
        <w:rPr>
          <w:sz w:val="24"/>
          <w:szCs w:val="24"/>
          <w:lang w:eastAsia="ru-RU"/>
        </w:rPr>
      </w:r>
      <w:r/>
    </w:p>
    <w:p>
      <w:pPr>
        <w:ind w:firstLine="567"/>
        <w:jc w:val="both"/>
        <w:keepNext/>
      </w:pPr>
      <w:r/>
      <w:hyperlink r:id="rId25" w:tooltip="https://www.consultant.ru/document/cons_doc_LAW_364555/d5f9084cce33cb97c6616ae69fdded5f245c24cf/#dst100011" w:anchor="dst100011" w:history="1">
        <w:r>
          <w:rPr>
            <w:sz w:val="24"/>
            <w:szCs w:val="24"/>
            <w:shd w:val="clear" w:color="auto" w:fill="ffffff"/>
            <w:lang w:eastAsia="ru-RU"/>
          </w:rPr>
          <w:t xml:space="preserve">Порядок</w:t>
        </w:r>
      </w:hyperlink>
      <w:r>
        <w:rPr>
          <w:sz w:val="24"/>
          <w:szCs w:val="24"/>
          <w:shd w:val="clear" w:color="auto" w:fill="ffffff"/>
          <w:lang w:eastAsia="ru-RU"/>
        </w:rPr>
        <w:t xml:space="preserve"> установления и использования полос отвода автомобильных дорог местного значения может устанавливаться органом местного самоуправления.</w:t>
      </w:r>
      <w:r>
        <w:rPr>
          <w:sz w:val="24"/>
          <w:szCs w:val="24"/>
          <w:shd w:val="clear" w:color="auto" w:fill="ffffff"/>
          <w:lang w:eastAsia="ru-RU"/>
        </w:rPr>
      </w:r>
      <w:r/>
    </w:p>
    <w:p>
      <w:pPr>
        <w:ind w:firstLine="567"/>
        <w:jc w:val="both"/>
        <w:keepNext/>
      </w:pPr>
      <w:r>
        <w:rPr>
          <w:sz w:val="24"/>
          <w:szCs w:val="24"/>
          <w:shd w:val="clear" w:color="auto" w:fill="ffffff"/>
          <w:lang w:eastAsia="ru-RU"/>
        </w:rPr>
        <w:t xml:space="preserve">Границы полосы отвода автомобильной дороги определяются на осн</w:t>
      </w:r>
      <w:r>
        <w:rPr>
          <w:sz w:val="24"/>
          <w:szCs w:val="24"/>
          <w:shd w:val="clear" w:color="auto" w:fill="ffffff"/>
          <w:lang w:eastAsia="ru-RU"/>
        </w:rPr>
        <w:t xml:space="preserve">овании документации по планировке территории. Подготовка документации по планировке территории, предназначенной для размещения автомобильных дорог и (или) объектов дорожного сервиса, осуществляется с учетом утверждаемых Правительством Российской Федерации </w:t>
      </w:r>
      <w:hyperlink r:id="rId26" w:tooltip="https://www.consultant.ru/document/cons_doc_LAW_111609/42cd86d2ef49ffe6b742e9faf55855b35796ddf1/#dst100012" w:anchor="dst100012" w:history="1">
        <w:r>
          <w:rPr>
            <w:sz w:val="24"/>
            <w:szCs w:val="24"/>
            <w:u w:val="single"/>
            <w:shd w:val="clear" w:color="auto" w:fill="ffffff"/>
            <w:lang w:eastAsia="ru-RU"/>
          </w:rPr>
          <w:t xml:space="preserve">норм</w:t>
        </w:r>
      </w:hyperlink>
      <w:r>
        <w:rPr>
          <w:sz w:val="24"/>
          <w:szCs w:val="24"/>
          <w:shd w:val="clear" w:color="auto" w:fill="ffffff"/>
          <w:lang w:eastAsia="ru-RU"/>
        </w:rPr>
        <w:t xml:space="preserve"> отвода земель для размещения указанных объектов (ст. 25 Федерального </w:t>
      </w:r>
      <w:r>
        <w:rPr>
          <w:bCs/>
          <w:sz w:val="24"/>
          <w:szCs w:val="24"/>
          <w:shd w:val="clear" w:color="auto" w:fill="ffffff"/>
          <w:lang w:eastAsia="ru-RU"/>
        </w:rPr>
        <w:t xml:space="preserve">закона</w:t>
      </w:r>
      <w:r>
        <w:rPr>
          <w:sz w:val="24"/>
          <w:szCs w:val="24"/>
          <w:shd w:val="clear" w:color="auto" w:fill="ffffff"/>
          <w:lang w:eastAsia="ru-RU"/>
        </w:rPr>
        <w:t xml:space="preserve"> от 8 ноября 2007 г. № 257-ФЗ «</w:t>
      </w:r>
      <w:r>
        <w:rPr>
          <w:bCs/>
          <w:sz w:val="24"/>
          <w:szCs w:val="24"/>
          <w:shd w:val="clear" w:color="auto" w:fill="ffffff"/>
          <w:lang w:eastAsia="ru-RU"/>
        </w:rPr>
        <w:t xml:space="preserve">Об</w:t>
      </w:r>
      <w:r>
        <w:rPr>
          <w:sz w:val="24"/>
          <w:szCs w:val="24"/>
          <w:shd w:val="clear" w:color="auto" w:fill="ffffff"/>
          <w:lang w:eastAsia="ru-RU"/>
        </w:rPr>
        <w:t xml:space="preserve"> </w:t>
      </w:r>
      <w:r>
        <w:rPr>
          <w:bCs/>
          <w:sz w:val="24"/>
          <w:szCs w:val="24"/>
          <w:shd w:val="clear" w:color="auto" w:fill="ffffff"/>
          <w:lang w:eastAsia="ru-RU"/>
        </w:rPr>
        <w:t xml:space="preserve">автомобильных</w:t>
      </w:r>
      <w:r>
        <w:rPr>
          <w:sz w:val="24"/>
          <w:szCs w:val="24"/>
          <w:shd w:val="clear" w:color="auto" w:fill="ffffff"/>
          <w:lang w:eastAsia="ru-RU"/>
        </w:rPr>
        <w:t xml:space="preserve"> </w:t>
      </w:r>
      <w:r>
        <w:rPr>
          <w:bCs/>
          <w:sz w:val="24"/>
          <w:szCs w:val="24"/>
          <w:shd w:val="clear" w:color="auto" w:fill="ffffff"/>
          <w:lang w:eastAsia="ru-RU"/>
        </w:rPr>
        <w:t xml:space="preserve">дорогах</w:t>
      </w:r>
      <w:r>
        <w:rPr>
          <w:sz w:val="24"/>
          <w:szCs w:val="24"/>
          <w:shd w:val="clear" w:color="auto" w:fill="ffffff"/>
          <w:lang w:eastAsia="ru-RU"/>
        </w:rPr>
        <w:t xml:space="preserve"> </w:t>
      </w:r>
      <w:r>
        <w:rPr>
          <w:bCs/>
          <w:sz w:val="24"/>
          <w:szCs w:val="24"/>
          <w:shd w:val="clear" w:color="auto" w:fill="ffffff"/>
          <w:lang w:eastAsia="ru-RU"/>
        </w:rPr>
        <w:t xml:space="preserve">и</w:t>
      </w:r>
      <w:r>
        <w:rPr>
          <w:sz w:val="24"/>
          <w:szCs w:val="24"/>
          <w:shd w:val="clear" w:color="auto" w:fill="ffffff"/>
          <w:lang w:eastAsia="ru-RU"/>
        </w:rPr>
        <w:t xml:space="preserve"> о </w:t>
      </w:r>
      <w:r>
        <w:rPr>
          <w:bCs/>
          <w:sz w:val="24"/>
          <w:szCs w:val="24"/>
          <w:shd w:val="clear" w:color="auto" w:fill="ffffff"/>
          <w:lang w:eastAsia="ru-RU"/>
        </w:rPr>
        <w:t xml:space="preserve">дорожной</w:t>
      </w:r>
      <w:r>
        <w:rPr>
          <w:sz w:val="24"/>
          <w:szCs w:val="24"/>
          <w:shd w:val="clear" w:color="auto" w:fill="ffffff"/>
          <w:lang w:eastAsia="ru-RU"/>
        </w:rPr>
        <w:t xml:space="preserve"> </w:t>
      </w:r>
      <w:r>
        <w:rPr>
          <w:bCs/>
          <w:sz w:val="24"/>
          <w:szCs w:val="24"/>
          <w:shd w:val="clear" w:color="auto" w:fill="ffffff"/>
          <w:lang w:eastAsia="ru-RU"/>
        </w:rPr>
        <w:t xml:space="preserve">деятельности</w:t>
      </w:r>
      <w:r>
        <w:rPr>
          <w:sz w:val="24"/>
          <w:szCs w:val="24"/>
          <w:shd w:val="clear" w:color="auto" w:fill="ffffff"/>
          <w:lang w:eastAsia="ru-RU"/>
        </w:rPr>
        <w:t xml:space="preserve"> </w:t>
      </w:r>
      <w:r>
        <w:rPr>
          <w:bCs/>
          <w:sz w:val="24"/>
          <w:szCs w:val="24"/>
          <w:shd w:val="clear" w:color="auto" w:fill="ffffff"/>
          <w:lang w:eastAsia="ru-RU"/>
        </w:rPr>
        <w:t xml:space="preserve">в</w:t>
      </w:r>
      <w:r>
        <w:rPr>
          <w:sz w:val="24"/>
          <w:szCs w:val="24"/>
          <w:shd w:val="clear" w:color="auto" w:fill="ffffff"/>
          <w:lang w:eastAsia="ru-RU"/>
        </w:rPr>
        <w:t xml:space="preserve"> </w:t>
      </w:r>
      <w:r>
        <w:rPr>
          <w:bCs/>
          <w:sz w:val="24"/>
          <w:szCs w:val="24"/>
          <w:shd w:val="clear" w:color="auto" w:fill="ffffff"/>
          <w:lang w:eastAsia="ru-RU"/>
        </w:rPr>
        <w:t xml:space="preserve">Российской</w:t>
      </w:r>
      <w:r>
        <w:rPr>
          <w:sz w:val="24"/>
          <w:szCs w:val="24"/>
          <w:shd w:val="clear" w:color="auto" w:fill="ffffff"/>
          <w:lang w:eastAsia="ru-RU"/>
        </w:rPr>
        <w:t xml:space="preserve"> </w:t>
      </w:r>
      <w:r>
        <w:rPr>
          <w:bCs/>
          <w:sz w:val="24"/>
          <w:szCs w:val="24"/>
          <w:shd w:val="clear" w:color="auto" w:fill="ffffff"/>
          <w:lang w:eastAsia="ru-RU"/>
        </w:rPr>
        <w:t xml:space="preserve">Федерации</w:t>
      </w:r>
      <w:r>
        <w:rPr>
          <w:sz w:val="24"/>
          <w:szCs w:val="24"/>
          <w:shd w:val="clear" w:color="auto" w:fill="ffffff"/>
          <w:lang w:eastAsia="ru-RU"/>
        </w:rPr>
        <w:t xml:space="preserve"> и о внесении изменений в отдельные законодательные акты </w:t>
      </w:r>
      <w:r>
        <w:rPr>
          <w:bCs/>
          <w:sz w:val="24"/>
          <w:szCs w:val="24"/>
          <w:shd w:val="clear" w:color="auto" w:fill="ffffff"/>
          <w:lang w:eastAsia="ru-RU"/>
        </w:rPr>
        <w:t xml:space="preserve">Российской</w:t>
      </w:r>
      <w:r>
        <w:rPr>
          <w:sz w:val="24"/>
          <w:szCs w:val="24"/>
          <w:shd w:val="clear" w:color="auto" w:fill="ffffff"/>
          <w:lang w:eastAsia="ru-RU"/>
        </w:rPr>
        <w:t xml:space="preserve"> </w:t>
      </w:r>
      <w:r>
        <w:rPr>
          <w:bCs/>
          <w:sz w:val="24"/>
          <w:szCs w:val="24"/>
          <w:shd w:val="clear" w:color="auto" w:fill="ffffff"/>
          <w:lang w:eastAsia="ru-RU"/>
        </w:rPr>
        <w:t xml:space="preserve">Федерации</w:t>
      </w:r>
      <w:r>
        <w:rPr>
          <w:sz w:val="24"/>
          <w:szCs w:val="24"/>
          <w:shd w:val="clear" w:color="auto" w:fill="ffffff"/>
          <w:lang w:eastAsia="ru-RU"/>
        </w:rPr>
        <w:t xml:space="preserve">»). </w:t>
      </w:r>
      <w:r>
        <w:rPr>
          <w:sz w:val="24"/>
          <w:szCs w:val="24"/>
          <w:shd w:val="clear" w:color="auto" w:fill="ffffff"/>
          <w:lang w:eastAsia="ru-RU"/>
        </w:rPr>
      </w:r>
      <w:r/>
    </w:p>
    <w:p>
      <w:pPr>
        <w:ind w:firstLine="567"/>
        <w:jc w:val="both"/>
        <w:keepNext/>
      </w:pPr>
      <w:r>
        <w:rPr>
          <w:sz w:val="24"/>
          <w:szCs w:val="24"/>
          <w:shd w:val="clear" w:color="auto" w:fill="ffffff"/>
          <w:lang w:eastAsia="ru-RU"/>
        </w:rPr>
        <w:t xml:space="preserve">Земельные участки в границах полосы отвода автомобильной дороги, предназначенные для размещения объектов дорожного сервиса, для установки и эксплуатации рекламных конструкций, могут предоставляться гражданам или юридическим лицам дл</w:t>
      </w:r>
      <w:r>
        <w:rPr>
          <w:sz w:val="24"/>
          <w:szCs w:val="24"/>
          <w:shd w:val="clear" w:color="auto" w:fill="ffffff"/>
          <w:lang w:eastAsia="ru-RU"/>
        </w:rPr>
        <w:t xml:space="preserve">я размещения таких объектов. В отношении земельных участков в границах полосы отвода автомобильной дороги, предназначенных для размещения объектов дорожного сервиса, для установки и эксплуатации рекламных конструкций, допускается установление сервитутов в </w:t>
      </w:r>
      <w:hyperlink r:id="rId27" w:tooltip="https://internet.garant.ru/#/document/71538662/entry/1000" w:anchor="/document/71538662/entry/1000" w:history="1">
        <w:r>
          <w:rPr>
            <w:sz w:val="24"/>
            <w:szCs w:val="24"/>
            <w:shd w:val="clear" w:color="auto" w:fill="ffffff"/>
            <w:lang w:eastAsia="ru-RU"/>
          </w:rPr>
          <w:t xml:space="preserve">порядке</w:t>
        </w:r>
      </w:hyperlink>
      <w:r>
        <w:rPr>
          <w:sz w:val="24"/>
          <w:szCs w:val="24"/>
          <w:shd w:val="clear" w:color="auto" w:fill="ffffff"/>
          <w:lang w:eastAsia="ru-RU"/>
        </w:rPr>
        <w:t xml:space="preserve">, установленном </w:t>
      </w:r>
      <w:hyperlink r:id="rId28" w:tooltip="https://internet.garant.ru/#/document/10164072/entry/274" w:anchor="/document/10164072/entry/274" w:history="1">
        <w:r>
          <w:rPr>
            <w:sz w:val="24"/>
            <w:szCs w:val="24"/>
            <w:shd w:val="clear" w:color="auto" w:fill="ffffff"/>
            <w:lang w:eastAsia="ru-RU"/>
          </w:rPr>
          <w:t xml:space="preserve">гражданским законодательством</w:t>
        </w:r>
      </w:hyperlink>
      <w:r>
        <w:rPr>
          <w:sz w:val="24"/>
          <w:szCs w:val="24"/>
          <w:shd w:val="clear" w:color="auto" w:fill="ffffff"/>
          <w:lang w:eastAsia="ru-RU"/>
        </w:rPr>
        <w:t xml:space="preserve"> и </w:t>
      </w:r>
      <w:hyperlink r:id="rId29" w:tooltip="https://internet.garant.ru/#/document/12124624/entry/23" w:anchor="/document/12124624/entry/23" w:history="1">
        <w:r>
          <w:rPr>
            <w:sz w:val="24"/>
            <w:szCs w:val="24"/>
            <w:shd w:val="clear" w:color="auto" w:fill="ffffff"/>
            <w:lang w:eastAsia="ru-RU"/>
          </w:rPr>
          <w:t xml:space="preserve">земельным законодательством</w:t>
        </w:r>
      </w:hyperlink>
      <w:r>
        <w:rPr>
          <w:sz w:val="24"/>
          <w:szCs w:val="24"/>
          <w:lang w:eastAsia="ru-RU"/>
        </w:rPr>
        <w:t xml:space="preserve">.</w:t>
      </w:r>
      <w:r>
        <w:rPr>
          <w:sz w:val="24"/>
          <w:szCs w:val="24"/>
          <w:lang w:eastAsia="ru-RU"/>
        </w:rPr>
      </w:r>
      <w:r/>
    </w:p>
    <w:p>
      <w:pPr>
        <w:ind w:firstLine="567"/>
        <w:jc w:val="both"/>
        <w:keepNext/>
      </w:pPr>
      <w:r>
        <w:rPr>
          <w:sz w:val="24"/>
          <w:szCs w:val="24"/>
          <w:shd w:val="clear" w:color="auto" w:fill="ffffff"/>
          <w:lang w:eastAsia="ru-RU"/>
        </w:rPr>
        <w:t xml:space="preserve">Размещение объектов дорожного сервиса в границах полосы отвода автомобильной дороги должно осуществляться в соответствии с </w:t>
      </w:r>
      <w:r>
        <w:rPr>
          <w:sz w:val="24"/>
          <w:szCs w:val="24"/>
          <w:shd w:val="clear" w:color="auto" w:fill="ffffff"/>
          <w:lang w:eastAsia="ru-RU"/>
        </w:rPr>
        <w:t xml:space="preserve">документацией по планировке территории и требованиями технических регламентов (ст. 22 ФЗ № 257).</w:t>
      </w:r>
      <w:r>
        <w:rPr>
          <w:sz w:val="24"/>
          <w:szCs w:val="24"/>
          <w:lang w:eastAsia="ru-RU"/>
        </w:rPr>
      </w:r>
      <w:r/>
    </w:p>
    <w:p>
      <w:pPr>
        <w:ind w:firstLine="567"/>
        <w:jc w:val="both"/>
        <w:keepNext/>
      </w:pPr>
      <w:r>
        <w:rPr>
          <w:sz w:val="24"/>
          <w:szCs w:val="24"/>
          <w:shd w:val="clear" w:color="auto" w:fill="ffffff"/>
          <w:lang w:eastAsia="ru-RU"/>
        </w:rPr>
        <w:t xml:space="preserve">К полномочиям органов местного самоуправления поселений в области использования автомобильных дорог и осуществления дорожной деятельности относятся, в том числе:</w:t>
      </w:r>
      <w:r>
        <w:rPr>
          <w:sz w:val="24"/>
          <w:szCs w:val="24"/>
          <w:shd w:val="clear" w:color="auto" w:fill="ffffff"/>
          <w:lang w:eastAsia="ru-RU"/>
        </w:rPr>
      </w:r>
      <w:r/>
    </w:p>
    <w:p>
      <w:pPr>
        <w:ind w:firstLine="567"/>
        <w:jc w:val="both"/>
        <w:shd w:val="clear" w:color="auto" w:fill="ffffff"/>
        <w:widowControl/>
      </w:pPr>
      <w:r>
        <w:rPr>
          <w:sz w:val="24"/>
          <w:szCs w:val="24"/>
          <w:lang w:eastAsia="ru-RU"/>
        </w:rPr>
        <w:t xml:space="preserve">принятие решений о создании и об использовании на платной основе парковок (парковочных мест), расположенных на автомобильных дорогах общего пользования местного значения, и о прекращении такого использования;</w:t>
      </w:r>
      <w:r>
        <w:rPr>
          <w:sz w:val="24"/>
          <w:szCs w:val="24"/>
          <w:lang w:eastAsia="ru-RU"/>
        </w:rPr>
      </w:r>
      <w:r/>
    </w:p>
    <w:p>
      <w:pPr>
        <w:ind w:firstLine="567"/>
        <w:jc w:val="both"/>
        <w:shd w:val="clear" w:color="auto" w:fill="ffffff"/>
        <w:widowControl/>
      </w:pPr>
      <w:r>
        <w:rPr>
          <w:sz w:val="24"/>
          <w:szCs w:val="24"/>
          <w:lang w:eastAsia="ru-RU"/>
        </w:rPr>
        <w:t xml:space="preserve">установление порядка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w:t>
      </w:r>
      <w:r>
        <w:rPr>
          <w:sz w:val="24"/>
          <w:szCs w:val="24"/>
          <w:lang w:eastAsia="ru-RU"/>
        </w:rPr>
      </w:r>
      <w:r/>
    </w:p>
    <w:p>
      <w:pPr>
        <w:ind w:firstLine="567"/>
        <w:jc w:val="both"/>
        <w:shd w:val="clear" w:color="auto" w:fill="ffffff"/>
        <w:widowControl/>
      </w:pPr>
      <w:r>
        <w:rPr>
          <w:sz w:val="24"/>
          <w:szCs w:val="24"/>
          <w:lang w:eastAsia="ru-RU"/>
        </w:rPr>
        <w:t xml:space="preserve">установление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 (п. 3.1, 3.2, 3.3 ст. 13 ФЗ </w:t>
      </w:r>
      <w:r>
        <w:rPr>
          <w:sz w:val="24"/>
          <w:szCs w:val="24"/>
          <w:shd w:val="clear" w:color="auto" w:fill="ffffff"/>
          <w:lang w:eastAsia="ru-RU"/>
        </w:rPr>
        <w:t xml:space="preserve">№ 257).</w:t>
      </w:r>
      <w:r>
        <w:rPr>
          <w:sz w:val="24"/>
          <w:szCs w:val="24"/>
          <w:lang w:eastAsia="ru-RU"/>
        </w:rPr>
      </w:r>
      <w:r/>
    </w:p>
    <w:p>
      <w:pPr>
        <w:ind w:firstLine="567"/>
        <w:jc w:val="both"/>
        <w:widowControl/>
      </w:pPr>
      <w:r>
        <w:rPr>
          <w:sz w:val="24"/>
          <w:szCs w:val="24"/>
          <w:lang w:eastAsia="ru-RU"/>
        </w:rPr>
        <w:t xml:space="preserve">2. Сервитут </w:t>
      </w:r>
      <w:r>
        <w:rPr>
          <w:sz w:val="24"/>
          <w:szCs w:val="24"/>
          <w:lang w:eastAsia="ru-RU"/>
        </w:rPr>
        <w:t xml:space="preserve">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r>
        <w:rPr>
          <w:sz w:val="24"/>
          <w:szCs w:val="24"/>
          <w:lang w:eastAsia="ru-RU"/>
        </w:rPr>
      </w:r>
      <w:r/>
    </w:p>
    <w:p>
      <w:pPr>
        <w:ind w:firstLine="567"/>
        <w:jc w:val="both"/>
        <w:widowControl/>
      </w:pPr>
      <w:r>
        <w:rPr>
          <w:sz w:val="24"/>
          <w:szCs w:val="24"/>
          <w:lang w:eastAsia="ru-RU"/>
        </w:rPr>
        <w:t xml:space="preserve">3. Публичный сервитут устанавливается в соответствии с Земельн</w:t>
      </w:r>
      <w:r>
        <w:rPr>
          <w:sz w:val="24"/>
          <w:szCs w:val="24"/>
          <w:lang w:eastAsia="ru-RU"/>
        </w:rPr>
        <w:t xml:space="preserve">ым Кодексом РФ. К правоотношениям, возникающим в связи с установлением, осуществлением и прекращением действия публичного сервитута, положения Гражданского кодекса Российской Федерации о сервитуте и положения главы V.3 Земельного Кодекса РФ не применяются.</w:t>
      </w:r>
      <w:r>
        <w:rPr>
          <w:sz w:val="24"/>
          <w:szCs w:val="24"/>
          <w:lang w:eastAsia="ru-RU"/>
        </w:rPr>
      </w:r>
      <w:r/>
    </w:p>
    <w:p>
      <w:pPr>
        <w:ind w:firstLine="567"/>
        <w:jc w:val="both"/>
        <w:widowControl/>
      </w:pPr>
      <w:r>
        <w:rPr>
          <w:sz w:val="24"/>
          <w:szCs w:val="24"/>
          <w:lang w:eastAsia="ru-RU"/>
        </w:rPr>
        <w:t xml:space="preserve">4. Публичный сервитут может устанавливаться для:</w:t>
      </w:r>
      <w:r>
        <w:rPr>
          <w:sz w:val="24"/>
          <w:szCs w:val="24"/>
          <w:lang w:eastAsia="ru-RU"/>
        </w:rPr>
      </w:r>
      <w:r/>
    </w:p>
    <w:p>
      <w:pPr>
        <w:ind w:firstLine="567"/>
        <w:jc w:val="both"/>
        <w:widowControl/>
      </w:pPr>
      <w:r>
        <w:rPr>
          <w:sz w:val="24"/>
          <w:szCs w:val="24"/>
          <w:lang w:eastAsia="ru-RU"/>
        </w:rPr>
        <w:t xml:space="preserve">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r>
        <w:rPr>
          <w:sz w:val="24"/>
          <w:szCs w:val="24"/>
          <w:lang w:eastAsia="ru-RU"/>
        </w:rPr>
      </w:r>
      <w:r/>
    </w:p>
    <w:p>
      <w:pPr>
        <w:ind w:firstLine="567"/>
        <w:jc w:val="both"/>
        <w:widowControl/>
      </w:pPr>
      <w:r>
        <w:rPr>
          <w:sz w:val="24"/>
          <w:szCs w:val="24"/>
          <w:lang w:eastAsia="ru-RU"/>
        </w:rPr>
        <w:t xml:space="preserve">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r>
        <w:rPr>
          <w:sz w:val="24"/>
          <w:szCs w:val="24"/>
          <w:lang w:eastAsia="ru-RU"/>
        </w:rPr>
      </w:r>
      <w:r/>
    </w:p>
    <w:p>
      <w:pPr>
        <w:ind w:firstLine="567"/>
        <w:jc w:val="both"/>
        <w:widowControl/>
      </w:pPr>
      <w:r>
        <w:rPr>
          <w:sz w:val="24"/>
          <w:szCs w:val="24"/>
          <w:lang w:eastAsia="ru-RU"/>
        </w:rPr>
        <w:t xml:space="preserve">3) проведения дренажных работ на земельном участке;</w:t>
      </w:r>
      <w:r>
        <w:rPr>
          <w:sz w:val="24"/>
          <w:szCs w:val="24"/>
          <w:lang w:eastAsia="ru-RU"/>
        </w:rPr>
      </w:r>
      <w:r/>
    </w:p>
    <w:p>
      <w:pPr>
        <w:ind w:firstLine="567"/>
        <w:jc w:val="both"/>
        <w:widowControl/>
      </w:pPr>
      <w:r>
        <w:rPr>
          <w:sz w:val="24"/>
          <w:szCs w:val="24"/>
          <w:lang w:eastAsia="ru-RU"/>
        </w:rPr>
        <w:t xml:space="preserve">4) забора (изъятия) водных ресурсов из водных объектов и водопоя;</w:t>
      </w:r>
      <w:r>
        <w:rPr>
          <w:sz w:val="24"/>
          <w:szCs w:val="24"/>
          <w:lang w:eastAsia="ru-RU"/>
        </w:rPr>
      </w:r>
      <w:r/>
    </w:p>
    <w:p>
      <w:pPr>
        <w:ind w:firstLine="567"/>
        <w:jc w:val="both"/>
        <w:widowControl/>
      </w:pPr>
      <w:r>
        <w:rPr>
          <w:sz w:val="24"/>
          <w:szCs w:val="24"/>
          <w:lang w:eastAsia="ru-RU"/>
        </w:rPr>
        <w:t xml:space="preserve">5) прогона сельскохозяйственных животных через земельный участок;</w:t>
      </w:r>
      <w:r>
        <w:rPr>
          <w:sz w:val="24"/>
          <w:szCs w:val="24"/>
          <w:lang w:eastAsia="ru-RU"/>
        </w:rPr>
      </w:r>
      <w:r/>
    </w:p>
    <w:p>
      <w:pPr>
        <w:ind w:firstLine="567"/>
        <w:jc w:val="both"/>
        <w:widowControl/>
      </w:pPr>
      <w:r>
        <w:rPr>
          <w:sz w:val="24"/>
          <w:szCs w:val="24"/>
          <w:lang w:eastAsia="ru-RU"/>
        </w:rPr>
        <w:t xml:space="preserve">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r>
        <w:rPr>
          <w:sz w:val="24"/>
          <w:szCs w:val="24"/>
          <w:lang w:eastAsia="ru-RU"/>
        </w:rPr>
      </w:r>
      <w:r/>
    </w:p>
    <w:p>
      <w:pPr>
        <w:ind w:firstLine="567"/>
        <w:jc w:val="both"/>
        <w:widowControl/>
      </w:pPr>
      <w:r>
        <w:rPr>
          <w:sz w:val="24"/>
          <w:szCs w:val="24"/>
          <w:lang w:eastAsia="ru-RU"/>
        </w:rPr>
        <w:t xml:space="preserve">7) использования земельного участка в целях охоты, рыболовства, аквакультуры (рыбоводства);</w:t>
      </w:r>
      <w:r>
        <w:rPr>
          <w:sz w:val="24"/>
          <w:szCs w:val="24"/>
          <w:lang w:eastAsia="ru-RU"/>
        </w:rPr>
      </w:r>
      <w:r/>
    </w:p>
    <w:p>
      <w:pPr>
        <w:ind w:firstLine="567"/>
        <w:jc w:val="both"/>
        <w:widowControl/>
      </w:pPr>
      <w:r>
        <w:rPr>
          <w:sz w:val="24"/>
          <w:szCs w:val="24"/>
          <w:lang w:eastAsia="ru-RU"/>
        </w:rPr>
        <w:t xml:space="preserve">8) использования земельного участка в целях, предусмотренных статьей 39.37 Земельного Кодекса РФ.</w:t>
      </w:r>
      <w:r>
        <w:rPr>
          <w:sz w:val="24"/>
          <w:szCs w:val="24"/>
          <w:lang w:eastAsia="ru-RU"/>
        </w:rPr>
      </w:r>
      <w:r/>
    </w:p>
    <w:p>
      <w:pPr>
        <w:ind w:firstLine="567"/>
        <w:jc w:val="both"/>
        <w:widowControl/>
      </w:pPr>
      <w:r>
        <w:rPr>
          <w:sz w:val="24"/>
          <w:szCs w:val="24"/>
          <w:lang w:eastAsia="ru-RU"/>
        </w:rPr>
        <w:t xml:space="preserve">5. Публичный сервитут может быть установлен в отношении одного или нескольких земельных участков и (или) земель.</w:t>
      </w:r>
      <w:r>
        <w:rPr>
          <w:sz w:val="24"/>
          <w:szCs w:val="24"/>
          <w:lang w:eastAsia="ru-RU"/>
        </w:rPr>
      </w:r>
      <w:r/>
    </w:p>
    <w:p>
      <w:pPr>
        <w:ind w:firstLine="567"/>
        <w:jc w:val="both"/>
        <w:widowControl/>
      </w:pPr>
      <w:r>
        <w:rPr>
          <w:sz w:val="24"/>
          <w:szCs w:val="24"/>
          <w:lang w:eastAsia="ru-RU"/>
        </w:rPr>
        <w:t xml:space="preserve">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r>
        <w:rPr>
          <w:sz w:val="24"/>
          <w:szCs w:val="24"/>
          <w:lang w:eastAsia="ru-RU"/>
        </w:rPr>
      </w:r>
      <w:r/>
    </w:p>
    <w:p>
      <w:pPr>
        <w:ind w:firstLine="567"/>
        <w:jc w:val="both"/>
        <w:widowControl/>
      </w:pPr>
      <w:r>
        <w:rPr>
          <w:sz w:val="24"/>
          <w:szCs w:val="24"/>
          <w:lang w:eastAsia="ru-RU"/>
        </w:rPr>
        <w:t xml:space="preserve">6. Переход прав на земельный участок, обремененный публичным сервитутом, предоставление</w:t>
      </w:r>
      <w:r>
        <w:rPr>
          <w:sz w:val="24"/>
          <w:szCs w:val="24"/>
          <w:lang w:eastAsia="ru-RU"/>
        </w:rPr>
        <w:t xml:space="preserve"> обремененного публичным сервитутом земельного участка, находящегося 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r>
        <w:rPr>
          <w:sz w:val="24"/>
          <w:szCs w:val="24"/>
          <w:lang w:eastAsia="ru-RU"/>
        </w:rPr>
      </w:r>
      <w:r/>
    </w:p>
    <w:p>
      <w:pPr>
        <w:ind w:firstLine="567"/>
        <w:jc w:val="both"/>
        <w:widowControl/>
      </w:pPr>
      <w:r>
        <w:rPr>
          <w:sz w:val="24"/>
          <w:szCs w:val="24"/>
          <w:lang w:eastAsia="ru-RU"/>
        </w:rPr>
        <w:t xml:space="preserve">7. С</w:t>
      </w:r>
      <w:r>
        <w:rPr>
          <w:sz w:val="24"/>
          <w:szCs w:val="24"/>
          <w:lang w:eastAsia="ru-RU"/>
        </w:rPr>
        <w:t xml:space="preserve">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пунктом 4 статьи 39.24 Земельного Кодекса РФ.</w:t>
      </w:r>
      <w:r>
        <w:rPr>
          <w:sz w:val="24"/>
          <w:szCs w:val="24"/>
          <w:lang w:eastAsia="ru-RU"/>
        </w:rPr>
      </w:r>
      <w:r/>
    </w:p>
    <w:p>
      <w:pPr>
        <w:ind w:firstLine="567"/>
        <w:jc w:val="both"/>
        <w:widowControl/>
      </w:pPr>
      <w:r>
        <w:rPr>
          <w:sz w:val="24"/>
          <w:szCs w:val="24"/>
          <w:lang w:eastAsia="ru-RU"/>
        </w:rPr>
        <w:t xml:space="preserve">Срок публичного сервитута определяется решением о его установлении.</w:t>
      </w:r>
      <w:r>
        <w:rPr>
          <w:sz w:val="24"/>
          <w:szCs w:val="24"/>
          <w:lang w:eastAsia="ru-RU"/>
        </w:rPr>
      </w:r>
      <w:r/>
    </w:p>
    <w:p>
      <w:pPr>
        <w:ind w:firstLine="567"/>
        <w:jc w:val="both"/>
        <w:widowControl/>
      </w:pPr>
      <w:r>
        <w:rPr>
          <w:sz w:val="24"/>
          <w:szCs w:val="24"/>
          <w:lang w:eastAsia="ru-RU"/>
        </w:rPr>
        <w:t xml:space="preserve">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r>
        <w:rPr>
          <w:sz w:val="24"/>
          <w:szCs w:val="24"/>
          <w:lang w:eastAsia="ru-RU"/>
        </w:rPr>
      </w:r>
      <w:r/>
    </w:p>
    <w:p>
      <w:pPr>
        <w:ind w:firstLine="567"/>
        <w:jc w:val="both"/>
        <w:widowControl/>
      </w:pPr>
      <w:r>
        <w:rPr>
          <w:sz w:val="24"/>
          <w:szCs w:val="24"/>
          <w:lang w:eastAsia="ru-RU"/>
        </w:rPr>
        <w:t xml:space="preserve">8. 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r>
        <w:rPr>
          <w:sz w:val="24"/>
          <w:szCs w:val="24"/>
          <w:lang w:eastAsia="ru-RU"/>
        </w:rPr>
      </w:r>
      <w:r/>
    </w:p>
    <w:p>
      <w:pPr>
        <w:ind w:firstLine="567"/>
        <w:jc w:val="both"/>
        <w:widowControl/>
      </w:pPr>
      <w:r>
        <w:rPr>
          <w:sz w:val="24"/>
          <w:szCs w:val="24"/>
          <w:lang w:eastAsia="ru-RU"/>
        </w:rPr>
        <w:t xml:space="preserve">9. Установление сервитута, публичного сервитута применительно к землям и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w:t>
      </w:r>
      <w:r>
        <w:rPr>
          <w:sz w:val="24"/>
          <w:szCs w:val="24"/>
          <w:lang w:eastAsia="ru-RU"/>
        </w:rPr>
      </w:r>
      <w:r/>
    </w:p>
    <w:p>
      <w:pPr>
        <w:ind w:firstLine="567"/>
        <w:jc w:val="both"/>
        <w:widowControl/>
      </w:pPr>
      <w:r>
        <w:rPr>
          <w:sz w:val="24"/>
          <w:szCs w:val="24"/>
          <w:lang w:eastAsia="ru-RU"/>
        </w:rPr>
        <w:t xml:space="preserve">10</w:t>
      </w:r>
      <w:r>
        <w:rPr>
          <w:sz w:val="24"/>
          <w:szCs w:val="24"/>
          <w:lang w:eastAsia="ru-RU"/>
        </w:rPr>
        <w:t xml:space="preserve">. В случае  если размещение объекта, указанного в подпункте 1 статьи 39.37 Земельного Кодекса РФ, на земельном участке приведет к невозможности использовать земельный участок в соответствии с его разрешенным использованием или существенным затруднениям в е</w:t>
      </w:r>
      <w:r>
        <w:rPr>
          <w:sz w:val="24"/>
          <w:szCs w:val="24"/>
          <w:lang w:eastAsia="ru-RU"/>
        </w:rPr>
        <w:t xml:space="preserve">го использовании в течение срока, превышающего срок, предусмотренный подпунктом 4 пункта 1 статьи 39.44 Земельного Кодекса РФ, размещение указанного сооружения на земельном участке, принадлежащем гражданину или юридическому лицу, на условиях публичного сер</w:t>
      </w:r>
      <w:r>
        <w:rPr>
          <w:sz w:val="24"/>
          <w:szCs w:val="24"/>
          <w:lang w:eastAsia="ru-RU"/>
        </w:rPr>
        <w:t xml:space="preserve">витута не осуществляется. В данном случае размещение указанного сооружения может быть осуществлено после изъятия земельного участка для государственных или муниципальных нужд при соблюдении условий, предусмотренных статьями 49 и 56.3 Земельного Кодекса РФ.</w:t>
      </w:r>
      <w:r>
        <w:rPr>
          <w:sz w:val="24"/>
          <w:szCs w:val="24"/>
          <w:lang w:eastAsia="ru-RU"/>
        </w:rPr>
      </w:r>
      <w:r/>
    </w:p>
    <w:p>
      <w:pPr>
        <w:ind w:firstLine="567"/>
        <w:jc w:val="both"/>
        <w:widowControl/>
      </w:pPr>
      <w:r>
        <w:rPr>
          <w:sz w:val="24"/>
          <w:szCs w:val="24"/>
          <w:lang w:eastAsia="ru-RU"/>
        </w:rPr>
        <w:t xml:space="preserve">11. Деятельность, для обеспечения которой устанавливаются сервитут, публичный сервитут, может осу</w:t>
      </w:r>
      <w:r>
        <w:rPr>
          <w:sz w:val="24"/>
          <w:szCs w:val="24"/>
          <w:lang w:eastAsia="ru-RU"/>
        </w:rPr>
        <w:t xml:space="preserve">ществляться на земельном участке независимо от его целевого назначения и разрешенного использования, за исключением случаев, если осуществление данной деятельности не допускается в границах определенных зон, земель и территорий в соответствии с их режимом.</w:t>
      </w:r>
      <w:r>
        <w:rPr>
          <w:sz w:val="24"/>
          <w:szCs w:val="24"/>
          <w:lang w:eastAsia="ru-RU"/>
        </w:rPr>
      </w:r>
      <w:r/>
    </w:p>
    <w:p>
      <w:pPr>
        <w:ind w:firstLine="567"/>
        <w:jc w:val="both"/>
        <w:widowControl/>
      </w:pPr>
      <w:r>
        <w:rPr>
          <w:sz w:val="24"/>
          <w:szCs w:val="24"/>
          <w:lang w:eastAsia="ru-RU"/>
        </w:rPr>
        <w:t xml:space="preserve">12. Правообладатель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Земельным Кодексом РФ или федеральным законом.</w:t>
      </w:r>
      <w:r>
        <w:rPr>
          <w:sz w:val="24"/>
          <w:szCs w:val="24"/>
          <w:lang w:eastAsia="ru-RU"/>
        </w:rPr>
      </w:r>
      <w:r/>
    </w:p>
    <w:p>
      <w:pPr>
        <w:ind w:firstLine="567"/>
        <w:jc w:val="both"/>
        <w:widowControl/>
      </w:pPr>
      <w:r>
        <w:rPr>
          <w:sz w:val="24"/>
          <w:szCs w:val="24"/>
          <w:lang w:eastAsia="ru-RU"/>
        </w:rPr>
        <w:t xml:space="preserve">13. В случае, когда установление публичного сервитута приводит к существенным </w:t>
      </w:r>
      <w:r>
        <w:rPr>
          <w:sz w:val="24"/>
          <w:szCs w:val="24"/>
          <w:lang w:eastAsia="ru-RU"/>
        </w:rPr>
        <w:t xml:space="preserve">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установивших публичный сервитут, соразмерную плату, если иное не предусмотрено Земельным Кодексом РФ.</w:t>
      </w:r>
      <w:r>
        <w:rPr>
          <w:sz w:val="24"/>
          <w:szCs w:val="24"/>
          <w:lang w:eastAsia="ru-RU"/>
        </w:rPr>
      </w:r>
      <w:r/>
    </w:p>
    <w:p>
      <w:pPr>
        <w:ind w:firstLine="567"/>
        <w:jc w:val="both"/>
        <w:widowControl/>
      </w:pPr>
      <w:r>
        <w:rPr>
          <w:sz w:val="24"/>
          <w:szCs w:val="24"/>
          <w:lang w:eastAsia="ru-RU"/>
        </w:rPr>
        <w:t xml:space="preserve">14. Лица, права и законные интересы которых затрагиваются установлением публичного сервитута, могут осуществлять защиту своих прав в судебном порядке.</w:t>
      </w:r>
      <w:r>
        <w:rPr>
          <w:sz w:val="24"/>
          <w:szCs w:val="24"/>
          <w:lang w:eastAsia="ru-RU"/>
        </w:rPr>
      </w:r>
      <w:r/>
    </w:p>
    <w:p>
      <w:pPr>
        <w:ind w:firstLine="567"/>
        <w:jc w:val="both"/>
        <w:widowControl/>
      </w:pPr>
      <w:r>
        <w:rPr>
          <w:sz w:val="24"/>
          <w:szCs w:val="24"/>
          <w:lang w:eastAsia="ru-RU"/>
        </w:rPr>
        <w:t xml:space="preserve">15. Отсутствие в Едином государственном реестре недвижимости сведений о зарегистриро</w:t>
      </w:r>
      <w:r>
        <w:rPr>
          <w:sz w:val="24"/>
          <w:szCs w:val="24"/>
          <w:lang w:eastAsia="ru-RU"/>
        </w:rPr>
        <w:t xml:space="preserve">ванных правах на обременяемые публичным сервитутом земельные участки и (или) о координатах характерных точек границ таких земельных участков, наличие споров о правах на такие земельные участки не являются препятствием для установления публичного сервитута.</w:t>
      </w:r>
      <w:r>
        <w:rPr>
          <w:sz w:val="24"/>
          <w:szCs w:val="24"/>
          <w:lang w:eastAsia="ru-RU"/>
        </w:rPr>
      </w:r>
      <w:r/>
    </w:p>
    <w:p>
      <w:pPr>
        <w:ind w:firstLine="567"/>
        <w:jc w:val="both"/>
        <w:widowControl/>
      </w:pPr>
      <w:r>
        <w:rPr>
          <w:sz w:val="24"/>
          <w:szCs w:val="24"/>
          <w:lang w:eastAsia="ru-RU"/>
        </w:rPr>
        <w:t xml:space="preserve">16. Наличие на земельном участке обременения не является препятствием для установления публичного </w:t>
      </w:r>
      <w:r>
        <w:rPr>
          <w:sz w:val="24"/>
          <w:szCs w:val="24"/>
          <w:lang w:eastAsia="ru-RU"/>
        </w:rPr>
        <w:t xml:space="preserve">сервитута в отношении такого земельного участка, за исключением случаев, если ранее установленные ограничения прав на земельный участок, публичный сервитут не допускают осуществление деятельности, для обеспечения которой устанавливается публичный сервитут.</w:t>
      </w:r>
      <w:r>
        <w:rPr>
          <w:sz w:val="24"/>
          <w:szCs w:val="24"/>
          <w:lang w:eastAsia="ru-RU"/>
        </w:rPr>
      </w:r>
      <w:r/>
    </w:p>
    <w:p>
      <w:pPr>
        <w:ind w:firstLine="567"/>
        <w:jc w:val="both"/>
        <w:widowControl/>
      </w:pPr>
      <w:r>
        <w:rPr>
          <w:sz w:val="24"/>
          <w:szCs w:val="24"/>
          <w:lang w:eastAsia="ru-RU"/>
        </w:rPr>
        <w:t xml:space="preserve">17. Сервитуты подлежат государственной регистрации в </w:t>
      </w:r>
      <w:r>
        <w:rPr>
          <w:sz w:val="24"/>
          <w:szCs w:val="24"/>
          <w:lang w:eastAsia="ru-RU"/>
        </w:rPr>
        <w:t xml:space="preserve">соответствии с Федеральным законом "О государственной регистрации недвижимости", за исключением сервитутов, предусмотренных пунктом 4 статьи 39.25 Земельного Кодекса РФ. Сведения о публичных сервитутах вносятся в Единый государственный реестр недвижимости.</w:t>
      </w:r>
      <w:r>
        <w:rPr>
          <w:sz w:val="24"/>
          <w:szCs w:val="24"/>
          <w:lang w:eastAsia="ru-RU"/>
        </w:rPr>
      </w:r>
      <w:r/>
    </w:p>
    <w:p>
      <w:pPr>
        <w:ind w:firstLine="567"/>
        <w:jc w:val="both"/>
        <w:widowControl/>
      </w:pPr>
      <w:r>
        <w:rPr>
          <w:sz w:val="24"/>
          <w:szCs w:val="24"/>
          <w:lang w:eastAsia="ru-RU"/>
        </w:rPr>
        <w:t xml:space="preserve">18. Порядок установления публичного сервитута в отношении земельных</w:t>
      </w:r>
      <w:r>
        <w:rPr>
          <w:sz w:val="24"/>
          <w:szCs w:val="24"/>
          <w:lang w:eastAsia="ru-RU"/>
        </w:rPr>
        <w:t xml:space="preserve"> участков и (или) земель для их использования в целях, предусмотренных статьей 39.37 Земельного Кодекса РФ, срок публичного сервитута, условия его осуществления и порядок определения платы за такой сервитут устанавливаются главой V.7 Земельного Кодекса РФ.</w:t>
      </w:r>
      <w:r>
        <w:rPr>
          <w:sz w:val="24"/>
          <w:szCs w:val="24"/>
          <w:lang w:eastAsia="ru-RU"/>
        </w:rPr>
      </w:r>
      <w:r/>
    </w:p>
    <w:p>
      <w:pPr>
        <w:ind w:firstLine="567"/>
        <w:jc w:val="both"/>
        <w:widowControl/>
      </w:pPr>
      <w:r>
        <w:rPr>
          <w:sz w:val="24"/>
          <w:szCs w:val="24"/>
          <w:lang w:eastAsia="ru-RU"/>
        </w:rPr>
        <w:t xml:space="preserve">19. Особенности установления сервитута, публичного сервитута в отношении земельных участков, находящихся в граница</w:t>
      </w:r>
      <w:r>
        <w:rPr>
          <w:sz w:val="24"/>
          <w:szCs w:val="24"/>
          <w:lang w:eastAsia="ru-RU"/>
        </w:rPr>
        <w:t xml:space="preserve">х полос отвода автомобильных дорог, устанавливаются Федеральным законом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Pr>
          <w:sz w:val="24"/>
          <w:szCs w:val="24"/>
          <w:lang w:eastAsia="ru-RU"/>
        </w:rPr>
      </w:r>
      <w:r/>
    </w:p>
    <w:p>
      <w:pPr>
        <w:ind w:firstLine="567"/>
      </w:pPr>
      <w:r>
        <w:rPr>
          <w:b/>
          <w:color w:val="000000"/>
          <w:sz w:val="24"/>
          <w:szCs w:val="24"/>
        </w:rPr>
      </w:r>
      <w:r>
        <w:rPr>
          <w:b/>
          <w:color w:val="000000"/>
          <w:sz w:val="24"/>
          <w:szCs w:val="24"/>
        </w:rPr>
      </w:r>
      <w:r/>
    </w:p>
    <w:p>
      <w:pPr>
        <w:pStyle w:val="903"/>
        <w:ind w:firstLine="567"/>
        <w:spacing w:before="0"/>
      </w:pPr>
      <w:r>
        <w:rPr>
          <w:rFonts w:ascii="Times New Roman" w:hAnsi="Times New Roman" w:cs="Times New Roman"/>
          <w:b/>
          <w:color w:val="000000"/>
        </w:rPr>
        <w:t xml:space="preserve">Статья 1</w:t>
      </w:r>
      <w:r>
        <w:rPr>
          <w:rFonts w:ascii="Times New Roman" w:hAnsi="Times New Roman" w:cs="Times New Roman"/>
          <w:b/>
          <w:color w:val="000000"/>
        </w:rPr>
        <w:t xml:space="preserve">8</w:t>
      </w:r>
      <w:r>
        <w:rPr>
          <w:rFonts w:ascii="Times New Roman" w:hAnsi="Times New Roman" w:cs="Times New Roman"/>
          <w:b/>
          <w:color w:val="000000"/>
        </w:rPr>
        <w:t xml:space="preserve">. Ограничение прав на землю</w:t>
      </w:r>
      <w:r>
        <w:rPr>
          <w:rFonts w:ascii="Times New Roman" w:hAnsi="Times New Roman" w:cs="Times New Roman"/>
          <w:b/>
          <w:color w:val="000000"/>
        </w:rPr>
      </w:r>
      <w:r/>
    </w:p>
    <w:p>
      <w:pPr>
        <w:ind w:firstLine="567"/>
        <w:jc w:val="center"/>
      </w:pPr>
      <w:r>
        <w:rPr>
          <w:b/>
          <w:color w:val="000000"/>
          <w:sz w:val="24"/>
          <w:szCs w:val="24"/>
        </w:rPr>
      </w:r>
      <w:r>
        <w:rPr>
          <w:b/>
          <w:color w:val="000000"/>
          <w:sz w:val="24"/>
          <w:szCs w:val="24"/>
        </w:rPr>
      </w:r>
      <w:r/>
    </w:p>
    <w:p>
      <w:pPr>
        <w:ind w:firstLine="567"/>
        <w:jc w:val="both"/>
      </w:pPr>
      <w:r>
        <w:rPr>
          <w:sz w:val="24"/>
          <w:szCs w:val="24"/>
        </w:rPr>
        <w:t xml:space="preserve">1. Права на землю могут быть ограничены по основаниям, установленным Земельным Кодексом РФ, федеральными законами.</w:t>
      </w:r>
      <w:r>
        <w:rPr>
          <w:sz w:val="24"/>
          <w:szCs w:val="24"/>
        </w:rPr>
      </w:r>
      <w:r/>
    </w:p>
    <w:p>
      <w:pPr>
        <w:ind w:firstLine="567"/>
        <w:jc w:val="both"/>
      </w:pPr>
      <w:r>
        <w:rPr>
          <w:sz w:val="24"/>
          <w:szCs w:val="24"/>
        </w:rPr>
        <w:t xml:space="preserve">2. Могут устанавливаться следующие ограничения прав на землю:</w:t>
      </w:r>
      <w:r>
        <w:rPr>
          <w:sz w:val="24"/>
          <w:szCs w:val="24"/>
        </w:rPr>
      </w:r>
      <w:r/>
    </w:p>
    <w:p>
      <w:pPr>
        <w:ind w:firstLine="567"/>
        <w:jc w:val="both"/>
      </w:pPr>
      <w:r>
        <w:rPr>
          <w:sz w:val="24"/>
          <w:szCs w:val="24"/>
        </w:rPr>
        <w:t xml:space="preserve">1) ограничения использования земельных участков в зонах с особыми условиями использования территорий;</w:t>
      </w:r>
      <w:r>
        <w:rPr>
          <w:sz w:val="24"/>
          <w:szCs w:val="24"/>
        </w:rPr>
      </w:r>
      <w:r/>
    </w:p>
    <w:p>
      <w:pPr>
        <w:ind w:firstLine="567"/>
        <w:jc w:val="both"/>
      </w:pPr>
      <w:r>
        <w:rPr>
          <w:sz w:val="24"/>
          <w:szCs w:val="24"/>
        </w:rPr>
        <w:t xml:space="preserve">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r>
        <w:rPr>
          <w:sz w:val="24"/>
          <w:szCs w:val="24"/>
        </w:rPr>
      </w:r>
      <w:r/>
    </w:p>
    <w:p>
      <w:pPr>
        <w:ind w:firstLine="567"/>
        <w:jc w:val="both"/>
      </w:pPr>
      <w:r>
        <w:rPr>
          <w:sz w:val="24"/>
          <w:szCs w:val="24"/>
        </w:rPr>
        <w:t xml:space="preserve">3) иные ограничения использования земельных участков в случаях, установленных Земельным Кодексом РФ, федеральными законами.</w:t>
      </w:r>
      <w:r>
        <w:rPr>
          <w:sz w:val="24"/>
          <w:szCs w:val="24"/>
        </w:rPr>
      </w:r>
      <w:r/>
    </w:p>
    <w:p>
      <w:pPr>
        <w:ind w:firstLine="567"/>
        <w:jc w:val="both"/>
      </w:pPr>
      <w:r>
        <w:rPr>
          <w:sz w:val="24"/>
          <w:szCs w:val="24"/>
        </w:rPr>
        <w:t xml:space="preserve">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а ограничения, указанные в </w:t>
      </w:r>
      <w:hyperlink w:tooltip="#p2652" w:anchor="p2652" w:history="1">
        <w:r>
          <w:rPr>
            <w:rFonts w:eastAsia="SimSun"/>
            <w:color w:val="000000"/>
            <w:sz w:val="24"/>
            <w:szCs w:val="24"/>
          </w:rPr>
          <w:t xml:space="preserve">подпункте 1 пункта 2</w:t>
        </w:r>
      </w:hyperlink>
      <w:r>
        <w:rPr>
          <w:sz w:val="24"/>
          <w:szCs w:val="24"/>
        </w:rPr>
        <w:t xml:space="preserve"> настоящей статьи, в результате установления зон с особыми условиями использования территорий в соответствии с Земельным Кодексом РФ.</w:t>
      </w:r>
      <w:r>
        <w:rPr>
          <w:sz w:val="24"/>
          <w:szCs w:val="24"/>
        </w:rPr>
      </w:r>
      <w:r/>
    </w:p>
    <w:p>
      <w:pPr>
        <w:ind w:firstLine="567"/>
        <w:jc w:val="both"/>
      </w:pPr>
      <w:r>
        <w:rPr>
          <w:sz w:val="24"/>
          <w:szCs w:val="24"/>
        </w:rPr>
        <w:t xml:space="preserve">4. Ограничения прав на землю устанавливаются бессрочно или на определенный срок.</w:t>
      </w:r>
      <w:r>
        <w:rPr>
          <w:sz w:val="24"/>
          <w:szCs w:val="24"/>
        </w:rPr>
      </w:r>
      <w:r/>
    </w:p>
    <w:p>
      <w:pPr>
        <w:ind w:firstLine="567"/>
        <w:jc w:val="both"/>
      </w:pPr>
      <w:r>
        <w:rPr>
          <w:sz w:val="24"/>
          <w:szCs w:val="24"/>
        </w:rPr>
        <w:t xml:space="preserve">5. Ограничения прав на землю сохраняются при переходе права собственности на земельный участок к другому лицу.</w:t>
      </w:r>
      <w:r>
        <w:rPr>
          <w:sz w:val="24"/>
          <w:szCs w:val="24"/>
        </w:rPr>
      </w:r>
      <w:r/>
    </w:p>
    <w:p>
      <w:pPr>
        <w:ind w:firstLine="567"/>
        <w:jc w:val="both"/>
      </w:pPr>
      <w:r>
        <w:rPr>
          <w:sz w:val="24"/>
          <w:szCs w:val="24"/>
        </w:rPr>
        <w:t xml:space="preserve">6. Ограничение прав на землю подлежит государственной регистрации в случаях и в порядке, которые установлены федеральными законами.</w:t>
      </w:r>
      <w:r>
        <w:rPr>
          <w:sz w:val="24"/>
          <w:szCs w:val="24"/>
        </w:rPr>
      </w:r>
      <w:r/>
    </w:p>
    <w:p>
      <w:pPr>
        <w:ind w:firstLine="567"/>
        <w:jc w:val="both"/>
      </w:pPr>
      <w:r>
        <w:rPr>
          <w:sz w:val="24"/>
          <w:szCs w:val="24"/>
        </w:rPr>
        <w:t xml:space="preserve">7. Ограничение прав на землю может быть обжаловано лицом, чьи права ограничены, в судебном порядке.</w:t>
      </w:r>
      <w:r>
        <w:rPr>
          <w:sz w:val="24"/>
          <w:szCs w:val="24"/>
        </w:rPr>
      </w:r>
      <w:r/>
    </w:p>
    <w:p>
      <w:pPr>
        <w:ind w:firstLine="567"/>
        <w:jc w:val="both"/>
        <w:keepNext/>
        <w:widowControl/>
        <w:tabs>
          <w:tab w:val="left" w:pos="1276" w:leader="none"/>
        </w:tabs>
        <w:outlineLvl w:val="2"/>
      </w:pPr>
      <w:r>
        <w:rPr>
          <w:sz w:val="24"/>
          <w:szCs w:val="24"/>
        </w:rPr>
        <w:t xml:space="preserve">8. Общие требования градостроительного регламента в части ограничений использования земельных участков и объектов капитального строительства.</w:t>
      </w:r>
      <w:r>
        <w:rPr>
          <w:sz w:val="24"/>
          <w:szCs w:val="24"/>
        </w:rPr>
      </w:r>
      <w:r/>
    </w:p>
    <w:p>
      <w:pPr>
        <w:ind w:firstLine="567"/>
        <w:jc w:val="both"/>
      </w:pPr>
      <w:r>
        <w:rPr>
          <w:sz w:val="24"/>
          <w:szCs w:val="24"/>
        </w:rPr>
        <w:t xml:space="preserve">1</w:t>
      </w:r>
      <w:r>
        <w:rPr>
          <w:sz w:val="24"/>
          <w:szCs w:val="24"/>
        </w:rPr>
        <w:t xml:space="preserve">)</w:t>
      </w:r>
      <w:r>
        <w:rPr>
          <w:sz w:val="24"/>
          <w:szCs w:val="24"/>
        </w:rPr>
        <w:t xml:space="preserve"> Ограничения использования земельных участков и объектов капитального строительства, находящихся в границах зон с особыми</w:t>
      </w:r>
      <w:r>
        <w:rPr>
          <w:sz w:val="24"/>
          <w:szCs w:val="24"/>
        </w:rPr>
        <w:t xml:space="preserve"> </w:t>
      </w:r>
      <w:r>
        <w:rPr>
          <w:sz w:val="24"/>
          <w:szCs w:val="24"/>
        </w:rPr>
        <w:t xml:space="preserve">условиями использования территории, определяются в соответствии с законодательством Российской Федерации и отображаются на карте зон с особыми условиями использования территории.</w:t>
      </w:r>
      <w:r>
        <w:rPr>
          <w:sz w:val="24"/>
          <w:szCs w:val="24"/>
        </w:rPr>
      </w:r>
      <w:r/>
    </w:p>
    <w:p>
      <w:pPr>
        <w:ind w:firstLine="567"/>
        <w:jc w:val="both"/>
        <w:widowControl/>
      </w:pPr>
      <w:r>
        <w:rPr>
          <w:sz w:val="24"/>
          <w:szCs w:val="24"/>
        </w:rPr>
        <w:t xml:space="preserve">Указанные ограничени</w:t>
      </w:r>
      <w:r>
        <w:rPr>
          <w:sz w:val="24"/>
          <w:szCs w:val="24"/>
        </w:rPr>
        <w:t xml:space="preserve">я могут относиться к видам разрешённого использования земельных участков и объектов капитального строительства, к предельным размерам земельных участков, к предельным параметрам разрешённого строительства, реконструкции объектов капитального строительства.</w:t>
      </w:r>
      <w:r>
        <w:rPr>
          <w:sz w:val="24"/>
          <w:szCs w:val="24"/>
        </w:rPr>
      </w:r>
      <w:r/>
    </w:p>
    <w:p>
      <w:pPr>
        <w:ind w:firstLine="567"/>
        <w:jc w:val="both"/>
        <w:widowControl/>
      </w:pPr>
      <w:r>
        <w:rPr>
          <w:sz w:val="24"/>
          <w:szCs w:val="24"/>
        </w:rPr>
        <w:t xml:space="preserve">2</w:t>
      </w:r>
      <w:r>
        <w:rPr>
          <w:sz w:val="24"/>
          <w:szCs w:val="24"/>
        </w:rPr>
        <w:t xml:space="preserve">)</w:t>
      </w:r>
      <w:r>
        <w:rPr>
          <w:sz w:val="24"/>
          <w:szCs w:val="24"/>
        </w:rPr>
        <w:t xml:space="preserve"> Требования градостроительного регламента в части видов разрешённого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w:t>
      </w:r>
      <w:r>
        <w:rPr>
          <w:sz w:val="24"/>
          <w:szCs w:val="24"/>
        </w:rPr>
        <w:t xml:space="preserve">конструкции объектов капитального 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установленных в зонах с особыми условиями использования территории.</w:t>
      </w:r>
      <w:r>
        <w:rPr>
          <w:sz w:val="24"/>
          <w:szCs w:val="24"/>
        </w:rPr>
      </w:r>
      <w:r/>
    </w:p>
    <w:p>
      <w:pPr>
        <w:ind w:firstLine="567"/>
        <w:jc w:val="both"/>
        <w:widowControl/>
      </w:pPr>
      <w:r>
        <w:rPr>
          <w:sz w:val="24"/>
          <w:szCs w:val="24"/>
        </w:rPr>
        <w:t xml:space="preserve">3</w:t>
      </w:r>
      <w:r>
        <w:rPr>
          <w:sz w:val="24"/>
          <w:szCs w:val="24"/>
        </w:rPr>
        <w:t xml:space="preserve">)</w:t>
      </w:r>
      <w:r>
        <w:rPr>
          <w:sz w:val="24"/>
          <w:szCs w:val="24"/>
        </w:rPr>
        <w:t xml:space="preserve"> </w:t>
      </w:r>
      <w:r>
        <w:rPr>
          <w:sz w:val="24"/>
          <w:szCs w:val="24"/>
        </w:rPr>
        <w:t xml:space="preserve">В случае если указанные огр</w:t>
      </w:r>
      <w:r>
        <w:rPr>
          <w:sz w:val="24"/>
          <w:szCs w:val="24"/>
        </w:rPr>
        <w:t xml:space="preserve">аничения исключают один или несколько видов разрешённого использования земельных участков и/или объектов капитального строительства из числа, предусмотренных градостроительным регламентом для соответствующей территориальной зоны или дополняют их, то в гран</w:t>
      </w:r>
      <w:r>
        <w:rPr>
          <w:sz w:val="24"/>
          <w:szCs w:val="24"/>
        </w:rPr>
        <w:t xml:space="preserve">ицах пересечения такой территориальной зоны с зоной с особыми условиями использования территории применяется соответственно ограниченный или расширенный перечень видов разрешённого использования земельных участков и/или объектов капитального строительства.</w:t>
      </w:r>
      <w:r>
        <w:rPr>
          <w:sz w:val="24"/>
          <w:szCs w:val="24"/>
        </w:rPr>
      </w:r>
      <w:r/>
    </w:p>
    <w:p>
      <w:pPr>
        <w:ind w:firstLine="567"/>
        <w:jc w:val="both"/>
        <w:widowControl/>
      </w:pPr>
      <w:r>
        <w:rPr>
          <w:sz w:val="24"/>
          <w:szCs w:val="24"/>
        </w:rPr>
        <w:t xml:space="preserve">4</w:t>
      </w:r>
      <w:r>
        <w:rPr>
          <w:sz w:val="24"/>
          <w:szCs w:val="24"/>
        </w:rPr>
        <w:t xml:space="preserve">)</w:t>
      </w:r>
      <w:r>
        <w:rPr>
          <w:sz w:val="24"/>
          <w:szCs w:val="24"/>
        </w:rPr>
        <w:t xml:space="preserve"> </w:t>
      </w:r>
      <w:r>
        <w:rPr>
          <w:sz w:val="24"/>
          <w:szCs w:val="24"/>
        </w:rPr>
        <w:t xml:space="preserve">В случае если указанные ограничения устанавливают значения предельных размеров земельных участков и/или предельных параметров раз</w:t>
      </w:r>
      <w:r>
        <w:rPr>
          <w:sz w:val="24"/>
          <w:szCs w:val="24"/>
        </w:rPr>
        <w:t xml:space="preserve">решённого строительства, реконструкции объектов капитального строительства отличные от предусмотренных градостроительным регламентом для соответствующей территориальной зоны, то в границах пересечения такой территориальной зоны с зоной с особыми условиями </w:t>
      </w:r>
      <w:r>
        <w:rPr>
          <w:sz w:val="24"/>
          <w:szCs w:val="24"/>
        </w:rPr>
        <w:t xml:space="preserve">использования территории применяются наименьшие значения в части максимальных и наибольшие значения в части минимальных размеров земельных участков и параметров разрешённого строительства, реконструкции объектов капитального строительства.</w:t>
      </w:r>
      <w:r>
        <w:rPr>
          <w:sz w:val="24"/>
          <w:szCs w:val="24"/>
        </w:rPr>
      </w:r>
      <w:r/>
    </w:p>
    <w:p>
      <w:pPr>
        <w:ind w:firstLine="567"/>
        <w:jc w:val="both"/>
        <w:widowControl/>
      </w:pPr>
      <w:r>
        <w:rPr>
          <w:sz w:val="24"/>
          <w:szCs w:val="24"/>
        </w:rPr>
        <w:t xml:space="preserve">5</w:t>
      </w:r>
      <w:r>
        <w:rPr>
          <w:sz w:val="24"/>
          <w:szCs w:val="24"/>
        </w:rPr>
        <w:t xml:space="preserve">)</w:t>
      </w:r>
      <w:r>
        <w:rPr>
          <w:sz w:val="24"/>
          <w:szCs w:val="24"/>
        </w:rPr>
        <w:t xml:space="preserve"> </w:t>
      </w:r>
      <w:r>
        <w:rPr>
          <w:sz w:val="24"/>
          <w:szCs w:val="24"/>
        </w:rPr>
        <w:t xml:space="preserve">В случае если указанные ограничения дополняют перечень предельных параметров разрешённого строительства, реконструкции объектов капитального строительства, установленные применительно к конкретной терри</w:t>
      </w:r>
      <w:r>
        <w:rPr>
          <w:sz w:val="24"/>
          <w:szCs w:val="24"/>
        </w:rPr>
        <w:t xml:space="preserve">ториальной зоне, то в границах пересечения такой территориальной зоны с зоной с особыми условиями использования территории применяется расширенный перечень предельных параметров разрешённого строительства, реконструкции объектов капитального строительства.</w:t>
      </w:r>
      <w:r>
        <w:rPr>
          <w:sz w:val="24"/>
          <w:szCs w:val="24"/>
        </w:rPr>
      </w:r>
      <w:r/>
    </w:p>
    <w:p>
      <w:pPr>
        <w:ind w:firstLine="567"/>
        <w:jc w:val="both"/>
        <w:widowControl/>
      </w:pPr>
      <w:r>
        <w:rPr>
          <w:sz w:val="24"/>
          <w:szCs w:val="24"/>
        </w:rPr>
        <w:t xml:space="preserve">6</w:t>
      </w:r>
      <w:r>
        <w:rPr>
          <w:sz w:val="24"/>
          <w:szCs w:val="24"/>
        </w:rPr>
        <w:t xml:space="preserve">)</w:t>
      </w:r>
      <w:r>
        <w:rPr>
          <w:sz w:val="24"/>
          <w:szCs w:val="24"/>
        </w:rPr>
        <w:t xml:space="preserve"> </w:t>
      </w:r>
      <w:r>
        <w:rPr>
          <w:sz w:val="24"/>
          <w:szCs w:val="24"/>
        </w:rPr>
        <w:t xml:space="preserve">В случае если указанные ограничения устанавливают, в соответствии с законодательством, перечень согласующих организаций, то в границах пересечения такой территориальной зоны с зоной с особыми условиями использования территории, установленные</w:t>
      </w:r>
      <w:r>
        <w:rPr>
          <w:sz w:val="24"/>
          <w:szCs w:val="24"/>
        </w:rPr>
        <w:t xml:space="preserve"> виды разрешённого использования, предельные размеры и предельные параметры земельных участков и объектов капитального строительства применяются с учётом необходимых исключений, дополнений и иных изменений, изложенных в заключениях согласующих организаций.</w:t>
      </w:r>
      <w:r>
        <w:rPr>
          <w:sz w:val="24"/>
          <w:szCs w:val="24"/>
        </w:rPr>
      </w:r>
      <w:r/>
    </w:p>
    <w:p>
      <w:pPr>
        <w:ind w:firstLine="567"/>
        <w:jc w:val="both"/>
        <w:widowControl/>
      </w:pPr>
      <w:r>
        <w:rPr>
          <w:sz w:val="24"/>
          <w:szCs w:val="24"/>
        </w:rPr>
        <w:t xml:space="preserve">7</w:t>
      </w:r>
      <w:r>
        <w:rPr>
          <w:sz w:val="24"/>
          <w:szCs w:val="24"/>
        </w:rPr>
        <w:t xml:space="preserve">)</w:t>
      </w:r>
      <w:r>
        <w:rPr>
          <w:sz w:val="24"/>
          <w:szCs w:val="24"/>
        </w:rPr>
        <w:t xml:space="preserve"> Границы зон с особыми условиями использования территорий, устанавливаемые в соответствии с законодательством Российской Федерации, могут не совпадать с границами территориальных зон и пересекать границы земельных участков.</w:t>
      </w:r>
      <w:r>
        <w:rPr>
          <w:sz w:val="24"/>
          <w:szCs w:val="24"/>
        </w:rPr>
      </w:r>
      <w:r/>
    </w:p>
    <w:p>
      <w:pPr>
        <w:ind w:firstLine="567"/>
        <w:jc w:val="both"/>
        <w:widowControl/>
      </w:pPr>
      <w:r>
        <w:rPr>
          <w:sz w:val="24"/>
          <w:szCs w:val="24"/>
        </w:rPr>
        <w:t xml:space="preserve">8</w:t>
      </w:r>
      <w:r>
        <w:rPr>
          <w:sz w:val="24"/>
          <w:szCs w:val="24"/>
        </w:rPr>
        <w:t xml:space="preserve">)</w:t>
      </w:r>
      <w:r>
        <w:rPr>
          <w:sz w:val="24"/>
          <w:szCs w:val="24"/>
        </w:rPr>
        <w:t xml:space="preserve"> На карте градостроительного зонирования в обязательном порядке отображаются границы зон с особыми условиями использования территории.</w:t>
      </w:r>
      <w:r>
        <w:rPr>
          <w:sz w:val="24"/>
          <w:szCs w:val="24"/>
        </w:rPr>
      </w:r>
      <w:r/>
    </w:p>
    <w:p>
      <w:pPr>
        <w:ind w:firstLine="567"/>
        <w:jc w:val="both"/>
        <w:widowControl/>
      </w:pPr>
      <w:r>
        <w:rPr>
          <w:sz w:val="24"/>
          <w:szCs w:val="24"/>
        </w:rPr>
        <w:t xml:space="preserve">9</w:t>
      </w:r>
      <w:r>
        <w:rPr>
          <w:sz w:val="24"/>
          <w:szCs w:val="24"/>
        </w:rPr>
        <w:t xml:space="preserve">)</w:t>
      </w:r>
      <w:r>
        <w:rPr>
          <w:sz w:val="24"/>
          <w:szCs w:val="24"/>
        </w:rPr>
        <w:t xml:space="preserve"> В целях обеспе</w:t>
      </w:r>
      <w:r>
        <w:rPr>
          <w:sz w:val="24"/>
          <w:szCs w:val="24"/>
        </w:rPr>
        <w:t xml:space="preserve">чения благоприятной среды жизнедеятельности, защиты территории от воздействия чрезвычайных ситуаций природного и техногенного характера, предотвращения загрязнения водных ресурсов устанавливаются следующие зоны с особыми условиями использования территории:</w:t>
      </w:r>
      <w:r>
        <w:rPr>
          <w:sz w:val="24"/>
          <w:szCs w:val="24"/>
        </w:rPr>
      </w:r>
      <w:r/>
    </w:p>
    <w:p>
      <w:pPr>
        <w:ind w:firstLine="567"/>
        <w:widowControl/>
      </w:pPr>
      <w:r>
        <w:rPr>
          <w:sz w:val="24"/>
          <w:szCs w:val="24"/>
        </w:rPr>
        <w:t xml:space="preserve">санитарно-защитные зоны предприятий и объектов;</w:t>
      </w:r>
      <w:r>
        <w:rPr>
          <w:sz w:val="24"/>
          <w:szCs w:val="24"/>
        </w:rPr>
      </w:r>
      <w:r/>
    </w:p>
    <w:p>
      <w:pPr>
        <w:ind w:firstLine="567"/>
        <w:widowControl/>
      </w:pPr>
      <w:r>
        <w:rPr>
          <w:sz w:val="24"/>
          <w:szCs w:val="24"/>
        </w:rPr>
        <w:t xml:space="preserve">водоохранные зоны и прибрежные защитные полосы;</w:t>
      </w:r>
      <w:r>
        <w:rPr>
          <w:sz w:val="24"/>
          <w:szCs w:val="24"/>
        </w:rPr>
      </w:r>
      <w:r/>
    </w:p>
    <w:p>
      <w:pPr>
        <w:ind w:firstLine="567"/>
        <w:widowControl/>
      </w:pPr>
      <w:r>
        <w:rPr>
          <w:sz w:val="24"/>
          <w:szCs w:val="24"/>
        </w:rPr>
        <w:t xml:space="preserve">зоны санитарной охраны источников питьевого водоснабжения;</w:t>
      </w:r>
      <w:r>
        <w:rPr>
          <w:sz w:val="24"/>
          <w:szCs w:val="24"/>
        </w:rPr>
      </w:r>
      <w:r/>
    </w:p>
    <w:p>
      <w:pPr>
        <w:ind w:firstLine="567"/>
        <w:widowControl/>
      </w:pPr>
      <w:r>
        <w:rPr>
          <w:sz w:val="24"/>
          <w:szCs w:val="24"/>
        </w:rPr>
        <w:t xml:space="preserve">охранные зоны инженерных сетей;</w:t>
      </w:r>
      <w:r>
        <w:rPr>
          <w:sz w:val="24"/>
          <w:szCs w:val="24"/>
        </w:rPr>
      </w:r>
      <w:r/>
    </w:p>
    <w:p>
      <w:pPr>
        <w:ind w:firstLine="567"/>
        <w:widowControl/>
      </w:pPr>
      <w:r>
        <w:rPr>
          <w:sz w:val="24"/>
          <w:szCs w:val="24"/>
        </w:rPr>
        <w:t xml:space="preserve">зоны затопления и подтопления территории;</w:t>
      </w:r>
      <w:r>
        <w:rPr>
          <w:sz w:val="24"/>
          <w:szCs w:val="24"/>
        </w:rPr>
      </w:r>
      <w:r/>
    </w:p>
    <w:p>
      <w:pPr>
        <w:ind w:firstLine="567"/>
        <w:widowControl/>
      </w:pPr>
      <w:r>
        <w:rPr>
          <w:sz w:val="24"/>
          <w:szCs w:val="24"/>
        </w:rPr>
        <w:t xml:space="preserve">санитарный разрыв автомагистралей;</w:t>
      </w:r>
      <w:r>
        <w:rPr>
          <w:sz w:val="24"/>
          <w:szCs w:val="24"/>
        </w:rPr>
      </w:r>
      <w:r/>
    </w:p>
    <w:p>
      <w:pPr>
        <w:ind w:firstLine="567"/>
        <w:widowControl/>
      </w:pPr>
      <w:r>
        <w:rPr>
          <w:sz w:val="24"/>
          <w:szCs w:val="24"/>
        </w:rPr>
        <w:t xml:space="preserve">охранная зона объектов культурного наследия.</w:t>
      </w:r>
      <w:r>
        <w:rPr>
          <w:sz w:val="24"/>
          <w:szCs w:val="24"/>
        </w:rPr>
      </w:r>
      <w:r/>
    </w:p>
    <w:p>
      <w:pPr>
        <w:ind w:firstLine="567"/>
        <w:widowControl/>
      </w:pPr>
      <w:r>
        <w:rPr>
          <w:sz w:val="24"/>
          <w:szCs w:val="24"/>
        </w:rPr>
        <w:t xml:space="preserve">10</w:t>
      </w:r>
      <w:r>
        <w:rPr>
          <w:sz w:val="24"/>
          <w:szCs w:val="24"/>
        </w:rPr>
        <w:t xml:space="preserve">) </w:t>
      </w:r>
      <w:r>
        <w:rPr>
          <w:sz w:val="24"/>
          <w:szCs w:val="24"/>
        </w:rPr>
        <w:t xml:space="preserve">Регламенты для зон с особыми условиями использования территории установлены в соответствии с действующими нормативами.</w:t>
      </w:r>
      <w:r>
        <w:rPr>
          <w:sz w:val="24"/>
          <w:szCs w:val="24"/>
        </w:rPr>
      </w:r>
      <w:r/>
    </w:p>
    <w:p>
      <w:pPr>
        <w:ind w:firstLine="567"/>
        <w:jc w:val="both"/>
        <w:widowControl/>
      </w:pPr>
      <w:r>
        <w:rPr>
          <w:sz w:val="24"/>
          <w:szCs w:val="24"/>
        </w:rPr>
        <w:t xml:space="preserve">11</w:t>
      </w:r>
      <w:r>
        <w:rPr>
          <w:sz w:val="24"/>
          <w:szCs w:val="24"/>
        </w:rPr>
        <w:t xml:space="preserve">)</w:t>
      </w:r>
      <w:r>
        <w:rPr>
          <w:sz w:val="24"/>
          <w:szCs w:val="24"/>
        </w:rPr>
        <w:t xml:space="preserve"> Дополнительные регламенты для зон с особыми условиями использования территории устанавливаются наряду с основными и являются по отношению к ним приоритетными. </w:t>
      </w:r>
      <w:r>
        <w:rPr>
          <w:sz w:val="24"/>
          <w:szCs w:val="24"/>
        </w:rPr>
      </w:r>
      <w:r/>
    </w:p>
    <w:p>
      <w:pPr>
        <w:ind w:firstLine="567"/>
        <w:jc w:val="both"/>
        <w:keepNext/>
        <w:widowControl/>
        <w:tabs>
          <w:tab w:val="left" w:pos="1276" w:leader="none"/>
        </w:tabs>
        <w:outlineLvl w:val="2"/>
      </w:pPr>
      <w:r/>
      <w:bookmarkStart w:id="0" w:name="undefined"/>
      <w:r/>
      <w:bookmarkStart w:id="0" w:name="undefined"/>
      <w:r/>
      <w:bookmarkStart w:id="0" w:name="undefined"/>
      <w:r/>
      <w:bookmarkStart w:id="0" w:name="undefined"/>
      <w:r/>
      <w:bookmarkStart w:id="0" w:name="undefined"/>
      <w:r/>
      <w:bookmarkStart w:id="0" w:name="undefined"/>
      <w:r>
        <w:rPr>
          <w:b/>
          <w:sz w:val="24"/>
          <w:szCs w:val="24"/>
        </w:rPr>
        <w:t xml:space="preserve">Статья </w:t>
      </w:r>
      <w:r>
        <w:rPr>
          <w:b/>
          <w:sz w:val="24"/>
          <w:szCs w:val="24"/>
        </w:rPr>
        <w:t xml:space="preserve">19</w:t>
      </w:r>
      <w:r>
        <w:rPr>
          <w:b/>
          <w:sz w:val="24"/>
          <w:szCs w:val="24"/>
        </w:rPr>
        <w:t xml:space="preserve">. Использование земельных участков и объектов капитального строительства, не соответствующих градостроительному регламенту</w:t>
      </w:r>
      <w:bookmarkEnd w:id="0"/>
      <w:r>
        <w:rPr>
          <w:b/>
          <w:sz w:val="24"/>
          <w:szCs w:val="24"/>
        </w:rPr>
      </w:r>
      <w:r/>
    </w:p>
    <w:p>
      <w:pPr>
        <w:ind w:firstLine="567"/>
        <w:jc w:val="both"/>
        <w:shd w:val="clear" w:color="auto" w:fill="ffffff"/>
      </w:pPr>
      <w:r>
        <w:rPr>
          <w:spacing w:val="2"/>
          <w:sz w:val="24"/>
          <w:szCs w:val="24"/>
          <w:lang w:eastAsia="ru-RU"/>
        </w:rPr>
        <w:t xml:space="preserve">Земельные участки, объекты капитального строительства, образованные, созданные в установленном порядке до введения в действие настоящих Правил </w:t>
      </w:r>
      <w:r>
        <w:rPr>
          <w:spacing w:val="2"/>
          <w:sz w:val="24"/>
          <w:szCs w:val="24"/>
          <w:lang w:eastAsia="ru-RU"/>
        </w:rPr>
        <w:t xml:space="preserve">и расположенные на территориях, для которых установлен соответствующий градостроительный регламент 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r>
        <w:rPr>
          <w:spacing w:val="2"/>
          <w:sz w:val="24"/>
          <w:szCs w:val="24"/>
          <w:lang w:eastAsia="ru-RU"/>
        </w:rPr>
      </w:r>
      <w:r/>
    </w:p>
    <w:p>
      <w:pPr>
        <w:ind w:firstLine="567"/>
        <w:jc w:val="both"/>
        <w:widowControl/>
      </w:pPr>
      <w:r>
        <w:rPr>
          <w:bCs/>
          <w:spacing w:val="-1"/>
          <w:sz w:val="24"/>
          <w:szCs w:val="24"/>
          <w:lang w:eastAsia="ru-RU"/>
        </w:rPr>
        <w:t xml:space="preserve">1) </w:t>
      </w:r>
      <w:r>
        <w:rPr>
          <w:bCs/>
          <w:spacing w:val="-1"/>
          <w:sz w:val="24"/>
          <w:szCs w:val="24"/>
          <w:lang w:eastAsia="ru-RU"/>
        </w:rPr>
        <w:t xml:space="preserve">существующие виды </w:t>
      </w:r>
      <w:r>
        <w:rPr>
          <w:bCs/>
          <w:spacing w:val="-1"/>
          <w:sz w:val="24"/>
          <w:szCs w:val="24"/>
          <w:lang w:eastAsia="ru-RU"/>
        </w:rPr>
        <w:t xml:space="preserve">использования земельных участков и объектов капитального строительства не соответствуют указанным в градостроительном регламенте соответствующей территориальной зоны видам разрешённого использования земельных участков и объектов капитального строительства;</w:t>
      </w:r>
      <w:r>
        <w:rPr>
          <w:bCs/>
          <w:spacing w:val="-1"/>
          <w:sz w:val="24"/>
          <w:szCs w:val="24"/>
          <w:lang w:eastAsia="ru-RU"/>
        </w:rPr>
      </w:r>
      <w:r/>
    </w:p>
    <w:p>
      <w:pPr>
        <w:ind w:firstLine="567"/>
        <w:jc w:val="both"/>
        <w:widowControl/>
      </w:pPr>
      <w:r>
        <w:rPr>
          <w:bCs/>
          <w:spacing w:val="-1"/>
          <w:sz w:val="24"/>
          <w:szCs w:val="24"/>
          <w:lang w:eastAsia="ru-RU"/>
        </w:rPr>
        <w:t xml:space="preserve">2) </w:t>
      </w:r>
      <w:r>
        <w:rPr>
          <w:bCs/>
          <w:spacing w:val="-1"/>
          <w:sz w:val="24"/>
          <w:szCs w:val="24"/>
          <w:lang w:eastAsia="ru-RU"/>
        </w:rPr>
        <w:t xml:space="preserve">существующие виды использования земельных участков и объектов капитального строительства соответствуют указанным в градостроительном регламенте соответствующей территориальной зоны видам разрешённого использования земельных участков и объектов капита</w:t>
      </w:r>
      <w:r>
        <w:rPr>
          <w:bCs/>
          <w:spacing w:val="-1"/>
          <w:sz w:val="24"/>
          <w:szCs w:val="24"/>
          <w:lang w:eastAsia="ru-RU"/>
        </w:rPr>
        <w:t xml:space="preserve">льного строительства, но одновременно данные участки и объекты расположены в границах зон с особыми условиями использования территории, в пределах которых указанные виды использования земельных участков и объектов капитального строительства не допускаются;</w:t>
      </w:r>
      <w:bookmarkStart w:id="0" w:name="undefined"/>
      <w:r>
        <w:rPr>
          <w:bCs/>
          <w:spacing w:val="-1"/>
          <w:sz w:val="24"/>
          <w:szCs w:val="24"/>
          <w:lang w:eastAsia="ru-RU"/>
        </w:rPr>
      </w:r>
      <w:r/>
    </w:p>
    <w:p>
      <w:pPr>
        <w:ind w:firstLine="567"/>
        <w:jc w:val="both"/>
        <w:widowControl/>
      </w:pPr>
      <w:r>
        <w:rPr>
          <w:bCs/>
          <w:spacing w:val="-1"/>
          <w:sz w:val="24"/>
          <w:szCs w:val="24"/>
          <w:lang w:eastAsia="ru-RU"/>
        </w:rPr>
        <w:t xml:space="preserve">3) </w:t>
      </w:r>
      <w:r>
        <w:rPr>
          <w:bCs/>
          <w:spacing w:val="-1"/>
          <w:sz w:val="24"/>
          <w:szCs w:val="24"/>
          <w:lang w:eastAsia="ru-RU"/>
        </w:rPr>
        <w:t xml:space="preserve">существующие параметры объектов капитального строительства не соответствуют предельным параметрам разрешённого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w:t>
      </w:r>
      <w:bookmarkEnd w:id="0"/>
      <w:r>
        <w:rPr>
          <w:bCs/>
          <w:spacing w:val="-1"/>
          <w:sz w:val="24"/>
          <w:szCs w:val="24"/>
          <w:lang w:eastAsia="ru-RU"/>
        </w:rPr>
      </w:r>
      <w:r/>
    </w:p>
    <w:p>
      <w:pPr>
        <w:ind w:firstLine="567"/>
        <w:jc w:val="both"/>
        <w:widowControl/>
      </w:pPr>
      <w:r>
        <w:rPr>
          <w:bCs/>
          <w:spacing w:val="-1"/>
          <w:sz w:val="24"/>
          <w:szCs w:val="24"/>
          <w:lang w:eastAsia="ru-RU"/>
        </w:rPr>
        <w:t xml:space="preserve">4) </w:t>
      </w:r>
      <w:r>
        <w:rPr>
          <w:bCs/>
          <w:spacing w:val="-1"/>
          <w:sz w:val="24"/>
          <w:szCs w:val="24"/>
          <w:lang w:eastAsia="ru-RU"/>
        </w:rPr>
        <w:t xml:space="preserve">существующие параметры объектов капитального строительства соответствуют предельным параметрам разрешённого строительства, реконструкции объектов капитального строительства, указанным в градостроительном регламен</w:t>
      </w:r>
      <w:r>
        <w:rPr>
          <w:bCs/>
          <w:spacing w:val="-1"/>
          <w:sz w:val="24"/>
          <w:szCs w:val="24"/>
          <w:lang w:eastAsia="ru-RU"/>
        </w:rPr>
        <w:t xml:space="preserve">те соответствующей территориальной зоны, но одновременно данные объекты расположены в границах зон с особыми условиями использования территории, в пределах которых размещение объектов капитального строительства, имеющих указанные параметры, не допускается;</w:t>
      </w:r>
      <w:r>
        <w:rPr>
          <w:bCs/>
          <w:spacing w:val="-1"/>
          <w:sz w:val="24"/>
          <w:szCs w:val="24"/>
          <w:lang w:eastAsia="ru-RU"/>
        </w:rPr>
      </w:r>
      <w:r/>
    </w:p>
    <w:p>
      <w:pPr>
        <w:ind w:firstLine="567"/>
        <w:jc w:val="both"/>
        <w:widowControl/>
      </w:pPr>
      <w:r>
        <w:rPr>
          <w:bCs/>
          <w:spacing w:val="-1"/>
          <w:sz w:val="24"/>
          <w:szCs w:val="24"/>
          <w:lang w:eastAsia="ru-RU"/>
        </w:rPr>
        <w:t xml:space="preserve">5) </w:t>
      </w:r>
      <w:r>
        <w:rPr>
          <w:bCs/>
          <w:spacing w:val="-1"/>
          <w:sz w:val="24"/>
          <w:szCs w:val="24"/>
          <w:lang w:eastAsia="ru-RU"/>
        </w:rPr>
        <w:t xml:space="preserve">установленные в связи с сущест</w:t>
      </w:r>
      <w:r>
        <w:rPr>
          <w:bCs/>
          <w:spacing w:val="-1"/>
          <w:sz w:val="24"/>
          <w:szCs w:val="24"/>
          <w:lang w:eastAsia="ru-RU"/>
        </w:rPr>
        <w:t xml:space="preserve">вующим использованием указанных земельных участков, объектов капитального строительства границы санитарно-защитных зон выходят за пределы территориальной зоны, в которой расположены эти земельные участки, объекты капитального строительства или распространя</w:t>
      </w:r>
      <w:r>
        <w:rPr>
          <w:bCs/>
          <w:spacing w:val="-1"/>
          <w:sz w:val="24"/>
          <w:szCs w:val="24"/>
          <w:lang w:eastAsia="ru-RU"/>
        </w:rPr>
        <w:t xml:space="preserve">ются на территории зон охраны объектов культурного наследия, иных зон с особыми условиями использования территорий, на которые в соответствии с законодательством не допускаются внешние техногенные воздействия, требующие установления санитарно-защитных зон.</w:t>
      </w:r>
      <w:r>
        <w:rPr>
          <w:bCs/>
          <w:spacing w:val="-1"/>
          <w:sz w:val="24"/>
          <w:szCs w:val="24"/>
          <w:lang w:eastAsia="ru-RU"/>
        </w:rPr>
      </w:r>
      <w:r/>
    </w:p>
    <w:p>
      <w:pPr>
        <w:ind w:firstLine="567"/>
        <w:jc w:val="both"/>
        <w:keepNext/>
        <w:widowControl/>
        <w:tabs>
          <w:tab w:val="left" w:pos="1276" w:leader="none"/>
        </w:tabs>
        <w:outlineLvl w:val="2"/>
      </w:pPr>
      <w:r/>
      <w:bookmarkStart w:id="0" w:name="undefined"/>
      <w:r/>
      <w:bookmarkStart w:id="0" w:name="undefined"/>
      <w:r/>
      <w:bookmarkStart w:id="0" w:name="undefined"/>
      <w:r>
        <w:rPr>
          <w:b/>
          <w:sz w:val="24"/>
          <w:szCs w:val="24"/>
        </w:rPr>
        <w:t xml:space="preserve">Статья </w:t>
      </w:r>
      <w:r>
        <w:rPr>
          <w:b/>
          <w:sz w:val="24"/>
          <w:szCs w:val="24"/>
        </w:rPr>
        <w:t xml:space="preserve">20</w:t>
      </w:r>
      <w:r>
        <w:rPr>
          <w:b/>
          <w:sz w:val="24"/>
          <w:szCs w:val="24"/>
        </w:rPr>
        <w:t xml:space="preserve">. Застройка и использование земельных участков, объектов капитального строительства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w:t>
      </w:r>
      <w:bookmarkEnd w:id="0"/>
      <w:r>
        <w:rPr>
          <w:b/>
          <w:sz w:val="24"/>
          <w:szCs w:val="24"/>
        </w:rPr>
      </w:r>
      <w:r/>
    </w:p>
    <w:p>
      <w:pPr>
        <w:ind w:firstLine="567"/>
        <w:jc w:val="both"/>
        <w:shd w:val="clear" w:color="auto" w:fill="ffffff"/>
      </w:pPr>
      <w:r>
        <w:rPr>
          <w:spacing w:val="2"/>
          <w:sz w:val="24"/>
          <w:szCs w:val="24"/>
          <w:lang w:eastAsia="ru-RU"/>
        </w:rPr>
        <w:t xml:space="preserve">1. В гран</w:t>
      </w:r>
      <w:r>
        <w:rPr>
          <w:spacing w:val="2"/>
          <w:sz w:val="24"/>
          <w:szCs w:val="24"/>
          <w:lang w:eastAsia="ru-RU"/>
        </w:rPr>
        <w:t xml:space="preserve">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w:t>
      </w:r>
      <w:r>
        <w:rPr>
          <w:spacing w:val="2"/>
          <w:sz w:val="24"/>
          <w:szCs w:val="24"/>
          <w:lang w:eastAsia="ru-RU"/>
        </w:rPr>
        <w:t xml:space="preserve">ыми объектами культурного наследия, решения о режиме содержания, параметрах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w:t>
      </w:r>
      <w:r>
        <w:rPr>
          <w:spacing w:val="2"/>
          <w:sz w:val="24"/>
          <w:szCs w:val="24"/>
          <w:lang w:eastAsia="ru-RU"/>
        </w:rPr>
      </w:r>
      <w:r/>
    </w:p>
    <w:p>
      <w:pPr>
        <w:ind w:firstLine="567"/>
        <w:jc w:val="both"/>
        <w:shd w:val="clear" w:color="auto" w:fill="ffffff"/>
      </w:pPr>
      <w:r>
        <w:rPr>
          <w:spacing w:val="2"/>
          <w:sz w:val="24"/>
          <w:szCs w:val="24"/>
          <w:lang w:eastAsia="ru-RU"/>
        </w:rPr>
        <w:t xml:space="preserve">2. В границах терр</w:t>
      </w:r>
      <w:r>
        <w:rPr>
          <w:spacing w:val="2"/>
          <w:sz w:val="24"/>
          <w:szCs w:val="24"/>
          <w:lang w:eastAsia="ru-RU"/>
        </w:rPr>
        <w:t xml:space="preserve">иторий общего пользования (улиц, проездов, набережных, пляжей, скверов, парков, бульваров и других подобных территорий) решения об использовании земельных участков, использовании и строительстве, реконструкции объектов капитального строительства принимает </w:t>
      </w:r>
      <w:r>
        <w:rPr>
          <w:spacing w:val="2"/>
          <w:sz w:val="24"/>
          <w:szCs w:val="24"/>
          <w:lang w:eastAsia="ru-RU"/>
        </w:rPr>
        <w:t xml:space="preserve">ОМС</w:t>
      </w:r>
      <w:r>
        <w:rPr>
          <w:spacing w:val="2"/>
          <w:sz w:val="24"/>
          <w:szCs w:val="24"/>
          <w:lang w:eastAsia="ru-RU"/>
        </w:rPr>
        <w:t xml:space="preserve"> в соответствии с требованиями техн</w:t>
      </w:r>
      <w:r>
        <w:rPr>
          <w:spacing w:val="2"/>
          <w:sz w:val="24"/>
          <w:szCs w:val="24"/>
          <w:lang w:eastAsia="ru-RU"/>
        </w:rPr>
        <w:t xml:space="preserve">ических регламентов, региональных и (или) местных нормативов градостроительного проектирования, правил благоустройства территории поселения, документации по планировке территории, проектной документации и другими требованиями действующего законодательства.</w:t>
      </w:r>
      <w:r>
        <w:rPr>
          <w:spacing w:val="2"/>
          <w:sz w:val="24"/>
          <w:szCs w:val="24"/>
          <w:lang w:eastAsia="ru-RU"/>
        </w:rPr>
      </w:r>
      <w:r/>
    </w:p>
    <w:p>
      <w:pPr>
        <w:ind w:firstLine="567"/>
        <w:jc w:val="both"/>
        <w:shd w:val="clear" w:color="auto" w:fill="ffffff"/>
      </w:pPr>
      <w:r>
        <w:rPr>
          <w:spacing w:val="2"/>
          <w:sz w:val="24"/>
          <w:szCs w:val="24"/>
          <w:lang w:eastAsia="ru-RU"/>
        </w:rPr>
        <w:t xml:space="preserve">3. В границах территорий линейных объектов решения об использовании земельных участков, использовании, строительстве, реконструкции объектов капитального строительства принимает Администрация </w:t>
      </w:r>
      <w:r>
        <w:rPr>
          <w:spacing w:val="2"/>
          <w:sz w:val="24"/>
          <w:szCs w:val="24"/>
          <w:lang w:eastAsia="ru-RU"/>
        </w:rPr>
        <w:t xml:space="preserve">ОМС</w:t>
      </w:r>
      <w:r>
        <w:rPr>
          <w:spacing w:val="2"/>
          <w:sz w:val="24"/>
          <w:szCs w:val="24"/>
          <w:lang w:eastAsia="ru-RU"/>
        </w:rPr>
        <w:t xml:space="preserve"> в пределах своей компетенции в соответствии с законодательством Российской Федерации.</w:t>
      </w:r>
      <w:r>
        <w:rPr>
          <w:spacing w:val="2"/>
          <w:sz w:val="24"/>
          <w:szCs w:val="24"/>
          <w:lang w:eastAsia="ru-RU"/>
        </w:rPr>
      </w:r>
      <w:r/>
    </w:p>
    <w:p>
      <w:pPr>
        <w:ind w:firstLine="567"/>
        <w:jc w:val="both"/>
        <w:shd w:val="clear" w:color="auto" w:fill="ffffff"/>
      </w:pPr>
      <w:r>
        <w:rPr>
          <w:spacing w:val="2"/>
          <w:sz w:val="24"/>
          <w:szCs w:val="24"/>
          <w:lang w:eastAsia="ru-RU"/>
        </w:rPr>
        <w:t xml:space="preserve">4. Использование земель, покрытых поверхностными водами, находящимися на территории </w:t>
      </w:r>
      <w:r>
        <w:rPr>
          <w:spacing w:val="2"/>
          <w:sz w:val="24"/>
          <w:szCs w:val="24"/>
          <w:lang w:eastAsia="ru-RU"/>
        </w:rPr>
        <w:t xml:space="preserve">Казанского сельского</w:t>
      </w:r>
      <w:r>
        <w:rPr>
          <w:spacing w:val="2"/>
          <w:sz w:val="24"/>
          <w:szCs w:val="24"/>
          <w:lang w:eastAsia="ru-RU"/>
        </w:rPr>
        <w:t xml:space="preserve"> поселения,</w:t>
      </w:r>
      <w:r>
        <w:rPr>
          <w:spacing w:val="2"/>
          <w:sz w:val="24"/>
          <w:szCs w:val="24"/>
          <w:lang w:eastAsia="ru-RU"/>
        </w:rPr>
        <w:t xml:space="preserve"> определяется уполномоченными федеральными органами исполнительной власти, уполномоченными органами исполнительной власти Краснодарского Края или Администрацией муниципального образования в соответствии с федеральными законами. </w:t>
      </w:r>
      <w:r>
        <w:rPr>
          <w:spacing w:val="2"/>
          <w:sz w:val="24"/>
          <w:szCs w:val="24"/>
          <w:lang w:eastAsia="ru-RU"/>
        </w:rPr>
      </w:r>
      <w:r/>
    </w:p>
    <w:p>
      <w:pPr>
        <w:ind w:firstLine="567"/>
        <w:jc w:val="both"/>
        <w:shd w:val="clear" w:color="auto" w:fill="ffffff"/>
      </w:pPr>
      <w:r>
        <w:rPr>
          <w:spacing w:val="2"/>
          <w:sz w:val="24"/>
          <w:szCs w:val="24"/>
          <w:lang w:eastAsia="ru-RU"/>
        </w:rPr>
        <w:t xml:space="preserve">5. Использование территории, относящейся к землям лесного фонда, определяется в соответствии с Лесным кодексом Российской Федерации.</w:t>
      </w:r>
      <w:r>
        <w:rPr>
          <w:spacing w:val="2"/>
          <w:sz w:val="24"/>
          <w:szCs w:val="24"/>
          <w:lang w:eastAsia="ru-RU"/>
        </w:rPr>
      </w:r>
      <w:r/>
    </w:p>
    <w:p>
      <w:pPr>
        <w:ind w:firstLine="567"/>
        <w:jc w:val="both"/>
        <w:shd w:val="clear" w:color="auto" w:fill="ffffff"/>
      </w:pPr>
      <w:r>
        <w:rPr>
          <w:spacing w:val="2"/>
          <w:sz w:val="24"/>
          <w:szCs w:val="24"/>
          <w:lang w:eastAsia="ru-RU"/>
        </w:rPr>
        <w:t xml:space="preserve">6. </w:t>
      </w:r>
      <w:r>
        <w:rPr>
          <w:spacing w:val="2"/>
          <w:sz w:val="24"/>
          <w:szCs w:val="24"/>
          <w:lang w:eastAsia="ru-RU"/>
        </w:rPr>
        <w:t xml:space="preserve">В границах территорий</w:t>
      </w:r>
      <w:r>
        <w:rPr>
          <w:spacing w:val="2"/>
          <w:sz w:val="24"/>
          <w:szCs w:val="24"/>
          <w:lang w:eastAsia="ru-RU"/>
        </w:rPr>
        <w:t xml:space="preserve"> </w:t>
      </w:r>
      <w:r>
        <w:rPr>
          <w:color w:val="000000"/>
          <w:sz w:val="24"/>
          <w:szCs w:val="24"/>
        </w:rPr>
        <w:t xml:space="preserve">с</w:t>
      </w:r>
      <w:r>
        <w:rPr>
          <w:color w:val="000000"/>
          <w:sz w:val="24"/>
          <w:szCs w:val="24"/>
        </w:rPr>
        <w:t xml:space="preserve">ельскохозяйственны</w:t>
      </w:r>
      <w:r>
        <w:rPr>
          <w:color w:val="000000"/>
          <w:sz w:val="24"/>
          <w:szCs w:val="24"/>
        </w:rPr>
        <w:t xml:space="preserve">х</w:t>
      </w:r>
      <w:r>
        <w:rPr>
          <w:color w:val="000000"/>
          <w:sz w:val="24"/>
          <w:szCs w:val="24"/>
        </w:rPr>
        <w:t xml:space="preserve"> угод</w:t>
      </w:r>
      <w:r>
        <w:rPr>
          <w:color w:val="000000"/>
          <w:sz w:val="24"/>
          <w:szCs w:val="24"/>
        </w:rPr>
        <w:t xml:space="preserve">ий</w:t>
      </w:r>
      <w:r>
        <w:rPr>
          <w:color w:val="000000"/>
          <w:sz w:val="24"/>
          <w:szCs w:val="24"/>
        </w:rPr>
        <w:t xml:space="preserve"> в составе земель сельскохозяйственного назначения</w:t>
      </w:r>
      <w:r>
        <w:rPr>
          <w:color w:val="000000"/>
          <w:sz w:val="24"/>
          <w:szCs w:val="24"/>
        </w:rPr>
        <w:t xml:space="preserve">.</w:t>
      </w:r>
      <w:r>
        <w:rPr>
          <w:color w:val="000000"/>
          <w:sz w:val="24"/>
          <w:szCs w:val="24"/>
        </w:rPr>
      </w:r>
      <w:r/>
    </w:p>
    <w:p>
      <w:pPr>
        <w:ind w:firstLine="567"/>
        <w:jc w:val="both"/>
        <w:shd w:val="clear" w:color="auto" w:fill="ffffff"/>
      </w:pPr>
      <w:r>
        <w:rPr>
          <w:spacing w:val="2"/>
          <w:sz w:val="24"/>
          <w:szCs w:val="24"/>
          <w:lang w:eastAsia="ru-RU"/>
        </w:rPr>
      </w:r>
      <w:r>
        <w:rPr>
          <w:spacing w:val="2"/>
          <w:sz w:val="24"/>
          <w:szCs w:val="24"/>
          <w:lang w:eastAsia="ru-RU"/>
        </w:rPr>
      </w:r>
      <w:r/>
    </w:p>
    <w:p>
      <w:pPr>
        <w:ind w:firstLine="567"/>
        <w:jc w:val="both"/>
        <w:widowControl/>
      </w:pPr>
      <w:r>
        <w:rPr>
          <w:b/>
          <w:sz w:val="24"/>
          <w:szCs w:val="24"/>
        </w:rPr>
        <w:t xml:space="preserve">Статья </w:t>
      </w:r>
      <w:r>
        <w:rPr>
          <w:b/>
          <w:sz w:val="24"/>
          <w:szCs w:val="24"/>
        </w:rPr>
        <w:t xml:space="preserve">20</w:t>
      </w:r>
      <w:r>
        <w:rPr>
          <w:b/>
          <w:sz w:val="24"/>
          <w:szCs w:val="24"/>
        </w:rPr>
        <w:t xml:space="preserve">. Архитектурно-градостроительный облик объекта капитального </w:t>
      </w:r>
      <w:r>
        <w:rPr>
          <w:b/>
          <w:sz w:val="24"/>
          <w:szCs w:val="24"/>
        </w:rPr>
        <w:t xml:space="preserve">строительства</w:t>
      </w:r>
      <w:r>
        <w:rPr>
          <w:b/>
          <w:sz w:val="24"/>
          <w:szCs w:val="24"/>
        </w:rPr>
        <w:t xml:space="preserve"> </w:t>
      </w:r>
      <w:r>
        <w:rPr>
          <w:color w:val="0070c0"/>
          <w:sz w:val="24"/>
          <w:szCs w:val="24"/>
        </w:rPr>
      </w:r>
      <w:r/>
    </w:p>
    <w:p>
      <w:pPr>
        <w:ind w:firstLine="567"/>
        <w:jc w:val="both"/>
        <w:widowControl/>
      </w:pPr>
      <w:r>
        <w:rPr>
          <w:sz w:val="24"/>
          <w:szCs w:val="24"/>
          <w:shd w:val="clear" w:color="auto" w:fill="ffffff"/>
        </w:rPr>
        <w:t xml:space="preserve">1. На карте градостроительного зонирования могут отображаться, в том числ</w:t>
      </w:r>
      <w:r>
        <w:rPr>
          <w:sz w:val="24"/>
          <w:szCs w:val="24"/>
          <w:shd w:val="clear" w:color="auto" w:fill="ffffff"/>
        </w:rPr>
        <w:t xml:space="preserve">е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r>
        <w:rPr>
          <w:sz w:val="24"/>
          <w:szCs w:val="24"/>
          <w:shd w:val="clear" w:color="auto" w:fill="ffffff"/>
        </w:rPr>
      </w:r>
      <w:r/>
    </w:p>
    <w:p>
      <w:pPr>
        <w:ind w:firstLine="567"/>
        <w:jc w:val="both"/>
        <w:keepNext/>
        <w:widowControl/>
        <w:outlineLvl w:val="1"/>
      </w:pPr>
      <w:r>
        <w:rPr>
          <w:sz w:val="24"/>
          <w:szCs w:val="24"/>
          <w:shd w:val="clear" w:color="auto" w:fill="ffffff"/>
        </w:rPr>
        <w:t xml:space="preserve">2. В градостроите</w:t>
      </w:r>
      <w:r>
        <w:rPr>
          <w:sz w:val="24"/>
          <w:szCs w:val="24"/>
          <w:shd w:val="clear" w:color="auto" w:fill="ffffff"/>
        </w:rPr>
        <w:t xml:space="preserve">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могут указываться требования к архитектурно-градостроительному облику объектов капитального строительства.</w:t>
      </w:r>
      <w:r>
        <w:rPr>
          <w:sz w:val="24"/>
          <w:szCs w:val="24"/>
          <w:shd w:val="clear" w:color="auto" w:fill="ffffff"/>
        </w:rPr>
      </w:r>
      <w:r/>
    </w:p>
    <w:p>
      <w:pPr>
        <w:ind w:firstLine="567"/>
        <w:jc w:val="both"/>
        <w:keepNext/>
        <w:widowControl/>
        <w:outlineLvl w:val="1"/>
      </w:pPr>
      <w:r>
        <w:rPr>
          <w:sz w:val="24"/>
          <w:szCs w:val="24"/>
          <w:shd w:val="clear" w:color="auto" w:fill="ffffff"/>
        </w:rPr>
        <w:t xml:space="preserve">3. Архитектурно-градостроительный облик объектов капитального строительства подлежит согласованию с уполномоченным ОМС при</w:t>
      </w:r>
      <w:r>
        <w:rPr>
          <w:sz w:val="24"/>
          <w:szCs w:val="24"/>
          <w:shd w:val="clear" w:color="auto" w:fill="ffffff"/>
        </w:rPr>
        <w:t xml:space="preserve"> </w:t>
      </w:r>
      <w:r>
        <w:rPr>
          <w:sz w:val="24"/>
          <w:szCs w:val="24"/>
          <w:shd w:val="clear" w:color="auto" w:fill="ffffff"/>
        </w:rPr>
        <w:t xml:space="preserve">осуществлении строительства, реконструкции объекта капитального строительства, в границах территорий, предусмотренных частью 5.3 статьи 30 ГрК РФ, за исключением случаев, предусмотренных частью 2 указанной статьи.</w:t>
      </w:r>
      <w:r>
        <w:rPr>
          <w:sz w:val="24"/>
          <w:szCs w:val="24"/>
          <w:shd w:val="clear" w:color="auto" w:fill="ffffff"/>
        </w:rPr>
      </w:r>
      <w:r/>
    </w:p>
    <w:p>
      <w:pPr>
        <w:ind w:firstLine="567"/>
        <w:jc w:val="both"/>
        <w:keepNext/>
        <w:widowControl/>
        <w:outlineLvl w:val="1"/>
      </w:pPr>
      <w:r>
        <w:rPr>
          <w:sz w:val="24"/>
          <w:szCs w:val="24"/>
          <w:shd w:val="clear" w:color="auto" w:fill="ffffff"/>
        </w:rPr>
        <w:t xml:space="preserve">4. Согласование</w:t>
      </w:r>
      <w:r>
        <w:rPr>
          <w:sz w:val="24"/>
          <w:szCs w:val="24"/>
          <w:shd w:val="clear" w:color="auto" w:fill="ffffff"/>
        </w:rPr>
        <w:t xml:space="preserve"> </w:t>
      </w:r>
      <w:r>
        <w:rPr>
          <w:sz w:val="24"/>
          <w:szCs w:val="24"/>
          <w:shd w:val="clear" w:color="auto" w:fill="ffffff"/>
        </w:rPr>
        <w:t xml:space="preserve">архитектурно-градостроительного облика</w:t>
      </w:r>
      <w:r>
        <w:rPr>
          <w:sz w:val="24"/>
          <w:szCs w:val="24"/>
          <w:shd w:val="clear" w:color="auto" w:fill="ffffff"/>
        </w:rPr>
        <w:t xml:space="preserve"> </w:t>
      </w:r>
      <w:r>
        <w:rPr>
          <w:sz w:val="24"/>
          <w:szCs w:val="24"/>
          <w:shd w:val="clear" w:color="auto" w:fill="ffffff"/>
        </w:rPr>
        <w:t xml:space="preserve">объекта капитального строительства не требуется в отношении:</w:t>
      </w:r>
      <w:r>
        <w:rPr>
          <w:sz w:val="24"/>
          <w:szCs w:val="24"/>
          <w:shd w:val="clear" w:color="auto" w:fill="ffffff"/>
        </w:rPr>
      </w:r>
      <w:r/>
    </w:p>
    <w:p>
      <w:pPr>
        <w:ind w:firstLine="567"/>
        <w:jc w:val="both"/>
        <w:keepNext/>
        <w:widowControl/>
        <w:outlineLvl w:val="1"/>
      </w:pPr>
      <w:r>
        <w:rPr>
          <w:sz w:val="24"/>
          <w:szCs w:val="24"/>
          <w:shd w:val="clear" w:color="auto" w:fill="ffffff"/>
        </w:rPr>
        <w:t xml:space="preserve">1) объектов капитального строительства, расположенных на земельных участках, действие градостроительного регламента на которые не распространяются;</w:t>
      </w:r>
      <w:r>
        <w:rPr>
          <w:sz w:val="24"/>
          <w:szCs w:val="24"/>
          <w:shd w:val="clear" w:color="auto" w:fill="ffffff"/>
        </w:rPr>
      </w:r>
      <w:r/>
    </w:p>
    <w:p>
      <w:pPr>
        <w:ind w:firstLine="567"/>
        <w:jc w:val="both"/>
        <w:keepNext/>
        <w:widowControl/>
        <w:outlineLvl w:val="1"/>
      </w:pPr>
      <w:r>
        <w:rPr>
          <w:sz w:val="24"/>
          <w:szCs w:val="24"/>
          <w:shd w:val="clear" w:color="auto" w:fill="ffffff"/>
        </w:rPr>
        <w:t xml:space="preserve">2) объектов, для строительства которых не требуется разрешение на строительство;</w:t>
      </w:r>
      <w:r>
        <w:rPr>
          <w:sz w:val="24"/>
          <w:szCs w:val="24"/>
          <w:shd w:val="clear" w:color="auto" w:fill="ffffff"/>
        </w:rPr>
      </w:r>
      <w:r/>
    </w:p>
    <w:p>
      <w:pPr>
        <w:ind w:firstLine="567"/>
        <w:jc w:val="both"/>
        <w:widowControl/>
      </w:pPr>
      <w:r>
        <w:rPr>
          <w:bCs/>
          <w:sz w:val="24"/>
          <w:szCs w:val="24"/>
          <w:lang w:eastAsia="ru-RU"/>
        </w:rPr>
        <w:t xml:space="preserve">3) </w:t>
      </w:r>
      <w:r>
        <w:rPr>
          <w:sz w:val="24"/>
          <w:szCs w:val="24"/>
          <w:shd w:val="clear" w:color="auto" w:fill="ffffff"/>
        </w:rPr>
        <w:t xml:space="preserve">объектов, расположенных на земельных участках, находящихся в пользовании учреждений, исполняющих наказание;</w:t>
      </w:r>
      <w:r>
        <w:rPr>
          <w:sz w:val="24"/>
          <w:szCs w:val="24"/>
          <w:shd w:val="clear" w:color="auto" w:fill="ffffff"/>
        </w:rPr>
      </w:r>
      <w:r/>
    </w:p>
    <w:p>
      <w:pPr>
        <w:ind w:firstLine="567"/>
        <w:jc w:val="both"/>
        <w:widowControl/>
      </w:pPr>
      <w:r>
        <w:rPr>
          <w:bCs/>
          <w:sz w:val="24"/>
          <w:szCs w:val="24"/>
          <w:lang w:eastAsia="ru-RU"/>
        </w:rPr>
        <w:t xml:space="preserve">4) </w:t>
      </w:r>
      <w:r>
        <w:rPr>
          <w:sz w:val="24"/>
          <w:szCs w:val="24"/>
          <w:shd w:val="clear" w:color="auto" w:fill="ffffff"/>
        </w:rPr>
        <w:t xml:space="preserve">объектов обороны и безопасности, объектов Вооруженных Сил РФ, других войск, воинских формирований и органов, осуществляющих функции в области обороны страны и безопасности государства;</w:t>
      </w:r>
      <w:r>
        <w:rPr>
          <w:sz w:val="24"/>
          <w:szCs w:val="24"/>
          <w:shd w:val="clear" w:color="auto" w:fill="ffffff"/>
        </w:rPr>
      </w:r>
      <w:r/>
    </w:p>
    <w:p>
      <w:pPr>
        <w:ind w:firstLine="567"/>
        <w:jc w:val="both"/>
        <w:widowControl/>
      </w:pPr>
      <w:r>
        <w:rPr>
          <w:sz w:val="24"/>
          <w:szCs w:val="24"/>
          <w:shd w:val="clear" w:color="auto" w:fill="ffffff"/>
        </w:rPr>
        <w:t xml:space="preserve">5) иных объектов, определенных Правительством РФ, нормативными правовыми нормами органов государственной власти субъектов РФ.</w:t>
      </w:r>
      <w:r>
        <w:rPr>
          <w:sz w:val="24"/>
          <w:szCs w:val="24"/>
          <w:shd w:val="clear" w:color="auto" w:fill="ffffff"/>
        </w:rPr>
      </w:r>
      <w:r/>
    </w:p>
    <w:p>
      <w:pPr>
        <w:ind w:firstLine="567"/>
        <w:jc w:val="both"/>
        <w:widowControl/>
      </w:pPr>
      <w:r>
        <w:rPr>
          <w:sz w:val="24"/>
          <w:szCs w:val="24"/>
          <w:shd w:val="clear" w:color="auto" w:fill="ffffff"/>
        </w:rPr>
        <w:t xml:space="preserve">5. Срок выдачи согласования</w:t>
      </w:r>
      <w:r>
        <w:rPr>
          <w:sz w:val="24"/>
          <w:szCs w:val="24"/>
          <w:shd w:val="clear" w:color="auto" w:fill="ffffff"/>
        </w:rPr>
        <w:t xml:space="preserve"> </w:t>
      </w:r>
      <w:r>
        <w:rPr>
          <w:sz w:val="24"/>
          <w:szCs w:val="24"/>
          <w:shd w:val="clear" w:color="auto" w:fill="ffffff"/>
        </w:rPr>
        <w:t xml:space="preserve">архитектурно-градостроительного облика</w:t>
      </w:r>
      <w:r>
        <w:rPr>
          <w:sz w:val="24"/>
          <w:szCs w:val="24"/>
          <w:shd w:val="clear" w:color="auto" w:fill="ffffff"/>
        </w:rPr>
        <w:t xml:space="preserve"> </w:t>
      </w:r>
      <w:r>
        <w:rPr>
          <w:sz w:val="24"/>
          <w:szCs w:val="24"/>
          <w:shd w:val="clear" w:color="auto" w:fill="ffffff"/>
        </w:rPr>
        <w:t xml:space="preserve">объекта капитального строительства не может превышать десять рабочих дней.</w:t>
      </w:r>
      <w:r>
        <w:rPr>
          <w:sz w:val="24"/>
          <w:szCs w:val="24"/>
          <w:shd w:val="clear" w:color="auto" w:fill="ffffff"/>
        </w:rPr>
      </w:r>
      <w:r/>
    </w:p>
    <w:p>
      <w:pPr>
        <w:ind w:firstLine="567"/>
        <w:jc w:val="both"/>
        <w:widowControl/>
      </w:pPr>
      <w:r>
        <w:rPr>
          <w:sz w:val="24"/>
          <w:szCs w:val="24"/>
          <w:shd w:val="clear" w:color="auto" w:fill="ffffff"/>
        </w:rPr>
        <w:t xml:space="preserve">6. Основанием для отказа в</w:t>
      </w:r>
      <w:r>
        <w:rPr>
          <w:sz w:val="24"/>
          <w:szCs w:val="24"/>
          <w:shd w:val="clear" w:color="auto" w:fill="ffffff"/>
        </w:rPr>
        <w:t xml:space="preserve"> </w:t>
      </w:r>
      <w:r>
        <w:rPr>
          <w:sz w:val="24"/>
          <w:szCs w:val="24"/>
          <w:shd w:val="clear" w:color="auto" w:fill="ffffff"/>
        </w:rPr>
        <w:t xml:space="preserve">согласовании </w:t>
      </w:r>
      <w:r>
        <w:rPr>
          <w:sz w:val="24"/>
          <w:szCs w:val="24"/>
          <w:shd w:val="clear" w:color="auto" w:fill="ffffff"/>
        </w:rPr>
        <w:t xml:space="preserve">архитектурно-градостроительного облика</w:t>
      </w:r>
      <w:r>
        <w:rPr>
          <w:sz w:val="24"/>
          <w:szCs w:val="24"/>
          <w:shd w:val="clear" w:color="auto" w:fill="ffffff"/>
        </w:rPr>
        <w:t xml:space="preserve"> </w:t>
      </w:r>
      <w:r>
        <w:rPr>
          <w:sz w:val="24"/>
          <w:szCs w:val="24"/>
          <w:shd w:val="clear" w:color="auto" w:fill="ffffff"/>
        </w:rPr>
        <w:t xml:space="preserve">объекта капитального строительства является несоответствие архитектурных решений</w:t>
      </w:r>
      <w:r>
        <w:rPr>
          <w:sz w:val="24"/>
          <w:szCs w:val="24"/>
          <w:shd w:val="clear" w:color="auto" w:fill="ffffff"/>
        </w:rPr>
        <w:t xml:space="preserve"> </w:t>
      </w:r>
      <w:r>
        <w:rPr>
          <w:sz w:val="24"/>
          <w:szCs w:val="24"/>
          <w:shd w:val="clear" w:color="auto" w:fill="ffffff"/>
        </w:rPr>
        <w:t xml:space="preserve">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w:t>
      </w:r>
      <w:r>
        <w:rPr>
          <w:sz w:val="24"/>
          <w:szCs w:val="24"/>
          <w:shd w:val="clear" w:color="auto" w:fill="ffffff"/>
        </w:rPr>
        <w:t xml:space="preserve"> </w:t>
      </w:r>
      <w:r>
        <w:rPr>
          <w:sz w:val="24"/>
          <w:szCs w:val="24"/>
          <w:shd w:val="clear" w:color="auto" w:fill="ffffff"/>
        </w:rPr>
        <w:t xml:space="preserve">объекта капитального строительства, требованиям к архитектурно-градостроительному облику</w:t>
      </w:r>
      <w:r>
        <w:rPr>
          <w:sz w:val="24"/>
          <w:szCs w:val="24"/>
          <w:shd w:val="clear" w:color="auto" w:fill="ffffff"/>
        </w:rPr>
        <w:t xml:space="preserve"> </w:t>
      </w:r>
      <w:r>
        <w:rPr>
          <w:sz w:val="24"/>
          <w:szCs w:val="24"/>
          <w:shd w:val="clear" w:color="auto" w:fill="ffffff"/>
        </w:rPr>
        <w:t xml:space="preserve">объекта капитального строительства, указанным в градостроительном регламенте.</w:t>
      </w:r>
      <w:r>
        <w:rPr>
          <w:sz w:val="24"/>
          <w:szCs w:val="24"/>
          <w:shd w:val="clear" w:color="auto" w:fill="ffffff"/>
        </w:rPr>
      </w:r>
      <w:r/>
    </w:p>
    <w:p>
      <w:pPr>
        <w:ind w:firstLine="567"/>
        <w:jc w:val="both"/>
        <w:widowControl/>
      </w:pPr>
      <w:r>
        <w:rPr>
          <w:sz w:val="24"/>
          <w:szCs w:val="24"/>
          <w:shd w:val="clear" w:color="auto" w:fill="ffffff"/>
        </w:rPr>
        <w:t xml:space="preserve">7. Порядок</w:t>
      </w:r>
      <w:r>
        <w:rPr>
          <w:sz w:val="24"/>
          <w:szCs w:val="24"/>
          <w:shd w:val="clear" w:color="auto" w:fill="ffffff"/>
        </w:rPr>
        <w:t xml:space="preserve"> </w:t>
      </w:r>
      <w:r>
        <w:rPr>
          <w:sz w:val="24"/>
          <w:szCs w:val="24"/>
          <w:shd w:val="clear" w:color="auto" w:fill="ffffff"/>
        </w:rPr>
        <w:t xml:space="preserve">согласования</w:t>
      </w:r>
      <w:r>
        <w:rPr>
          <w:sz w:val="24"/>
          <w:szCs w:val="24"/>
          <w:shd w:val="clear" w:color="auto" w:fill="ffffff"/>
        </w:rPr>
        <w:t xml:space="preserve"> </w:t>
      </w:r>
      <w:r>
        <w:rPr>
          <w:sz w:val="24"/>
          <w:szCs w:val="24"/>
          <w:shd w:val="clear" w:color="auto" w:fill="ffffff"/>
        </w:rPr>
        <w:t xml:space="preserve">архитектурно-градостроительного облика</w:t>
      </w:r>
      <w:r>
        <w:rPr>
          <w:sz w:val="24"/>
          <w:szCs w:val="24"/>
          <w:shd w:val="clear" w:color="auto" w:fill="ffffff"/>
        </w:rPr>
        <w:t xml:space="preserve"> </w:t>
      </w:r>
      <w:r>
        <w:rPr>
          <w:sz w:val="24"/>
          <w:szCs w:val="24"/>
          <w:shd w:val="clear" w:color="auto" w:fill="ffffff"/>
        </w:rPr>
        <w:t xml:space="preserve">объекта капитального строительства устанавливается Правительством РФ, если иное не предусмотрено ГрК РФ.</w:t>
      </w:r>
      <w:r>
        <w:rPr>
          <w:bCs/>
          <w:sz w:val="24"/>
          <w:szCs w:val="24"/>
          <w:lang w:eastAsia="ru-RU"/>
        </w:rPr>
      </w:r>
      <w:r/>
    </w:p>
    <w:p>
      <w:pPr>
        <w:ind w:firstLine="567"/>
        <w:jc w:val="both"/>
        <w:shd w:val="clear" w:color="auto" w:fill="ffffff"/>
        <w:widowControl/>
      </w:pPr>
      <w:r>
        <w:rPr>
          <w:rFonts w:eastAsia="Calibri"/>
          <w:b/>
          <w:sz w:val="24"/>
          <w:szCs w:val="24"/>
          <w:lang w:eastAsia="en-US"/>
        </w:rPr>
        <w:t xml:space="preserve">Статья </w:t>
      </w:r>
      <w:r>
        <w:rPr>
          <w:rFonts w:eastAsia="Calibri"/>
          <w:b/>
          <w:sz w:val="24"/>
          <w:szCs w:val="24"/>
          <w:lang w:eastAsia="en-US"/>
        </w:rPr>
        <w:t xml:space="preserve">21</w:t>
      </w:r>
      <w:r>
        <w:rPr>
          <w:rFonts w:eastAsia="Calibri"/>
          <w:b/>
          <w:sz w:val="24"/>
          <w:szCs w:val="24"/>
          <w:lang w:eastAsia="en-US"/>
        </w:rPr>
        <w:t xml:space="preserve">.</w:t>
      </w:r>
      <w:r>
        <w:rPr>
          <w:b/>
          <w:bCs/>
          <w:sz w:val="24"/>
          <w:szCs w:val="24"/>
          <w:lang w:eastAsia="ru-RU"/>
        </w:rPr>
        <w:t xml:space="preserve"> Основные требования к застройке земельных участков объектами капитального строительства на территории Казанского сельского поселения</w:t>
      </w:r>
      <w:r>
        <w:rPr>
          <w:b/>
          <w:bCs/>
          <w:sz w:val="24"/>
          <w:szCs w:val="24"/>
          <w:lang w:eastAsia="ru-RU"/>
        </w:rPr>
        <w:t xml:space="preserve">.</w:t>
      </w:r>
      <w:r>
        <w:rPr>
          <w:b/>
          <w:bCs/>
          <w:sz w:val="24"/>
          <w:szCs w:val="24"/>
          <w:lang w:eastAsia="ru-RU"/>
        </w:rPr>
      </w:r>
      <w:r/>
    </w:p>
    <w:p>
      <w:pPr>
        <w:ind w:firstLine="567"/>
        <w:jc w:val="both"/>
        <w:shd w:val="clear" w:color="auto" w:fill="ffffff"/>
        <w:widowControl/>
      </w:pPr>
      <w:r>
        <w:rPr>
          <w:sz w:val="24"/>
          <w:szCs w:val="24"/>
          <w:lang w:eastAsia="ru-RU"/>
        </w:rPr>
        <w:t xml:space="preserve">Совет </w:t>
      </w:r>
      <w:r>
        <w:rPr>
          <w:bCs/>
          <w:sz w:val="24"/>
          <w:szCs w:val="24"/>
          <w:lang w:eastAsia="ru-RU"/>
        </w:rPr>
        <w:t xml:space="preserve">муниципального образования Кавказский район</w:t>
      </w:r>
      <w:r>
        <w:rPr>
          <w:sz w:val="24"/>
          <w:szCs w:val="24"/>
          <w:lang w:eastAsia="ru-RU"/>
        </w:rPr>
        <w:t xml:space="preserve"> при регулировании вопросов землепользования и застройки в настоящих Правилах исходит из необходимости обеспечения устойчивого развития территории </w:t>
      </w:r>
      <w:r>
        <w:rPr>
          <w:bCs/>
          <w:sz w:val="24"/>
          <w:szCs w:val="24"/>
          <w:lang w:eastAsia="ru-RU"/>
        </w:rPr>
        <w:t xml:space="preserve">Казанского сельского поселения</w:t>
      </w:r>
      <w:r>
        <w:rPr>
          <w:sz w:val="24"/>
          <w:szCs w:val="24"/>
          <w:lang w:eastAsia="ru-RU"/>
        </w:rPr>
        <w:t xml:space="preserve">.</w:t>
      </w:r>
      <w:r>
        <w:rPr>
          <w:sz w:val="24"/>
          <w:szCs w:val="24"/>
          <w:lang w:eastAsia="ru-RU"/>
        </w:rPr>
      </w:r>
      <w:r/>
    </w:p>
    <w:p>
      <w:pPr>
        <w:ind w:firstLine="567"/>
        <w:jc w:val="both"/>
        <w:shd w:val="clear" w:color="auto" w:fill="ffffff"/>
        <w:widowControl/>
      </w:pPr>
      <w:r>
        <w:rPr>
          <w:sz w:val="24"/>
          <w:szCs w:val="24"/>
          <w:lang w:eastAsia="ru-RU"/>
        </w:rPr>
        <w:t xml:space="preserve">ГрК</w:t>
      </w:r>
      <w:r>
        <w:rPr>
          <w:sz w:val="24"/>
          <w:szCs w:val="24"/>
          <w:lang w:eastAsia="ru-RU"/>
        </w:rPr>
        <w:t xml:space="preserve"> РФ в качестве основного принципа осуществления градостроительной деятельности определяет осуществление устойчивого развития территории на основании документации по планировке территории.</w:t>
      </w:r>
      <w:r>
        <w:rPr>
          <w:sz w:val="24"/>
          <w:szCs w:val="24"/>
          <w:lang w:eastAsia="ru-RU"/>
        </w:rPr>
      </w:r>
      <w:r/>
    </w:p>
    <w:p>
      <w:pPr>
        <w:ind w:firstLine="567"/>
        <w:jc w:val="both"/>
        <w:shd w:val="clear" w:color="auto" w:fill="ffffff"/>
        <w:widowControl/>
      </w:pPr>
      <w:r>
        <w:rPr>
          <w:sz w:val="24"/>
          <w:szCs w:val="24"/>
          <w:lang w:eastAsia="ru-RU"/>
        </w:rPr>
        <w:t xml:space="preserve">Целью разработки правил землепользования и застройки является создание условий для устойчивого развития территории муниципального образования (статья 30 </w:t>
      </w:r>
      <w:r>
        <w:rPr>
          <w:sz w:val="24"/>
          <w:szCs w:val="24"/>
          <w:lang w:eastAsia="ru-RU"/>
        </w:rPr>
        <w:t xml:space="preserve">ГрК РФ</w:t>
      </w:r>
      <w:r>
        <w:rPr>
          <w:sz w:val="24"/>
          <w:szCs w:val="24"/>
          <w:lang w:eastAsia="ru-RU"/>
        </w:rPr>
        <w:t xml:space="preserve">).</w:t>
      </w:r>
      <w:r>
        <w:rPr>
          <w:sz w:val="24"/>
          <w:szCs w:val="24"/>
          <w:lang w:eastAsia="ru-RU"/>
        </w:rPr>
      </w:r>
      <w:r/>
    </w:p>
    <w:p>
      <w:pPr>
        <w:ind w:firstLine="567"/>
        <w:jc w:val="both"/>
        <w:shd w:val="clear" w:color="auto" w:fill="ffffff"/>
        <w:widowControl/>
      </w:pPr>
      <w:r>
        <w:rPr>
          <w:sz w:val="24"/>
          <w:szCs w:val="24"/>
          <w:lang w:eastAsia="ru-RU"/>
        </w:rPr>
        <w:t xml:space="preserve">Подготовка документации по планировке терр</w:t>
      </w:r>
      <w:r>
        <w:rPr>
          <w:sz w:val="24"/>
          <w:szCs w:val="24"/>
          <w:lang w:eastAsia="ru-RU"/>
        </w:rPr>
        <w:t xml:space="preserve">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r>
        <w:rPr>
          <w:sz w:val="24"/>
          <w:szCs w:val="24"/>
          <w:lang w:eastAsia="ru-RU"/>
        </w:rPr>
      </w:r>
      <w:r/>
    </w:p>
    <w:p>
      <w:pPr>
        <w:ind w:firstLine="567"/>
        <w:jc w:val="both"/>
        <w:shd w:val="clear" w:color="auto" w:fill="ffffff"/>
        <w:widowControl/>
      </w:pPr>
      <w:r>
        <w:rPr>
          <w:sz w:val="24"/>
          <w:szCs w:val="24"/>
          <w:lang w:eastAsia="ru-RU"/>
        </w:rPr>
        <w:t xml:space="preserve">Устойчивое развитие территории предполагает собой обеспечение жителей строящихся объектов жилого назначения всей необходимой инфраструктурой и территориями общего пользования.</w:t>
      </w:r>
      <w:r>
        <w:rPr>
          <w:sz w:val="24"/>
          <w:szCs w:val="24"/>
          <w:lang w:eastAsia="ru-RU"/>
        </w:rPr>
      </w:r>
      <w:r/>
    </w:p>
    <w:p>
      <w:pPr>
        <w:ind w:firstLine="567"/>
        <w:jc w:val="both"/>
        <w:shd w:val="clear" w:color="auto" w:fill="ffffff"/>
        <w:widowControl/>
      </w:pPr>
      <w:r>
        <w:rPr>
          <w:sz w:val="24"/>
          <w:szCs w:val="24"/>
          <w:lang w:eastAsia="ru-RU"/>
        </w:rPr>
        <w:t xml:space="preserve">Таким образом, деятельность по устойчивому развитию территории муниципального образования возможна только планированием развития территории на основании правил землепользования и застройки и документации по планировке территории.</w:t>
      </w:r>
      <w:r>
        <w:rPr>
          <w:sz w:val="24"/>
          <w:szCs w:val="24"/>
          <w:lang w:eastAsia="ru-RU"/>
        </w:rPr>
      </w:r>
      <w:r/>
    </w:p>
    <w:p>
      <w:pPr>
        <w:ind w:firstLine="567"/>
        <w:jc w:val="both"/>
        <w:shd w:val="clear" w:color="auto" w:fill="ffffff"/>
        <w:widowControl/>
      </w:pPr>
      <w:r>
        <w:rPr>
          <w:sz w:val="24"/>
          <w:szCs w:val="24"/>
          <w:lang w:eastAsia="ru-RU"/>
        </w:rPr>
        <w:t xml:space="preserve">В целях устойчивого развития (пункт 3 статьи 1 </w:t>
      </w:r>
      <w:r>
        <w:rPr>
          <w:sz w:val="24"/>
          <w:szCs w:val="24"/>
          <w:lang w:eastAsia="ru-RU"/>
        </w:rPr>
        <w:t xml:space="preserve">ГрК РФ</w:t>
      </w:r>
      <w:r>
        <w:rPr>
          <w:sz w:val="24"/>
          <w:szCs w:val="24"/>
          <w:lang w:eastAsia="ru-RU"/>
        </w:rPr>
        <w:t xml:space="preserve">) и обеспечения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 на территории </w:t>
      </w:r>
      <w:r>
        <w:rPr>
          <w:bCs/>
          <w:sz w:val="24"/>
          <w:szCs w:val="24"/>
          <w:lang w:eastAsia="ru-RU"/>
        </w:rPr>
        <w:t xml:space="preserve">Казанского сельского поселения</w:t>
      </w:r>
      <w:r>
        <w:rPr>
          <w:sz w:val="24"/>
          <w:szCs w:val="24"/>
          <w:lang w:eastAsia="ru-RU"/>
        </w:rPr>
        <w:t xml:space="preserve"> в качестве общеобязательных требований </w:t>
      </w:r>
      <w:r>
        <w:rPr>
          <w:bCs/>
          <w:sz w:val="24"/>
          <w:szCs w:val="24"/>
          <w:lang w:eastAsia="ru-RU"/>
        </w:rPr>
        <w:t xml:space="preserve">к застройке земельных участков объектами капитального строительства</w:t>
      </w:r>
      <w:r>
        <w:rPr>
          <w:bCs/>
          <w:sz w:val="24"/>
          <w:szCs w:val="24"/>
          <w:lang w:eastAsia="ru-RU"/>
        </w:rPr>
        <w:t xml:space="preserve"> </w:t>
      </w:r>
      <w:r>
        <w:rPr>
          <w:sz w:val="24"/>
          <w:szCs w:val="24"/>
          <w:lang w:eastAsia="ru-RU"/>
        </w:rPr>
        <w:t xml:space="preserve">на территории </w:t>
      </w:r>
      <w:r>
        <w:rPr>
          <w:bCs/>
          <w:sz w:val="24"/>
          <w:szCs w:val="24"/>
          <w:lang w:eastAsia="ru-RU"/>
        </w:rPr>
        <w:t xml:space="preserve">Казанского сельского поселения</w:t>
      </w:r>
      <w:r>
        <w:rPr>
          <w:sz w:val="24"/>
          <w:szCs w:val="24"/>
          <w:lang w:eastAsia="ru-RU"/>
        </w:rPr>
        <w:t xml:space="preserve"> </w:t>
      </w:r>
      <w:r>
        <w:rPr>
          <w:sz w:val="24"/>
          <w:szCs w:val="24"/>
          <w:lang w:eastAsia="ru-RU"/>
        </w:rPr>
        <w:t xml:space="preserve">Совет </w:t>
      </w:r>
      <w:r>
        <w:rPr>
          <w:bCs/>
          <w:sz w:val="24"/>
          <w:szCs w:val="24"/>
          <w:lang w:eastAsia="ru-RU"/>
        </w:rPr>
        <w:t xml:space="preserve">муниципального образования Кавказский район</w:t>
      </w:r>
      <w:r>
        <w:rPr>
          <w:sz w:val="24"/>
          <w:szCs w:val="24"/>
          <w:lang w:eastAsia="ru-RU"/>
        </w:rPr>
        <w:t xml:space="preserve"> </w:t>
      </w:r>
      <w:r>
        <w:rPr>
          <w:sz w:val="24"/>
          <w:szCs w:val="24"/>
          <w:lang w:eastAsia="ru-RU"/>
        </w:rPr>
        <w:t xml:space="preserve">устанавливает</w:t>
      </w:r>
      <w:r>
        <w:rPr>
          <w:sz w:val="24"/>
          <w:szCs w:val="24"/>
          <w:lang w:eastAsia="ru-RU"/>
        </w:rPr>
        <w:t xml:space="preserve"> следующ</w:t>
      </w:r>
      <w:r>
        <w:rPr>
          <w:sz w:val="24"/>
          <w:szCs w:val="24"/>
          <w:lang w:eastAsia="ru-RU"/>
        </w:rPr>
        <w:t xml:space="preserve">ие обязательные требования</w:t>
      </w:r>
      <w:r>
        <w:rPr>
          <w:sz w:val="24"/>
          <w:szCs w:val="24"/>
          <w:lang w:eastAsia="ru-RU"/>
        </w:rPr>
        <w:t xml:space="preserve">:</w:t>
      </w:r>
      <w:r>
        <w:rPr>
          <w:sz w:val="24"/>
          <w:szCs w:val="24"/>
          <w:lang w:eastAsia="ru-RU"/>
        </w:rPr>
      </w:r>
      <w:r/>
    </w:p>
    <w:p>
      <w:pPr>
        <w:ind w:firstLine="567"/>
        <w:jc w:val="both"/>
        <w:shd w:val="clear" w:color="auto" w:fill="ffffff"/>
        <w:widowControl/>
      </w:pPr>
      <w:r>
        <w:rPr>
          <w:sz w:val="24"/>
          <w:szCs w:val="24"/>
          <w:lang w:eastAsia="ru-RU"/>
        </w:rPr>
        <w:t xml:space="preserve">1</w:t>
      </w:r>
      <w:r>
        <w:rPr>
          <w:sz w:val="24"/>
          <w:szCs w:val="24"/>
          <w:lang w:eastAsia="ru-RU"/>
        </w:rPr>
        <w:t xml:space="preserve">.</w:t>
      </w:r>
      <w:r>
        <w:rPr>
          <w:sz w:val="24"/>
          <w:szCs w:val="24"/>
          <w:lang w:eastAsia="ru-RU"/>
        </w:rPr>
        <w:t xml:space="preserve"> </w:t>
      </w:r>
      <w:r>
        <w:rPr>
          <w:sz w:val="24"/>
          <w:szCs w:val="24"/>
          <w:lang w:eastAsia="ru-RU"/>
        </w:rPr>
        <w:t xml:space="preserve">Жилищное строительство.</w:t>
      </w:r>
      <w:r>
        <w:rPr>
          <w:sz w:val="24"/>
          <w:szCs w:val="24"/>
          <w:lang w:eastAsia="ru-RU"/>
        </w:rPr>
      </w:r>
      <w:r/>
    </w:p>
    <w:p>
      <w:pPr>
        <w:ind w:firstLine="567"/>
        <w:jc w:val="both"/>
        <w:shd w:val="clear" w:color="auto" w:fill="ffffff"/>
        <w:widowControl/>
      </w:pPr>
      <w:r>
        <w:rPr>
          <w:sz w:val="24"/>
          <w:szCs w:val="24"/>
          <w:lang w:eastAsia="ru-RU"/>
        </w:rPr>
        <w:t xml:space="preserve">1) </w:t>
      </w:r>
      <w:r>
        <w:rPr>
          <w:sz w:val="24"/>
          <w:szCs w:val="24"/>
          <w:lang w:eastAsia="ru-RU"/>
        </w:rPr>
        <w:t xml:space="preserve">З</w:t>
      </w:r>
      <w:r>
        <w:rPr>
          <w:sz w:val="24"/>
          <w:szCs w:val="24"/>
          <w:lang w:eastAsia="ru-RU"/>
        </w:rPr>
        <w:t xml:space="preserve">апрещается</w:t>
      </w:r>
      <w:r>
        <w:rPr>
          <w:sz w:val="24"/>
          <w:szCs w:val="24"/>
          <w:lang w:eastAsia="ru-RU"/>
        </w:rPr>
        <w:t xml:space="preserve"> </w:t>
      </w:r>
      <w:r>
        <w:rPr>
          <w:sz w:val="24"/>
          <w:szCs w:val="24"/>
          <w:lang w:eastAsia="ru-RU"/>
        </w:rPr>
        <w:t xml:space="preserve">при строительстве</w:t>
      </w:r>
      <w:r>
        <w:rPr>
          <w:sz w:val="24"/>
          <w:szCs w:val="24"/>
          <w:lang w:eastAsia="ru-RU"/>
        </w:rPr>
        <w:t xml:space="preserve"> </w:t>
      </w:r>
      <w:r>
        <w:rPr>
          <w:sz w:val="24"/>
          <w:szCs w:val="24"/>
          <w:lang w:eastAsia="ru-RU"/>
        </w:rPr>
        <w:t xml:space="preserve">многоквартирных жилых домов (далее – МЖД)</w:t>
      </w:r>
      <w:r>
        <w:rPr>
          <w:sz w:val="24"/>
          <w:szCs w:val="24"/>
          <w:lang w:eastAsia="ru-RU"/>
        </w:rPr>
        <w:t xml:space="preserve">:</w:t>
      </w:r>
      <w:r>
        <w:rPr>
          <w:color w:val="0070c0"/>
          <w:sz w:val="24"/>
          <w:szCs w:val="24"/>
          <w:lang w:eastAsia="ru-RU"/>
        </w:rPr>
      </w:r>
      <w:r/>
    </w:p>
    <w:p>
      <w:pPr>
        <w:ind w:firstLine="567"/>
        <w:jc w:val="both"/>
        <w:shd w:val="clear" w:color="auto" w:fill="ffffff"/>
        <w:widowControl/>
      </w:pPr>
      <w:r>
        <w:rPr>
          <w:sz w:val="24"/>
          <w:szCs w:val="24"/>
          <w:lang w:eastAsia="ru-RU"/>
        </w:rPr>
        <w:t xml:space="preserve">а)</w:t>
      </w:r>
      <w:r>
        <w:rPr>
          <w:sz w:val="24"/>
          <w:szCs w:val="24"/>
          <w:lang w:eastAsia="ru-RU"/>
        </w:rPr>
        <w:t xml:space="preserve"> </w:t>
      </w:r>
      <w:r>
        <w:rPr>
          <w:sz w:val="24"/>
          <w:szCs w:val="24"/>
          <w:lang w:eastAsia="ru-RU"/>
        </w:rPr>
        <w:t xml:space="preserve">освоение незастроенных территорий (</w:t>
      </w:r>
      <w:r>
        <w:rPr>
          <w:sz w:val="24"/>
          <w:szCs w:val="24"/>
          <w:lang w:eastAsia="ru-RU"/>
        </w:rPr>
        <w:t xml:space="preserve">в отсутствие </w:t>
      </w:r>
      <w:r>
        <w:rPr>
          <w:sz w:val="24"/>
          <w:szCs w:val="24"/>
          <w:lang w:eastAsia="ru-RU"/>
        </w:rPr>
        <w:t xml:space="preserve">элементов планировочной структуры) под жилищное строительство без обеспечения размещаемых объектов объектами социальной, транспортной и инженерной инфраструктур, определенной документацией по планировке территории;</w:t>
      </w:r>
      <w:r>
        <w:rPr>
          <w:sz w:val="24"/>
          <w:szCs w:val="24"/>
          <w:lang w:eastAsia="ru-RU"/>
        </w:rPr>
      </w:r>
      <w:r/>
    </w:p>
    <w:p>
      <w:pPr>
        <w:ind w:firstLine="567"/>
        <w:jc w:val="both"/>
        <w:shd w:val="clear" w:color="auto" w:fill="ffffff"/>
        <w:widowControl/>
      </w:pPr>
      <w:r>
        <w:rPr>
          <w:sz w:val="24"/>
          <w:szCs w:val="24"/>
          <w:lang w:eastAsia="ru-RU"/>
        </w:rPr>
        <w:t xml:space="preserve">б)</w:t>
      </w:r>
      <w:r>
        <w:rPr>
          <w:sz w:val="24"/>
          <w:szCs w:val="24"/>
          <w:lang w:eastAsia="ru-RU"/>
        </w:rPr>
        <w:t xml:space="preserve"> застройка </w:t>
      </w:r>
      <w:r>
        <w:rPr>
          <w:sz w:val="24"/>
          <w:szCs w:val="24"/>
          <w:lang w:eastAsia="ru-RU"/>
        </w:rPr>
        <w:t xml:space="preserve">МЖД</w:t>
      </w:r>
      <w:r>
        <w:rPr>
          <w:sz w:val="24"/>
          <w:szCs w:val="24"/>
          <w:lang w:eastAsia="ru-RU"/>
        </w:rPr>
        <w:t xml:space="preserve"> </w:t>
      </w:r>
      <w:r>
        <w:rPr>
          <w:sz w:val="24"/>
          <w:szCs w:val="24"/>
          <w:lang w:eastAsia="ru-RU"/>
        </w:rPr>
        <w:t xml:space="preserve">без утвержденной документации по планировке территории </w:t>
      </w:r>
      <w:r>
        <w:rPr>
          <w:sz w:val="24"/>
          <w:szCs w:val="24"/>
          <w:lang w:eastAsia="ru-RU"/>
        </w:rPr>
        <w:t xml:space="preserve">за исключением случ</w:t>
      </w:r>
      <w:r>
        <w:rPr>
          <w:sz w:val="24"/>
          <w:szCs w:val="24"/>
          <w:lang w:eastAsia="ru-RU"/>
        </w:rPr>
        <w:t xml:space="preserve">аев, если проектируемые объекты </w:t>
      </w:r>
      <w:r>
        <w:rPr>
          <w:sz w:val="24"/>
          <w:szCs w:val="24"/>
          <w:lang w:eastAsia="ru-RU"/>
        </w:rPr>
        <w:t xml:space="preserve">МЖД</w:t>
      </w:r>
      <w:r>
        <w:rPr>
          <w:sz w:val="24"/>
          <w:szCs w:val="24"/>
          <w:lang w:eastAsia="ru-RU"/>
        </w:rPr>
        <w:t xml:space="preserve"> </w:t>
      </w:r>
      <w:r>
        <w:rPr>
          <w:sz w:val="24"/>
          <w:szCs w:val="24"/>
          <w:lang w:eastAsia="ru-RU"/>
        </w:rPr>
        <w:t xml:space="preserve">расположен</w:t>
      </w:r>
      <w:r>
        <w:rPr>
          <w:sz w:val="24"/>
          <w:szCs w:val="24"/>
          <w:lang w:eastAsia="ru-RU"/>
        </w:rPr>
        <w:t xml:space="preserve">ы</w:t>
      </w:r>
      <w:r>
        <w:rPr>
          <w:sz w:val="24"/>
          <w:szCs w:val="24"/>
          <w:lang w:eastAsia="ru-RU"/>
        </w:rPr>
        <w:t xml:space="preserve"> в границах элементов планировочной структуры и </w:t>
      </w:r>
      <w:r>
        <w:rPr>
          <w:sz w:val="24"/>
          <w:szCs w:val="24"/>
          <w:lang w:eastAsia="ru-RU"/>
        </w:rPr>
        <w:t xml:space="preserve">обеспечен</w:t>
      </w:r>
      <w:r>
        <w:rPr>
          <w:sz w:val="24"/>
          <w:szCs w:val="24"/>
          <w:lang w:eastAsia="ru-RU"/>
        </w:rPr>
        <w:t xml:space="preserve">ы</w:t>
      </w:r>
      <w:r>
        <w:rPr>
          <w:sz w:val="24"/>
          <w:szCs w:val="24"/>
          <w:lang w:eastAsia="ru-RU"/>
        </w:rPr>
        <w:t xml:space="preserve"> учреждениями, организациями и предприятиями обслуживания с соблюдением нормативных показателей доступности, приведенных в данной статье</w:t>
      </w:r>
      <w:r>
        <w:rPr>
          <w:sz w:val="24"/>
          <w:szCs w:val="24"/>
          <w:lang w:eastAsia="ru-RU"/>
        </w:rPr>
        <w:t xml:space="preserve">.</w:t>
      </w:r>
      <w:r>
        <w:rPr>
          <w:color w:val="0070c0"/>
          <w:sz w:val="24"/>
          <w:szCs w:val="24"/>
          <w:lang w:eastAsia="ru-RU"/>
        </w:rPr>
      </w:r>
      <w:r/>
    </w:p>
    <w:p>
      <w:pPr>
        <w:ind w:firstLine="567"/>
        <w:jc w:val="both"/>
        <w:shd w:val="clear" w:color="auto" w:fill="ffffff"/>
        <w:widowControl/>
      </w:pPr>
      <w:r>
        <w:rPr>
          <w:sz w:val="24"/>
          <w:szCs w:val="24"/>
          <w:lang w:eastAsia="ru-RU"/>
        </w:rPr>
        <w:t xml:space="preserve">2) </w:t>
      </w:r>
      <w:r>
        <w:rPr>
          <w:sz w:val="24"/>
          <w:szCs w:val="24"/>
          <w:lang w:eastAsia="ru-RU"/>
        </w:rPr>
        <w:t xml:space="preserve">Градостроительные регламенты настоящих Правил в части видов разрешенного использования земельных участков, предусматривающих возможность строительства </w:t>
      </w:r>
      <w:r>
        <w:rPr>
          <w:sz w:val="24"/>
          <w:szCs w:val="24"/>
          <w:lang w:eastAsia="ru-RU"/>
        </w:rPr>
        <w:t xml:space="preserve">МЖД</w:t>
      </w:r>
      <w:r>
        <w:rPr>
          <w:sz w:val="24"/>
          <w:szCs w:val="24"/>
          <w:lang w:eastAsia="ru-RU"/>
        </w:rPr>
        <w:t xml:space="preserve">,</w:t>
      </w:r>
      <w:r>
        <w:rPr>
          <w:sz w:val="24"/>
          <w:szCs w:val="24"/>
          <w:lang w:eastAsia="ru-RU"/>
        </w:rPr>
        <w:t xml:space="preserve"> действуют только в отношении земельных участков: </w:t>
      </w:r>
      <w:r>
        <w:rPr>
          <w:sz w:val="24"/>
          <w:szCs w:val="24"/>
          <w:lang w:eastAsia="ru-RU"/>
        </w:rPr>
      </w:r>
      <w:r/>
    </w:p>
    <w:p>
      <w:pPr>
        <w:ind w:firstLine="567"/>
        <w:jc w:val="both"/>
        <w:shd w:val="clear" w:color="auto" w:fill="ffffff"/>
        <w:widowControl/>
      </w:pPr>
      <w:r>
        <w:rPr>
          <w:sz w:val="24"/>
          <w:szCs w:val="24"/>
          <w:lang w:eastAsia="ru-RU"/>
        </w:rPr>
        <w:t xml:space="preserve">а)</w:t>
      </w:r>
      <w:r>
        <w:rPr>
          <w:sz w:val="24"/>
          <w:szCs w:val="24"/>
          <w:lang w:eastAsia="ru-RU"/>
        </w:rPr>
        <w:t xml:space="preserve"> </w:t>
      </w:r>
      <w:r>
        <w:rPr>
          <w:sz w:val="24"/>
          <w:szCs w:val="24"/>
          <w:lang w:eastAsia="ru-RU"/>
        </w:rPr>
        <w:t xml:space="preserve">входящих в территории, в отношении которых приняты решения о комплексном развитии территории, заключен договор о комплексном развитии территории</w:t>
      </w:r>
      <w:r>
        <w:rPr>
          <w:sz w:val="24"/>
          <w:szCs w:val="24"/>
          <w:lang w:eastAsia="ru-RU"/>
        </w:rPr>
        <w:t xml:space="preserve">;</w:t>
      </w:r>
      <w:r>
        <w:rPr>
          <w:sz w:val="24"/>
          <w:szCs w:val="24"/>
          <w:lang w:eastAsia="ru-RU"/>
        </w:rPr>
      </w:r>
      <w:r/>
    </w:p>
    <w:p>
      <w:pPr>
        <w:ind w:firstLine="567"/>
        <w:jc w:val="both"/>
        <w:shd w:val="clear" w:color="auto" w:fill="ffffff"/>
        <w:widowControl/>
      </w:pPr>
      <w:r>
        <w:rPr>
          <w:sz w:val="24"/>
          <w:szCs w:val="24"/>
          <w:lang w:eastAsia="ru-RU"/>
        </w:rPr>
        <w:t xml:space="preserve">б)</w:t>
      </w:r>
      <w:r>
        <w:rPr>
          <w:sz w:val="24"/>
          <w:szCs w:val="24"/>
          <w:lang w:eastAsia="ru-RU"/>
        </w:rPr>
        <w:t xml:space="preserve"> расположенных в границах элементов планировочной структуры и </w:t>
      </w:r>
      <w:r>
        <w:rPr>
          <w:sz w:val="24"/>
          <w:szCs w:val="24"/>
          <w:lang w:eastAsia="ru-RU"/>
        </w:rPr>
        <w:t xml:space="preserve">обеспечен</w:t>
      </w:r>
      <w:r>
        <w:rPr>
          <w:sz w:val="24"/>
          <w:szCs w:val="24"/>
          <w:lang w:eastAsia="ru-RU"/>
        </w:rPr>
        <w:t xml:space="preserve">ных</w:t>
      </w:r>
      <w:r>
        <w:rPr>
          <w:sz w:val="24"/>
          <w:szCs w:val="24"/>
          <w:lang w:eastAsia="ru-RU"/>
        </w:rPr>
        <w:t xml:space="preserve"> учреждениями, организациями и предприятиями обслуживания с соблюдением нормативных показателей доступности, приведенных в данной статье</w:t>
      </w:r>
      <w:r>
        <w:rPr>
          <w:sz w:val="24"/>
          <w:szCs w:val="24"/>
          <w:lang w:eastAsia="ru-RU"/>
        </w:rPr>
        <w:t xml:space="preserve">;</w:t>
      </w:r>
      <w:r>
        <w:rPr>
          <w:sz w:val="24"/>
          <w:szCs w:val="24"/>
          <w:lang w:eastAsia="ru-RU"/>
        </w:rPr>
      </w:r>
      <w:r/>
    </w:p>
    <w:p>
      <w:pPr>
        <w:ind w:firstLine="567"/>
        <w:jc w:val="both"/>
        <w:shd w:val="clear" w:color="auto" w:fill="ffffff"/>
        <w:widowControl/>
      </w:pPr>
      <w:r>
        <w:rPr>
          <w:sz w:val="24"/>
          <w:szCs w:val="24"/>
          <w:lang w:eastAsia="ru-RU"/>
        </w:rPr>
        <w:t xml:space="preserve">в)</w:t>
      </w:r>
      <w:r>
        <w:rPr>
          <w:sz w:val="24"/>
          <w:szCs w:val="24"/>
          <w:lang w:eastAsia="ru-RU"/>
        </w:rPr>
        <w:t xml:space="preserve"> </w:t>
      </w:r>
      <w:r>
        <w:rPr>
          <w:sz w:val="24"/>
          <w:szCs w:val="24"/>
          <w:lang w:eastAsia="ru-RU"/>
        </w:rPr>
        <w:t xml:space="preserve">на которые утверждена документация по планировке территории</w:t>
      </w:r>
      <w:r>
        <w:rPr>
          <w:sz w:val="24"/>
          <w:szCs w:val="24"/>
          <w:lang w:eastAsia="ru-RU"/>
        </w:rPr>
        <w:t xml:space="preserve">.</w:t>
      </w:r>
      <w:r>
        <w:rPr>
          <w:sz w:val="24"/>
          <w:szCs w:val="24"/>
          <w:lang w:eastAsia="ru-RU"/>
        </w:rPr>
      </w:r>
      <w:r/>
    </w:p>
    <w:p>
      <w:pPr>
        <w:ind w:firstLine="567"/>
        <w:jc w:val="both"/>
        <w:shd w:val="clear" w:color="auto" w:fill="ffffff"/>
        <w:widowControl/>
      </w:pPr>
      <w:r>
        <w:rPr>
          <w:sz w:val="24"/>
          <w:szCs w:val="24"/>
          <w:lang w:eastAsia="ru-RU"/>
        </w:rPr>
        <w:t xml:space="preserve">В иных случаях виды разрешенного использования градостроительных регламентов</w:t>
      </w:r>
      <w:r>
        <w:rPr>
          <w:sz w:val="24"/>
          <w:szCs w:val="24"/>
          <w:lang w:eastAsia="ru-RU"/>
        </w:rPr>
        <w:t xml:space="preserve">, предусматривающие возможность </w:t>
      </w:r>
      <w:r>
        <w:rPr>
          <w:sz w:val="24"/>
          <w:szCs w:val="24"/>
          <w:lang w:eastAsia="ru-RU"/>
        </w:rPr>
        <w:t xml:space="preserve">строительства многоквартирных жилых домов,</w:t>
      </w:r>
      <w:r>
        <w:rPr>
          <w:sz w:val="24"/>
          <w:szCs w:val="24"/>
          <w:lang w:eastAsia="ru-RU"/>
        </w:rPr>
        <w:t xml:space="preserve"> не действуют и не подлежат указанию в градостроительных планах земельных участков</w:t>
      </w:r>
      <w:r>
        <w:rPr>
          <w:sz w:val="24"/>
          <w:szCs w:val="24"/>
          <w:lang w:eastAsia="ru-RU"/>
        </w:rPr>
        <w:t xml:space="preserve">.</w:t>
      </w:r>
      <w:r>
        <w:rPr>
          <w:color w:val="0070c0"/>
          <w:sz w:val="24"/>
          <w:szCs w:val="24"/>
          <w:lang w:eastAsia="ru-RU"/>
        </w:rPr>
        <w:t xml:space="preserve"> </w:t>
      </w:r>
      <w:r>
        <w:rPr>
          <w:color w:val="0070c0"/>
          <w:sz w:val="24"/>
          <w:szCs w:val="24"/>
          <w:lang w:eastAsia="ru-RU"/>
        </w:rPr>
      </w:r>
      <w:r/>
    </w:p>
    <w:p>
      <w:pPr>
        <w:ind w:firstLine="567"/>
        <w:jc w:val="both"/>
        <w:shd w:val="clear" w:color="auto" w:fill="ffffff"/>
      </w:pPr>
      <w:r>
        <w:rPr>
          <w:sz w:val="24"/>
          <w:szCs w:val="24"/>
          <w:lang w:eastAsia="ru-RU"/>
        </w:rPr>
        <w:t xml:space="preserve">3) </w:t>
      </w:r>
      <w:r>
        <w:rPr>
          <w:sz w:val="24"/>
          <w:szCs w:val="24"/>
          <w:lang w:eastAsia="ru-RU"/>
        </w:rPr>
        <w:t xml:space="preserve">При проектировании МЖД необходимо уч</w:t>
      </w:r>
      <w:r>
        <w:rPr>
          <w:sz w:val="24"/>
          <w:szCs w:val="24"/>
          <w:lang w:eastAsia="ru-RU"/>
        </w:rPr>
        <w:t xml:space="preserve">итывать</w:t>
      </w:r>
      <w:r>
        <w:rPr>
          <w:sz w:val="24"/>
          <w:szCs w:val="24"/>
          <w:lang w:eastAsia="ru-RU"/>
        </w:rPr>
        <w:t xml:space="preserve"> следующие требования:</w:t>
      </w:r>
      <w:r>
        <w:rPr>
          <w:sz w:val="24"/>
          <w:szCs w:val="24"/>
          <w:lang w:eastAsia="ru-RU"/>
        </w:rPr>
      </w:r>
      <w:r/>
    </w:p>
    <w:p>
      <w:pPr>
        <w:ind w:firstLine="567"/>
        <w:jc w:val="both"/>
        <w:shd w:val="clear" w:color="auto" w:fill="ffffff"/>
      </w:pPr>
      <w:r>
        <w:rPr>
          <w:sz w:val="24"/>
          <w:szCs w:val="24"/>
          <w:lang w:eastAsia="ru-RU"/>
        </w:rPr>
        <w:t xml:space="preserve">а)</w:t>
      </w:r>
      <w:r>
        <w:rPr>
          <w:sz w:val="24"/>
          <w:szCs w:val="24"/>
          <w:lang w:eastAsia="ru-RU"/>
        </w:rPr>
        <w:t xml:space="preserve"> </w:t>
      </w:r>
      <w:r>
        <w:rPr>
          <w:sz w:val="24"/>
          <w:szCs w:val="24"/>
          <w:lang w:eastAsia="ru-RU"/>
        </w:rPr>
        <w:t xml:space="preserve">п</w:t>
      </w:r>
      <w:r>
        <w:rPr>
          <w:sz w:val="24"/>
          <w:szCs w:val="24"/>
          <w:lang w:eastAsia="ru-RU"/>
        </w:rPr>
        <w:t xml:space="preserve">ридомовая территория многоквартирного жилого дома должна быть оборудована придомовыми площадками расчетной площадью из расчета на 100 м</w:t>
      </w:r>
      <w:r>
        <w:rPr>
          <w:sz w:val="24"/>
          <w:szCs w:val="24"/>
          <w:vertAlign w:val="superscript"/>
          <w:lang w:eastAsia="ru-RU"/>
        </w:rPr>
        <w:t xml:space="preserve">2</w:t>
      </w:r>
      <w:r>
        <w:rPr>
          <w:sz w:val="24"/>
          <w:szCs w:val="24"/>
          <w:lang w:eastAsia="ru-RU"/>
        </w:rPr>
        <w:t xml:space="preserve"> площади квартир:</w:t>
      </w:r>
      <w:r>
        <w:rPr>
          <w:rFonts w:eastAsia="Calibri"/>
          <w:sz w:val="24"/>
          <w:szCs w:val="24"/>
          <w:lang w:eastAsia="en-US"/>
        </w:rPr>
      </w:r>
      <w:r/>
    </w:p>
    <w:p>
      <w:pPr>
        <w:ind w:right="79" w:firstLine="567"/>
        <w:jc w:val="both"/>
      </w:pPr>
      <w:r>
        <w:rPr>
          <w:sz w:val="24"/>
          <w:szCs w:val="24"/>
          <w:lang w:eastAsia="ru-RU"/>
        </w:rPr>
        <w:t xml:space="preserve">для игр детей дошкольного и младшего школьного возраста - 2,5 м</w:t>
      </w:r>
      <w:r>
        <w:rPr>
          <w:sz w:val="24"/>
          <w:szCs w:val="24"/>
          <w:vertAlign w:val="superscript"/>
          <w:lang w:eastAsia="ru-RU"/>
        </w:rPr>
        <w:t xml:space="preserve">2</w:t>
      </w:r>
      <w:r>
        <w:rPr>
          <w:sz w:val="24"/>
          <w:szCs w:val="24"/>
          <w:lang w:eastAsia="ru-RU"/>
        </w:rPr>
        <w:t xml:space="preserve">, но не менее 20 м</w:t>
      </w:r>
      <w:r>
        <w:rPr>
          <w:sz w:val="24"/>
          <w:szCs w:val="24"/>
          <w:vertAlign w:val="superscript"/>
          <w:lang w:eastAsia="ru-RU"/>
        </w:rPr>
        <w:t xml:space="preserve">2</w:t>
      </w:r>
      <w:r>
        <w:rPr>
          <w:sz w:val="24"/>
          <w:szCs w:val="24"/>
          <w:lang w:eastAsia="ru-RU"/>
        </w:rPr>
        <w:t xml:space="preserve">;</w:t>
      </w:r>
      <w:r>
        <w:rPr>
          <w:sz w:val="24"/>
          <w:szCs w:val="24"/>
          <w:lang w:eastAsia="ru-RU"/>
        </w:rPr>
      </w:r>
      <w:r/>
    </w:p>
    <w:p>
      <w:pPr>
        <w:ind w:right="79" w:firstLine="567"/>
        <w:jc w:val="both"/>
      </w:pPr>
      <w:r>
        <w:rPr>
          <w:sz w:val="24"/>
          <w:szCs w:val="24"/>
          <w:lang w:eastAsia="ru-RU"/>
        </w:rPr>
        <w:t xml:space="preserve">для отдыха взрослого населения - 0,4 м</w:t>
      </w:r>
      <w:r>
        <w:rPr>
          <w:sz w:val="24"/>
          <w:szCs w:val="24"/>
          <w:vertAlign w:val="superscript"/>
          <w:lang w:eastAsia="ru-RU"/>
        </w:rPr>
        <w:t xml:space="preserve">2</w:t>
      </w:r>
      <w:r>
        <w:rPr>
          <w:sz w:val="24"/>
          <w:szCs w:val="24"/>
          <w:lang w:eastAsia="ru-RU"/>
        </w:rPr>
        <w:t xml:space="preserve">, но не менее 5 м</w:t>
      </w:r>
      <w:r>
        <w:rPr>
          <w:sz w:val="24"/>
          <w:szCs w:val="24"/>
          <w:vertAlign w:val="superscript"/>
          <w:lang w:eastAsia="ru-RU"/>
        </w:rPr>
        <w:t xml:space="preserve">2</w:t>
      </w:r>
      <w:r>
        <w:rPr>
          <w:sz w:val="24"/>
          <w:szCs w:val="24"/>
          <w:lang w:eastAsia="ru-RU"/>
        </w:rPr>
        <w:t xml:space="preserve">;</w:t>
      </w:r>
      <w:r>
        <w:rPr>
          <w:sz w:val="24"/>
          <w:szCs w:val="24"/>
          <w:lang w:eastAsia="ru-RU"/>
        </w:rPr>
      </w:r>
      <w:r/>
    </w:p>
    <w:p>
      <w:pPr>
        <w:ind w:right="79" w:firstLine="567"/>
        <w:jc w:val="both"/>
      </w:pPr>
      <w:r>
        <w:rPr>
          <w:sz w:val="24"/>
          <w:szCs w:val="24"/>
          <w:lang w:eastAsia="ru-RU"/>
        </w:rPr>
        <w:t xml:space="preserve">для занятий физкультурой и спортом – 7,5 м</w:t>
      </w:r>
      <w:r>
        <w:rPr>
          <w:sz w:val="24"/>
          <w:szCs w:val="24"/>
          <w:vertAlign w:val="superscript"/>
          <w:lang w:eastAsia="ru-RU"/>
        </w:rPr>
        <w:t xml:space="preserve">2</w:t>
      </w:r>
      <w:r>
        <w:rPr>
          <w:sz w:val="24"/>
          <w:szCs w:val="24"/>
          <w:lang w:eastAsia="ru-RU"/>
        </w:rPr>
        <w:t xml:space="preserve">, но не менее 40 м</w:t>
      </w:r>
      <w:r>
        <w:rPr>
          <w:sz w:val="24"/>
          <w:szCs w:val="24"/>
          <w:vertAlign w:val="superscript"/>
          <w:lang w:eastAsia="ru-RU"/>
        </w:rPr>
        <w:t xml:space="preserve">2</w:t>
      </w:r>
      <w:r>
        <w:rPr>
          <w:sz w:val="24"/>
          <w:szCs w:val="24"/>
          <w:lang w:eastAsia="ru-RU"/>
        </w:rPr>
        <w:t xml:space="preserve">;</w:t>
      </w:r>
      <w:r>
        <w:rPr>
          <w:sz w:val="24"/>
          <w:szCs w:val="24"/>
          <w:lang w:eastAsia="ru-RU"/>
        </w:rPr>
      </w:r>
      <w:r/>
    </w:p>
    <w:p>
      <w:pPr>
        <w:ind w:right="79" w:firstLine="567"/>
        <w:jc w:val="both"/>
      </w:pPr>
      <w:r>
        <w:rPr>
          <w:sz w:val="24"/>
          <w:szCs w:val="24"/>
          <w:lang w:eastAsia="ru-RU"/>
        </w:rPr>
        <w:t xml:space="preserve">парковками в количестве согласно пункту </w:t>
      </w:r>
      <w:r>
        <w:rPr>
          <w:sz w:val="24"/>
          <w:szCs w:val="24"/>
          <w:lang w:eastAsia="ru-RU"/>
        </w:rPr>
        <w:t xml:space="preserve">8</w:t>
      </w:r>
      <w:r>
        <w:rPr>
          <w:sz w:val="24"/>
          <w:szCs w:val="24"/>
          <w:lang w:eastAsia="ru-RU"/>
        </w:rPr>
        <w:t xml:space="preserve"> настоящей статьи</w:t>
      </w:r>
      <w:r>
        <w:rPr>
          <w:sz w:val="24"/>
          <w:szCs w:val="24"/>
          <w:lang w:eastAsia="ru-RU"/>
        </w:rPr>
        <w:t xml:space="preserve">.</w:t>
      </w:r>
      <w:r>
        <w:rPr>
          <w:sz w:val="24"/>
          <w:szCs w:val="24"/>
          <w:lang w:eastAsia="ru-RU"/>
        </w:rPr>
      </w:r>
      <w:r/>
    </w:p>
    <w:p>
      <w:pPr>
        <w:ind w:firstLine="567"/>
        <w:jc w:val="both"/>
        <w:shd w:val="clear" w:color="auto" w:fill="ffffff"/>
        <w:widowControl/>
      </w:pPr>
      <w:r>
        <w:rPr>
          <w:sz w:val="24"/>
          <w:szCs w:val="24"/>
          <w:lang w:eastAsia="ru-RU"/>
        </w:rPr>
        <w:t xml:space="preserve">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r>
        <w:rPr>
          <w:sz w:val="24"/>
          <w:szCs w:val="24"/>
          <w:lang w:eastAsia="ru-RU"/>
        </w:rPr>
        <w:t xml:space="preserve">.</w:t>
      </w:r>
      <w:r>
        <w:rPr>
          <w:sz w:val="24"/>
          <w:szCs w:val="24"/>
          <w:lang w:eastAsia="ru-RU"/>
        </w:rPr>
      </w:r>
      <w:r/>
    </w:p>
    <w:p>
      <w:pPr>
        <w:ind w:firstLine="567"/>
        <w:jc w:val="both"/>
        <w:shd w:val="clear" w:color="auto" w:fill="ffffff"/>
        <w:widowControl/>
      </w:pPr>
      <w:r>
        <w:rPr>
          <w:sz w:val="24"/>
          <w:szCs w:val="24"/>
          <w:lang w:eastAsia="ru-RU"/>
        </w:rPr>
        <w:t xml:space="preserve">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r>
        <w:rPr>
          <w:sz w:val="24"/>
          <w:szCs w:val="24"/>
          <w:lang w:eastAsia="ru-RU"/>
        </w:rPr>
        <w:t xml:space="preserve">:</w:t>
      </w:r>
      <w:r>
        <w:rPr>
          <w:sz w:val="24"/>
          <w:szCs w:val="24"/>
          <w:lang w:eastAsia="ru-RU"/>
        </w:rPr>
      </w:r>
      <w:r/>
    </w:p>
    <w:p>
      <w:pPr>
        <w:ind w:firstLine="567"/>
        <w:jc w:val="both"/>
      </w:pPr>
      <w:r>
        <w:rPr>
          <w:rFonts w:eastAsia="Calibri"/>
          <w:sz w:val="24"/>
          <w:szCs w:val="24"/>
          <w:lang w:eastAsia="en-US"/>
        </w:rPr>
        <w:t xml:space="preserve">а</w:t>
      </w:r>
      <w:r>
        <w:rPr>
          <w:rFonts w:eastAsia="Calibri"/>
          <w:sz w:val="24"/>
          <w:szCs w:val="24"/>
          <w:lang w:eastAsia="en-US"/>
        </w:rPr>
        <w:t xml:space="preserve">)</w:t>
      </w:r>
      <w:r>
        <w:rPr>
          <w:rFonts w:eastAsia="Calibri"/>
          <w:sz w:val="24"/>
          <w:szCs w:val="24"/>
          <w:lang w:eastAsia="en-US"/>
        </w:rPr>
        <w:t xml:space="preserve"> р</w:t>
      </w:r>
      <w:r>
        <w:rPr>
          <w:rFonts w:eastAsia="Calibri"/>
          <w:sz w:val="24"/>
          <w:szCs w:val="24"/>
          <w:lang w:eastAsia="en-US"/>
        </w:rPr>
        <w:t xml:space="preserve">азмещение</w:t>
      </w:r>
      <w:r>
        <w:rPr>
          <w:rFonts w:eastAsia="Calibri"/>
          <w:sz w:val="24"/>
          <w:szCs w:val="24"/>
          <w:lang w:eastAsia="en-US"/>
        </w:rPr>
        <w:t xml:space="preserve"> придомовых</w:t>
      </w:r>
      <w:r>
        <w:rPr>
          <w:rFonts w:eastAsia="Calibri"/>
          <w:sz w:val="24"/>
          <w:szCs w:val="24"/>
          <w:lang w:eastAsia="en-US"/>
        </w:rPr>
        <w:t xml:space="preserve"> площадок необходимо предусматривать на расстоянии от окон жилых и общественных зданий, м, не менее: </w:t>
      </w:r>
      <w:r>
        <w:rPr>
          <w:rFonts w:eastAsia="Calibri"/>
          <w:sz w:val="24"/>
          <w:szCs w:val="24"/>
          <w:lang w:eastAsia="en-US"/>
        </w:rPr>
      </w:r>
      <w:r/>
    </w:p>
    <w:p>
      <w:pPr>
        <w:ind w:firstLine="567"/>
        <w:jc w:val="both"/>
      </w:pPr>
      <w:r>
        <w:rPr>
          <w:rFonts w:eastAsia="Calibri"/>
          <w:sz w:val="24"/>
          <w:szCs w:val="24"/>
          <w:lang w:eastAsia="en-US"/>
        </w:rPr>
        <w:t xml:space="preserve">для игр детей дошкольного и младшего школьного возраста - 1</w:t>
      </w:r>
      <w:r>
        <w:rPr>
          <w:rFonts w:eastAsia="Calibri"/>
          <w:sz w:val="24"/>
          <w:szCs w:val="24"/>
          <w:lang w:eastAsia="en-US"/>
        </w:rPr>
        <w:t xml:space="preserve">0</w:t>
      </w:r>
      <w:r>
        <w:rPr>
          <w:rFonts w:eastAsia="Calibri"/>
          <w:sz w:val="24"/>
          <w:szCs w:val="24"/>
          <w:lang w:eastAsia="en-US"/>
        </w:rPr>
        <w:t xml:space="preserve">; </w:t>
      </w:r>
      <w:r>
        <w:rPr>
          <w:rFonts w:eastAsia="Calibri"/>
          <w:sz w:val="24"/>
          <w:szCs w:val="24"/>
          <w:lang w:eastAsia="en-US"/>
        </w:rPr>
      </w:r>
      <w:r/>
    </w:p>
    <w:p>
      <w:pPr>
        <w:ind w:firstLine="567"/>
        <w:jc w:val="both"/>
      </w:pPr>
      <w:r>
        <w:rPr>
          <w:rFonts w:eastAsia="Calibri"/>
          <w:sz w:val="24"/>
          <w:szCs w:val="24"/>
          <w:lang w:eastAsia="en-US"/>
        </w:rPr>
        <w:t xml:space="preserve">д</w:t>
      </w:r>
      <w:r>
        <w:rPr>
          <w:rFonts w:eastAsia="Calibri"/>
          <w:sz w:val="24"/>
          <w:szCs w:val="24"/>
          <w:lang w:eastAsia="en-US"/>
        </w:rPr>
        <w:t xml:space="preserve">ля отдыха взрослого населения -8</w:t>
      </w:r>
      <w:r>
        <w:rPr>
          <w:rFonts w:eastAsia="Calibri"/>
          <w:sz w:val="24"/>
          <w:szCs w:val="24"/>
          <w:lang w:eastAsia="en-US"/>
        </w:rPr>
        <w:t xml:space="preserve">; </w:t>
      </w:r>
      <w:r>
        <w:rPr>
          <w:rFonts w:eastAsia="Calibri"/>
          <w:sz w:val="24"/>
          <w:szCs w:val="24"/>
          <w:lang w:eastAsia="en-US"/>
        </w:rPr>
      </w:r>
      <w:r/>
    </w:p>
    <w:p>
      <w:pPr>
        <w:ind w:firstLine="567"/>
        <w:jc w:val="both"/>
      </w:pPr>
      <w:r>
        <w:rPr>
          <w:rFonts w:eastAsia="Calibri"/>
          <w:sz w:val="24"/>
          <w:szCs w:val="24"/>
          <w:lang w:eastAsia="en-US"/>
        </w:rPr>
        <w:t xml:space="preserve">для занятий физкультурой (в зависимости от шумовых характеристик) -10 </w:t>
      </w:r>
      <w:r>
        <w:rPr>
          <w:rFonts w:eastAsia="Calibri"/>
          <w:sz w:val="24"/>
          <w:szCs w:val="24"/>
          <w:lang w:eastAsia="en-US"/>
        </w:rPr>
        <w:t xml:space="preserve">–</w:t>
      </w:r>
      <w:r>
        <w:rPr>
          <w:rFonts w:eastAsia="Calibri"/>
          <w:sz w:val="24"/>
          <w:szCs w:val="24"/>
          <w:lang w:eastAsia="en-US"/>
        </w:rPr>
        <w:t xml:space="preserve"> 40</w:t>
      </w:r>
      <w:r>
        <w:rPr>
          <w:rFonts w:eastAsia="Calibri"/>
          <w:sz w:val="24"/>
          <w:szCs w:val="24"/>
          <w:lang w:eastAsia="en-US"/>
        </w:rPr>
        <w:t xml:space="preserve">.</w:t>
      </w:r>
      <w:r>
        <w:rPr>
          <w:rFonts w:eastAsia="Calibri"/>
          <w:sz w:val="24"/>
          <w:szCs w:val="24"/>
          <w:lang w:eastAsia="en-US"/>
        </w:rPr>
        <w:t xml:space="preserve"> </w:t>
      </w:r>
      <w:r>
        <w:rPr>
          <w:sz w:val="24"/>
          <w:szCs w:val="24"/>
          <w:lang w:eastAsia="ru-RU"/>
        </w:rPr>
        <w:t xml:space="preserve">П</w:t>
      </w:r>
      <w:r>
        <w:rPr>
          <w:sz w:val="24"/>
          <w:szCs w:val="24"/>
          <w:lang w:eastAsia="ru-RU"/>
        </w:rPr>
        <w:t xml:space="preserve">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r>
        <w:rPr>
          <w:sz w:val="24"/>
          <w:szCs w:val="24"/>
          <w:lang w:eastAsia="ru-RU"/>
        </w:rPr>
        <w:t xml:space="preserve">;</w:t>
      </w:r>
      <w:r>
        <w:rPr>
          <w:rFonts w:eastAsia="Calibri"/>
          <w:sz w:val="24"/>
          <w:szCs w:val="24"/>
          <w:lang w:eastAsia="en-US"/>
        </w:rPr>
      </w:r>
      <w:r/>
    </w:p>
    <w:p>
      <w:pPr>
        <w:ind w:firstLine="567"/>
        <w:jc w:val="both"/>
      </w:pPr>
      <w:r>
        <w:rPr>
          <w:rFonts w:eastAsia="Calibri"/>
          <w:sz w:val="24"/>
          <w:szCs w:val="24"/>
          <w:lang w:eastAsia="en-US"/>
        </w:rPr>
        <w:t xml:space="preserve">для хозяйственных целей - 20;</w:t>
      </w:r>
      <w:r>
        <w:rPr>
          <w:rFonts w:eastAsia="Calibri"/>
          <w:sz w:val="24"/>
          <w:szCs w:val="24"/>
          <w:lang w:eastAsia="en-US"/>
        </w:rPr>
      </w:r>
      <w:r/>
    </w:p>
    <w:p>
      <w:pPr>
        <w:ind w:firstLine="567"/>
        <w:jc w:val="both"/>
      </w:pPr>
      <w:r>
        <w:rPr>
          <w:rFonts w:eastAsia="Calibri"/>
          <w:sz w:val="24"/>
          <w:szCs w:val="24"/>
          <w:lang w:eastAsia="en-US"/>
        </w:rPr>
        <w:t xml:space="preserve">для выгула собак - 40; </w:t>
      </w:r>
      <w:r>
        <w:rPr>
          <w:rFonts w:eastAsia="Calibri"/>
          <w:sz w:val="24"/>
          <w:szCs w:val="24"/>
          <w:lang w:eastAsia="en-US"/>
        </w:rPr>
      </w:r>
      <w:r/>
    </w:p>
    <w:p>
      <w:pPr>
        <w:ind w:firstLine="567"/>
        <w:jc w:val="both"/>
      </w:pPr>
      <w:r>
        <w:rPr>
          <w:rFonts w:eastAsia="Calibri"/>
          <w:sz w:val="24"/>
          <w:szCs w:val="24"/>
          <w:lang w:eastAsia="en-US"/>
        </w:rPr>
        <w:t xml:space="preserve">для стоянки автомобилей – в соответствии </w:t>
      </w:r>
      <w:r>
        <w:rPr>
          <w:rFonts w:eastAsia="Calibri"/>
          <w:sz w:val="24"/>
          <w:szCs w:val="24"/>
          <w:lang w:eastAsia="en-US"/>
        </w:rPr>
        <w:t xml:space="preserve">с п</w:t>
      </w:r>
      <w:r>
        <w:rPr>
          <w:rFonts w:eastAsia="Calibri"/>
          <w:sz w:val="24"/>
          <w:szCs w:val="24"/>
          <w:lang w:eastAsia="en-US"/>
        </w:rPr>
        <w:t xml:space="preserve">.</w:t>
      </w:r>
      <w:r>
        <w:rPr>
          <w:color w:val="22272f"/>
          <w:sz w:val="23"/>
          <w:szCs w:val="23"/>
          <w:shd w:val="clear" w:color="auto" w:fill="ffffff"/>
        </w:rPr>
        <w:t xml:space="preserve"> 11.34 </w:t>
      </w:r>
      <w:r>
        <w:rPr>
          <w:rFonts w:eastAsia="Calibri"/>
          <w:sz w:val="24"/>
          <w:szCs w:val="24"/>
          <w:lang w:eastAsia="en-US"/>
        </w:rPr>
        <w:t xml:space="preserve">СП</w:t>
      </w:r>
      <w:r>
        <w:rPr>
          <w:rFonts w:eastAsia="Calibri"/>
          <w:sz w:val="24"/>
          <w:szCs w:val="24"/>
          <w:shd w:val="clear" w:color="auto" w:fill="ffffff"/>
          <w:lang w:eastAsia="en-US"/>
        </w:rPr>
        <w:t xml:space="preserve">42.13330.2016</w:t>
      </w:r>
      <w:r>
        <w:rPr>
          <w:rFonts w:eastAsia="Calibri"/>
          <w:sz w:val="24"/>
          <w:szCs w:val="24"/>
          <w:shd w:val="clear" w:color="auto" w:fill="ffffff"/>
          <w:lang w:eastAsia="en-US"/>
        </w:rPr>
        <w:t xml:space="preserve">.</w:t>
      </w:r>
      <w:r>
        <w:rPr>
          <w:color w:val="22272f"/>
          <w:sz w:val="23"/>
          <w:szCs w:val="23"/>
          <w:shd w:val="clear" w:color="auto" w:fill="ffffff"/>
        </w:rPr>
        <w:t xml:space="preserve"> Р</w:t>
      </w:r>
      <w:r>
        <w:rPr>
          <w:color w:val="22272f"/>
          <w:sz w:val="23"/>
          <w:szCs w:val="23"/>
          <w:shd w:val="clear" w:color="auto" w:fill="ffffff"/>
        </w:rPr>
        <w:t xml:space="preserve">асстояния обосновыва</w:t>
      </w:r>
      <w:r>
        <w:rPr>
          <w:color w:val="22272f"/>
          <w:sz w:val="23"/>
          <w:szCs w:val="23"/>
          <w:shd w:val="clear" w:color="auto" w:fill="ffffff"/>
        </w:rPr>
        <w:t xml:space="preserve">ется</w:t>
      </w:r>
      <w:r>
        <w:rPr>
          <w:color w:val="22272f"/>
          <w:sz w:val="23"/>
          <w:szCs w:val="23"/>
          <w:shd w:val="clear" w:color="auto" w:fill="ffffff"/>
        </w:rPr>
        <w:t xml:space="preserve"> расчетами рассеивания загрязнений атмосферного воздуха и уровней шума, обеспечивая выполнение нормативных требований, приведенных </w:t>
      </w:r>
      <w:r>
        <w:rPr>
          <w:sz w:val="23"/>
          <w:szCs w:val="23"/>
          <w:shd w:val="clear" w:color="auto" w:fill="ffffff"/>
        </w:rPr>
        <w:t xml:space="preserve">в </w:t>
      </w:r>
      <w:hyperlink r:id="rId30" w:tooltip="https://internet.garant.ru/#/document/6180771/entry/0" w:anchor="/document/6180771/entry/0" w:history="1">
        <w:r>
          <w:rPr>
            <w:sz w:val="23"/>
            <w:szCs w:val="23"/>
            <w:shd w:val="clear" w:color="auto" w:fill="ffffff"/>
          </w:rPr>
          <w:t xml:space="preserve">СП 51.13330</w:t>
        </w:r>
      </w:hyperlink>
      <w:r>
        <w:rPr>
          <w:sz w:val="23"/>
          <w:szCs w:val="23"/>
          <w:shd w:val="clear" w:color="auto" w:fill="ffffff"/>
        </w:rPr>
        <w:t xml:space="preserve">, </w:t>
      </w:r>
      <w:hyperlink r:id="rId31" w:tooltip="https://internet.garant.ru/#/document/400274954/entry/1000" w:anchor="/document/400274954/entry/1000" w:history="1">
        <w:r>
          <w:rPr>
            <w:sz w:val="23"/>
            <w:szCs w:val="23"/>
            <w:shd w:val="clear" w:color="auto" w:fill="ffffff"/>
          </w:rPr>
          <w:t xml:space="preserve">СанПиН 1.2.3685</w:t>
        </w:r>
      </w:hyperlink>
      <w:r>
        <w:rPr>
          <w:sz w:val="23"/>
          <w:szCs w:val="23"/>
          <w:shd w:val="clear" w:color="auto" w:fill="ffffff"/>
        </w:rPr>
        <w:t xml:space="preserve">, </w:t>
      </w:r>
      <w:hyperlink r:id="rId32" w:tooltip="https://internet.garant.ru/#/document/400289764/entry/1000" w:anchor="/document/400289764/entry/1000" w:history="1">
        <w:r>
          <w:rPr>
            <w:sz w:val="23"/>
            <w:szCs w:val="23"/>
            <w:shd w:val="clear" w:color="auto" w:fill="ffffff"/>
          </w:rPr>
          <w:t xml:space="preserve">СанПиН 2.1.3684</w:t>
        </w:r>
      </w:hyperlink>
      <w:r>
        <w:rPr>
          <w:sz w:val="23"/>
          <w:szCs w:val="23"/>
          <w:shd w:val="clear" w:color="auto" w:fill="ffffff"/>
        </w:rPr>
        <w:t xml:space="preserve">, </w:t>
      </w:r>
      <w:hyperlink r:id="rId33" w:tooltip="https://internet.garant.ru/#/document/71692326/entry/12020" w:anchor="/document/71692326/entry/12020" w:history="1">
        <w:r>
          <w:rPr>
            <w:sz w:val="23"/>
            <w:szCs w:val="23"/>
            <w:shd w:val="clear" w:color="auto" w:fill="ffffff"/>
          </w:rPr>
          <w:t xml:space="preserve">[20]</w:t>
        </w:r>
      </w:hyperlink>
      <w:r>
        <w:rPr>
          <w:sz w:val="23"/>
          <w:szCs w:val="23"/>
          <w:shd w:val="clear" w:color="auto" w:fill="ffffff"/>
        </w:rPr>
        <w:t xml:space="preserve">, </w:t>
      </w:r>
      <w:hyperlink r:id="rId34" w:tooltip="https://internet.garant.ru/#/document/71692326/entry/12022" w:anchor="/document/71692326/entry/12022" w:history="1">
        <w:r>
          <w:rPr>
            <w:sz w:val="23"/>
            <w:szCs w:val="23"/>
            <w:shd w:val="clear" w:color="auto" w:fill="ffffff"/>
          </w:rPr>
          <w:t xml:space="preserve">[22]</w:t>
        </w:r>
      </w:hyperlink>
      <w:r>
        <w:rPr>
          <w:sz w:val="23"/>
          <w:szCs w:val="23"/>
          <w:shd w:val="clear" w:color="auto" w:fill="ffffff"/>
        </w:rPr>
        <w:t xml:space="preserve">, </w:t>
      </w:r>
      <w:hyperlink r:id="rId35" w:tooltip="https://internet.garant.ru/#/document/71692326/entry/12028" w:anchor="/document/71692326/entry/12028" w:history="1">
        <w:r>
          <w:rPr>
            <w:sz w:val="23"/>
            <w:szCs w:val="23"/>
            <w:shd w:val="clear" w:color="auto" w:fill="ffffff"/>
          </w:rPr>
          <w:t xml:space="preserve">[28]</w:t>
        </w:r>
      </w:hyperlink>
      <w:r>
        <w:rPr>
          <w:sz w:val="23"/>
          <w:szCs w:val="23"/>
          <w:shd w:val="clear" w:color="auto" w:fill="ffffff"/>
        </w:rPr>
        <w:t xml:space="preserve">,</w:t>
      </w:r>
      <w:r>
        <w:rPr>
          <w:color w:val="22272f"/>
          <w:sz w:val="23"/>
          <w:szCs w:val="23"/>
          <w:shd w:val="clear" w:color="auto" w:fill="ffffff"/>
        </w:rPr>
        <w:t xml:space="preserve"> а также нормативных треб</w:t>
      </w:r>
      <w:r>
        <w:rPr>
          <w:color w:val="22272f"/>
          <w:sz w:val="23"/>
          <w:szCs w:val="23"/>
          <w:shd w:val="clear" w:color="auto" w:fill="ffffff"/>
        </w:rPr>
        <w:t xml:space="preserve">ований по пожарной безопасности</w:t>
      </w:r>
      <w:r>
        <w:rPr>
          <w:rFonts w:eastAsia="Calibri"/>
          <w:sz w:val="24"/>
          <w:szCs w:val="24"/>
          <w:lang w:eastAsia="en-US"/>
        </w:rPr>
        <w:t xml:space="preserve">. </w:t>
      </w:r>
      <w:r>
        <w:rPr>
          <w:rFonts w:eastAsia="Calibri"/>
          <w:sz w:val="24"/>
          <w:szCs w:val="24"/>
          <w:lang w:eastAsia="en-US"/>
        </w:rPr>
      </w:r>
      <w:r/>
    </w:p>
    <w:p>
      <w:pPr>
        <w:ind w:firstLine="567"/>
        <w:jc w:val="both"/>
      </w:pPr>
      <w:r>
        <w:rPr>
          <w:rFonts w:eastAsia="Calibri"/>
          <w:sz w:val="24"/>
          <w:szCs w:val="24"/>
          <w:lang w:eastAsia="en-US"/>
        </w:rPr>
        <w:t xml:space="preserve">площадок для сушки белья не нормируются; </w:t>
      </w:r>
      <w:r>
        <w:rPr>
          <w:rFonts w:eastAsia="Calibri"/>
          <w:sz w:val="24"/>
          <w:szCs w:val="24"/>
          <w:lang w:eastAsia="en-US"/>
        </w:rPr>
      </w:r>
      <w:r/>
    </w:p>
    <w:p>
      <w:pPr>
        <w:ind w:firstLine="567"/>
        <w:jc w:val="both"/>
      </w:pPr>
      <w:r>
        <w:rPr>
          <w:rFonts w:eastAsia="Calibri"/>
          <w:sz w:val="24"/>
          <w:szCs w:val="24"/>
          <w:lang w:eastAsia="en-US"/>
        </w:rPr>
        <w:t xml:space="preserve">б</w:t>
      </w:r>
      <w:r>
        <w:rPr>
          <w:rFonts w:eastAsia="Calibri"/>
          <w:sz w:val="24"/>
          <w:szCs w:val="24"/>
          <w:lang w:eastAsia="en-US"/>
        </w:rPr>
        <w:t xml:space="preserve">) </w:t>
      </w:r>
      <w:r>
        <w:rPr>
          <w:rFonts w:eastAsia="Calibri"/>
          <w:sz w:val="24"/>
          <w:szCs w:val="24"/>
          <w:lang w:eastAsia="en-US"/>
        </w:rPr>
        <w:t xml:space="preserve">расстояния от</w:t>
      </w:r>
      <w:r>
        <w:rPr>
          <w:rFonts w:eastAsia="Calibri"/>
          <w:sz w:val="24"/>
          <w:szCs w:val="24"/>
          <w:lang w:eastAsia="en-US"/>
        </w:rPr>
        <w:t xml:space="preserve">:</w:t>
      </w:r>
      <w:r>
        <w:rPr>
          <w:rFonts w:eastAsia="Calibri"/>
          <w:sz w:val="24"/>
          <w:szCs w:val="24"/>
          <w:lang w:eastAsia="en-US"/>
        </w:rPr>
      </w:r>
      <w:r/>
    </w:p>
    <w:p>
      <w:pPr>
        <w:ind w:firstLine="567"/>
        <w:jc w:val="both"/>
      </w:pPr>
      <w:r>
        <w:rPr>
          <w:sz w:val="24"/>
          <w:szCs w:val="24"/>
          <w:shd w:val="clear" w:color="auto" w:fill="ffffff"/>
          <w:lang w:eastAsia="ru-RU"/>
        </w:rPr>
        <w:t xml:space="preserve">септиков до границ соседнего участка - не менее 4 м, до фундаментов зданий, строений, сооружений – не менее 5 м, от фильтрующих колодцев – не менее 8 м;</w:t>
      </w:r>
      <w:r>
        <w:rPr>
          <w:sz w:val="24"/>
          <w:szCs w:val="24"/>
          <w:shd w:val="clear" w:color="auto" w:fill="ffffff"/>
          <w:lang w:eastAsia="ru-RU"/>
        </w:rPr>
      </w:r>
      <w:r/>
    </w:p>
    <w:p>
      <w:pPr>
        <w:ind w:firstLine="567"/>
        <w:jc w:val="both"/>
      </w:pPr>
      <w:r>
        <w:rPr>
          <w:sz w:val="24"/>
          <w:szCs w:val="24"/>
          <w:shd w:val="clear" w:color="auto" w:fill="ffffff"/>
          <w:lang w:eastAsia="ru-RU"/>
        </w:rPr>
        <w:t xml:space="preserve">туалета до стен ближайшего дома - не менее 12 м</w:t>
      </w:r>
      <w:r>
        <w:rPr>
          <w:sz w:val="24"/>
          <w:szCs w:val="24"/>
          <w:shd w:val="clear" w:color="auto" w:fill="ffffff"/>
          <w:lang w:eastAsia="ru-RU"/>
        </w:rPr>
        <w:t xml:space="preserve">;</w:t>
      </w:r>
      <w:r>
        <w:rPr>
          <w:sz w:val="24"/>
          <w:szCs w:val="24"/>
          <w:shd w:val="clear" w:color="auto" w:fill="ffffff"/>
          <w:lang w:eastAsia="ru-RU"/>
        </w:rPr>
      </w:r>
      <w:r/>
    </w:p>
    <w:p>
      <w:pPr>
        <w:ind w:firstLine="567"/>
        <w:jc w:val="both"/>
      </w:pPr>
      <w:r>
        <w:rPr>
          <w:sz w:val="24"/>
          <w:szCs w:val="24"/>
          <w:shd w:val="clear" w:color="auto" w:fill="ffffff"/>
          <w:lang w:eastAsia="ru-RU"/>
        </w:rPr>
        <w:t xml:space="preserve">туалета до источника водоснабжения (колодца) - не менее 25 м. (при отсутствии централизованной канализации) </w:t>
      </w:r>
      <w:r>
        <w:rPr>
          <w:sz w:val="24"/>
          <w:szCs w:val="24"/>
          <w:shd w:val="clear" w:color="auto" w:fill="ffffff"/>
          <w:lang w:eastAsia="ru-RU"/>
        </w:rPr>
      </w:r>
      <w:r/>
    </w:p>
    <w:p>
      <w:pPr>
        <w:ind w:firstLine="567"/>
        <w:jc w:val="both"/>
      </w:pPr>
      <w:r>
        <w:rPr>
          <w:sz w:val="24"/>
          <w:szCs w:val="24"/>
          <w:shd w:val="clear" w:color="auto" w:fill="ffffff"/>
        </w:rPr>
        <w:t xml:space="preserve">контейнерных и (или) специальных площадок до многоквартирных жилых </w:t>
      </w:r>
      <w:r>
        <w:rPr>
          <w:sz w:val="24"/>
          <w:szCs w:val="24"/>
          <w:shd w:val="clear" w:color="auto" w:fill="ffffff"/>
        </w:rPr>
        <w:t xml:space="preserve">домов, индивидуальных жилых домов, детских игровых и спортивных площадок, игровых, прогулочных и спортивных площадок организаций образования, здравоохранения и социального обслуживания для детей, территорий медицинских организаций принимают по требованиям </w:t>
      </w:r>
      <w:hyperlink r:id="rId36" w:tooltip="https://internet.garant.ru/#/document/400289764/entry/1004" w:anchor="/document/400289764/entry/1004" w:history="1">
        <w:r>
          <w:rPr>
            <w:sz w:val="24"/>
            <w:szCs w:val="24"/>
            <w:shd w:val="clear" w:color="auto" w:fill="ffffff"/>
          </w:rPr>
          <w:t xml:space="preserve">пункта 4</w:t>
        </w:r>
      </w:hyperlink>
      <w:r>
        <w:rPr>
          <w:sz w:val="24"/>
          <w:szCs w:val="24"/>
          <w:shd w:val="clear" w:color="auto" w:fill="ffffff"/>
        </w:rPr>
        <w:t xml:space="preserve"> СП 2.1.3684-21</w:t>
      </w:r>
      <w:r>
        <w:rPr>
          <w:sz w:val="24"/>
          <w:szCs w:val="24"/>
          <w:shd w:val="clear" w:color="auto" w:fill="ffffff"/>
        </w:rPr>
        <w:t xml:space="preserve">:</w:t>
      </w:r>
      <w:r>
        <w:rPr>
          <w:sz w:val="24"/>
          <w:szCs w:val="24"/>
          <w:shd w:val="clear" w:color="auto" w:fill="ffffff"/>
        </w:rPr>
      </w:r>
      <w:r/>
    </w:p>
    <w:p>
      <w:pPr>
        <w:ind w:firstLine="567"/>
        <w:jc w:val="both"/>
      </w:pPr>
      <w:r>
        <w:rPr>
          <w:rFonts w:eastAsia="Calibri"/>
          <w:sz w:val="24"/>
          <w:szCs w:val="24"/>
          <w:lang w:eastAsia="en-US"/>
        </w:rPr>
        <w:t xml:space="preserve">площадок </w:t>
      </w:r>
      <w:r>
        <w:rPr>
          <w:rFonts w:eastAsia="Calibri"/>
          <w:sz w:val="24"/>
          <w:szCs w:val="24"/>
          <w:lang w:eastAsia="en-US"/>
        </w:rPr>
        <w:t xml:space="preserve">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w:t>
      </w:r>
      <w:r>
        <w:rPr>
          <w:sz w:val="24"/>
          <w:szCs w:val="24"/>
          <w:shd w:val="clear" w:color="auto" w:fill="ffffff"/>
        </w:rPr>
        <w:t xml:space="preserve">не менее 20 метров, но не более 100 метров; до территорий медицинских организаций в городских населённых пунктах - не менее 25 метров, в сельских населённых пунктах - не менее 15 метров</w:t>
      </w:r>
      <w:r>
        <w:rPr>
          <w:sz w:val="24"/>
          <w:szCs w:val="24"/>
          <w:shd w:val="clear" w:color="auto" w:fill="ffffff"/>
        </w:rPr>
        <w:t xml:space="preserve">.</w:t>
      </w:r>
      <w:r>
        <w:rPr>
          <w:sz w:val="24"/>
          <w:szCs w:val="24"/>
          <w:shd w:val="clear" w:color="auto" w:fill="ffffff"/>
        </w:rPr>
      </w:r>
      <w:r/>
    </w:p>
    <w:p>
      <w:pPr>
        <w:ind w:firstLine="567"/>
        <w:jc w:val="both"/>
      </w:pPr>
      <w:r>
        <w:rPr>
          <w:sz w:val="24"/>
          <w:szCs w:val="24"/>
          <w:shd w:val="clear" w:color="auto" w:fill="ffffff"/>
        </w:rPr>
        <w:t xml:space="preserve">Выбор места размещения кон</w:t>
      </w:r>
      <w:r>
        <w:rPr>
          <w:sz w:val="24"/>
          <w:szCs w:val="24"/>
          <w:shd w:val="clear" w:color="auto" w:fill="ffffff"/>
        </w:rPr>
        <w:t xml:space="preserve">тейнерной и (или) специальной площадки на территориях ведения гражданами садоводства и огородничества осуществляется владельцами контейнерной площадки в соответствии со схемой размещения контейнерных площадок, определяемой органами местного самоуправления;</w:t>
      </w:r>
      <w:r>
        <w:rPr>
          <w:rFonts w:eastAsia="Calibri"/>
          <w:sz w:val="24"/>
          <w:szCs w:val="24"/>
          <w:lang w:eastAsia="en-US"/>
        </w:rPr>
      </w:r>
      <w:r/>
    </w:p>
    <w:p>
      <w:pPr>
        <w:ind w:firstLine="567"/>
        <w:jc w:val="both"/>
      </w:pPr>
      <w:r>
        <w:rPr>
          <w:rFonts w:eastAsia="Calibri"/>
          <w:sz w:val="24"/>
          <w:szCs w:val="24"/>
          <w:lang w:eastAsia="en-US"/>
        </w:rPr>
        <w:t xml:space="preserve">в</w:t>
      </w:r>
      <w:r>
        <w:rPr>
          <w:rFonts w:eastAsia="Calibri"/>
          <w:sz w:val="24"/>
          <w:szCs w:val="24"/>
          <w:lang w:eastAsia="en-US"/>
        </w:rPr>
        <w:t xml:space="preserve">) н</w:t>
      </w:r>
      <w:r>
        <w:rPr>
          <w:rFonts w:eastAsia="Calibri"/>
          <w:sz w:val="24"/>
          <w:szCs w:val="24"/>
          <w:lang w:eastAsia="en-US"/>
        </w:rPr>
        <w:t xml:space="preserve">е менее 50% дворовых площадок должны быть озеленены с посадкой деревьев и кустарников. Спортивные площадки во дворе должны иметь ограждения и спортивные покрытия</w:t>
      </w:r>
      <w:r>
        <w:rPr>
          <w:rFonts w:eastAsia="Calibri"/>
          <w:sz w:val="24"/>
          <w:szCs w:val="24"/>
          <w:lang w:eastAsia="en-US"/>
        </w:rPr>
        <w:t xml:space="preserve">.</w:t>
      </w:r>
      <w:r>
        <w:rPr>
          <w:rFonts w:eastAsia="Calibri"/>
          <w:sz w:val="24"/>
          <w:szCs w:val="24"/>
          <w:lang w:eastAsia="en-US"/>
        </w:rPr>
      </w:r>
      <w:r/>
    </w:p>
    <w:p>
      <w:pPr>
        <w:ind w:firstLine="567"/>
        <w:jc w:val="both"/>
        <w:shd w:val="clear" w:color="auto" w:fill="ffffff"/>
        <w:widowControl/>
      </w:pPr>
      <w:r>
        <w:rPr>
          <w:iCs/>
          <w:sz w:val="24"/>
          <w:szCs w:val="24"/>
          <w:lang w:eastAsia="en-US"/>
        </w:rPr>
        <w:t xml:space="preserve">При комплексном развитии территории допускается сокращение</w:t>
      </w:r>
      <w:r>
        <w:rPr>
          <w:sz w:val="24"/>
          <w:szCs w:val="24"/>
          <w:lang w:eastAsia="en-US"/>
        </w:rPr>
        <w:t xml:space="preserve"> озелененных территорий общего пользования </w:t>
      </w:r>
      <w:r>
        <w:rPr>
          <w:iCs/>
          <w:sz w:val="24"/>
          <w:szCs w:val="24"/>
          <w:lang w:eastAsia="en-US"/>
        </w:rPr>
        <w:t xml:space="preserve">жилых районов</w:t>
      </w:r>
      <w:r>
        <w:rPr>
          <w:sz w:val="24"/>
          <w:szCs w:val="24"/>
          <w:lang w:eastAsia="en-US"/>
        </w:rPr>
        <w:t xml:space="preserve">, но не более чем на </w:t>
      </w:r>
      <w:r>
        <w:rPr>
          <w:iCs/>
          <w:sz w:val="24"/>
          <w:szCs w:val="24"/>
          <w:lang w:eastAsia="en-US"/>
        </w:rPr>
        <w:t xml:space="preserve">50% при</w:t>
      </w:r>
      <w:r>
        <w:rPr>
          <w:iCs/>
          <w:sz w:val="24"/>
          <w:szCs w:val="24"/>
          <w:lang w:eastAsia="en-US"/>
        </w:rPr>
        <w:t xml:space="preserve">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w:t>
      </w:r>
      <w:r>
        <w:rPr>
          <w:sz w:val="24"/>
          <w:szCs w:val="24"/>
          <w:lang w:eastAsia="en-US"/>
        </w:rPr>
        <w:t xml:space="preserve"> 20 </w:t>
      </w:r>
      <w:r>
        <w:rPr>
          <w:iCs/>
          <w:sz w:val="24"/>
          <w:szCs w:val="24"/>
          <w:lang w:eastAsia="en-US"/>
        </w:rPr>
        <w:t xml:space="preserve">кв. м. Деревья, высаживаемые в рамках требований к озеленению земельных участков, в расчете сокращения озелененных</w:t>
      </w:r>
      <w:r>
        <w:rPr>
          <w:iCs/>
          <w:sz w:val="24"/>
          <w:szCs w:val="24"/>
          <w:lang w:eastAsia="en-US"/>
        </w:rPr>
        <w:t xml:space="preserve"> </w:t>
      </w:r>
      <w:r>
        <w:rPr>
          <w:iCs/>
          <w:sz w:val="24"/>
          <w:szCs w:val="24"/>
          <w:lang w:eastAsia="en-US"/>
        </w:rPr>
        <w:t xml:space="preserve">территорий общего пользования жилых районов не учитываются</w:t>
      </w:r>
      <w:r>
        <w:rPr>
          <w:rFonts w:eastAsia="Calibri"/>
          <w:sz w:val="24"/>
          <w:szCs w:val="24"/>
          <w:lang w:eastAsia="en-US"/>
        </w:rPr>
        <w:t xml:space="preserve">;</w:t>
      </w:r>
      <w:r>
        <w:rPr>
          <w:sz w:val="24"/>
          <w:szCs w:val="24"/>
          <w:lang w:eastAsia="en-US"/>
        </w:rPr>
      </w:r>
      <w:r/>
    </w:p>
    <w:p>
      <w:pPr>
        <w:ind w:firstLine="567"/>
        <w:jc w:val="both"/>
        <w:shd w:val="clear" w:color="auto" w:fill="ffffff"/>
      </w:pPr>
      <w:r>
        <w:rPr>
          <w:sz w:val="24"/>
          <w:szCs w:val="24"/>
          <w:lang w:eastAsia="ru-RU"/>
        </w:rPr>
        <w:t xml:space="preserve">г</w:t>
      </w:r>
      <w:r>
        <w:rPr>
          <w:sz w:val="24"/>
          <w:szCs w:val="24"/>
          <w:lang w:eastAsia="ru-RU"/>
        </w:rPr>
        <w:t xml:space="preserve">)</w:t>
      </w:r>
      <w:r>
        <w:rPr>
          <w:sz w:val="24"/>
          <w:szCs w:val="24"/>
          <w:lang w:eastAsia="ru-RU"/>
        </w:rPr>
        <w:t xml:space="preserve"> </w:t>
      </w:r>
      <w:r>
        <w:rPr>
          <w:rFonts w:eastAsia="Calibri"/>
          <w:sz w:val="24"/>
          <w:szCs w:val="24"/>
          <w:lang w:eastAsia="en-US"/>
        </w:rPr>
        <w:t xml:space="preserve">число машино-мест для хранения и паркования легковых автомобилей в границах участка </w:t>
      </w:r>
      <w:r>
        <w:rPr>
          <w:rFonts w:eastAsia="Calibri"/>
          <w:sz w:val="24"/>
          <w:szCs w:val="24"/>
          <w:lang w:eastAsia="en-US"/>
        </w:rPr>
        <w:t xml:space="preserve">МЖД</w:t>
      </w:r>
      <w:r>
        <w:rPr>
          <w:rFonts w:eastAsia="Calibri"/>
          <w:sz w:val="24"/>
          <w:szCs w:val="24"/>
          <w:lang w:eastAsia="en-US"/>
        </w:rPr>
        <w:t xml:space="preserve"> принимать в соответствии таблицей 11.8 </w:t>
      </w:r>
      <w:r>
        <w:rPr>
          <w:rFonts w:eastAsia="Calibri"/>
          <w:bCs/>
          <w:sz w:val="24"/>
          <w:szCs w:val="24"/>
          <w:shd w:val="clear" w:color="auto" w:fill="ffffff"/>
          <w:lang w:eastAsia="en-US"/>
        </w:rPr>
        <w:t xml:space="preserve">СП</w:t>
      </w:r>
      <w:r>
        <w:rPr>
          <w:rFonts w:eastAsia="Calibri"/>
          <w:sz w:val="24"/>
          <w:szCs w:val="24"/>
          <w:shd w:val="clear" w:color="auto" w:fill="ffffff"/>
          <w:lang w:eastAsia="en-US"/>
        </w:rPr>
        <w:t xml:space="preserve"> 42.13330.2016 в зависимости от типа дома по уровню комфортности, </w:t>
      </w:r>
      <w:r>
        <w:rPr>
          <w:rFonts w:eastAsia="Calibri"/>
          <w:sz w:val="24"/>
          <w:szCs w:val="24"/>
          <w:shd w:val="clear" w:color="auto" w:fill="ffffff"/>
          <w:lang w:eastAsia="en-US"/>
        </w:rPr>
        <w:t xml:space="preserve">согласно приведенным нормам: </w:t>
      </w:r>
      <w:r>
        <w:rPr>
          <w:rFonts w:eastAsia="Calibri"/>
          <w:sz w:val="24"/>
          <w:szCs w:val="24"/>
          <w:shd w:val="clear" w:color="auto" w:fill="ffffff"/>
          <w:lang w:eastAsia="en-US"/>
        </w:rPr>
        <w:t xml:space="preserve">количество парковочных</w:t>
      </w:r>
      <w:r>
        <w:rPr>
          <w:rFonts w:eastAsia="Calibri"/>
          <w:sz w:val="24"/>
          <w:szCs w:val="24"/>
          <w:shd w:val="clear" w:color="auto" w:fill="ffffff"/>
          <w:lang w:eastAsia="en-US"/>
        </w:rPr>
        <w:t xml:space="preserve"> мест из расчета на </w:t>
      </w:r>
      <w:r>
        <w:rPr>
          <w:rFonts w:eastAsia="Calibri"/>
          <w:sz w:val="24"/>
          <w:szCs w:val="24"/>
          <w:shd w:val="clear" w:color="auto" w:fill="ffffff"/>
          <w:lang w:eastAsia="en-US"/>
        </w:rPr>
        <w:t xml:space="preserve">1 квартиру</w:t>
      </w:r>
      <w:r>
        <w:rPr>
          <w:rFonts w:eastAsia="Calibri"/>
          <w:sz w:val="24"/>
          <w:szCs w:val="24"/>
          <w:lang w:eastAsia="en-US"/>
        </w:rPr>
      </w:r>
      <w:r/>
    </w:p>
    <w:p>
      <w:pPr>
        <w:ind w:firstLine="567"/>
        <w:jc w:val="both"/>
        <w:shd w:val="clear" w:color="auto" w:fill="ffffff"/>
        <w:widowControl/>
      </w:pPr>
      <w:r>
        <w:rPr>
          <w:rFonts w:eastAsia="Calibri"/>
          <w:sz w:val="24"/>
          <w:szCs w:val="24"/>
          <w:lang w:eastAsia="en-US"/>
        </w:rPr>
        <w:t xml:space="preserve">бизнес-класс 2,0</w:t>
      </w:r>
      <w:r>
        <w:rPr>
          <w:rFonts w:eastAsia="Calibri"/>
          <w:sz w:val="24"/>
          <w:szCs w:val="24"/>
          <w:lang w:eastAsia="en-US"/>
        </w:rPr>
        <w:t xml:space="preserve">;</w:t>
      </w:r>
      <w:r>
        <w:rPr>
          <w:rFonts w:eastAsia="Calibri"/>
          <w:sz w:val="24"/>
          <w:szCs w:val="24"/>
          <w:lang w:eastAsia="en-US"/>
        </w:rPr>
      </w:r>
      <w:r/>
    </w:p>
    <w:p>
      <w:pPr>
        <w:ind w:firstLine="567"/>
        <w:jc w:val="both"/>
        <w:shd w:val="clear" w:color="auto" w:fill="ffffff"/>
        <w:widowControl/>
      </w:pPr>
      <w:r>
        <w:rPr>
          <w:rFonts w:eastAsia="Calibri"/>
          <w:sz w:val="24"/>
          <w:szCs w:val="24"/>
          <w:lang w:eastAsia="en-US"/>
        </w:rPr>
        <w:t xml:space="preserve">эконом-класс 1,2</w:t>
      </w:r>
      <w:r>
        <w:rPr>
          <w:rFonts w:eastAsia="Calibri"/>
          <w:sz w:val="24"/>
          <w:szCs w:val="24"/>
          <w:lang w:eastAsia="en-US"/>
        </w:rPr>
        <w:t xml:space="preserve">;</w:t>
      </w:r>
      <w:r>
        <w:rPr>
          <w:rFonts w:eastAsia="Calibri"/>
          <w:sz w:val="24"/>
          <w:szCs w:val="24"/>
          <w:lang w:eastAsia="en-US"/>
        </w:rPr>
      </w:r>
      <w:r/>
    </w:p>
    <w:p>
      <w:pPr>
        <w:ind w:firstLine="567"/>
        <w:jc w:val="both"/>
        <w:shd w:val="clear" w:color="auto" w:fill="ffffff"/>
        <w:widowControl/>
      </w:pPr>
      <w:r>
        <w:rPr>
          <w:rFonts w:eastAsia="Calibri"/>
          <w:sz w:val="24"/>
          <w:szCs w:val="24"/>
          <w:lang w:eastAsia="en-US"/>
        </w:rPr>
        <w:t xml:space="preserve">муниципальный 1,0</w:t>
      </w:r>
      <w:r>
        <w:rPr>
          <w:rFonts w:eastAsia="Calibri"/>
          <w:sz w:val="24"/>
          <w:szCs w:val="24"/>
          <w:lang w:eastAsia="en-US"/>
        </w:rPr>
        <w:t xml:space="preserve">;</w:t>
      </w:r>
      <w:r>
        <w:rPr>
          <w:rFonts w:eastAsia="Calibri"/>
          <w:sz w:val="24"/>
          <w:szCs w:val="24"/>
          <w:lang w:eastAsia="en-US"/>
        </w:rPr>
      </w:r>
      <w:r/>
    </w:p>
    <w:p>
      <w:pPr>
        <w:ind w:firstLine="567"/>
        <w:jc w:val="both"/>
        <w:shd w:val="clear" w:color="auto" w:fill="ffffff"/>
        <w:widowControl/>
      </w:pPr>
      <w:r>
        <w:rPr>
          <w:rFonts w:eastAsia="Calibri"/>
          <w:sz w:val="24"/>
          <w:szCs w:val="24"/>
          <w:lang w:eastAsia="en-US"/>
        </w:rPr>
        <w:t xml:space="preserve">специализированный 0,7</w:t>
      </w:r>
      <w:r>
        <w:rPr>
          <w:rFonts w:eastAsia="Calibri"/>
          <w:sz w:val="24"/>
          <w:szCs w:val="24"/>
          <w:lang w:eastAsia="en-US"/>
        </w:rPr>
        <w:t xml:space="preserve">.</w:t>
      </w:r>
      <w:r>
        <w:rPr>
          <w:rFonts w:eastAsia="Calibri"/>
          <w:sz w:val="24"/>
          <w:szCs w:val="24"/>
          <w:lang w:eastAsia="en-US"/>
        </w:rPr>
      </w:r>
      <w:r/>
    </w:p>
    <w:p>
      <w:pPr>
        <w:ind w:firstLine="567"/>
        <w:jc w:val="both"/>
        <w:widowControl/>
      </w:pPr>
      <w:r>
        <w:rPr>
          <w:sz w:val="24"/>
          <w:szCs w:val="24"/>
          <w:lang w:eastAsia="ru-RU"/>
        </w:rPr>
        <w:t xml:space="preserve">Допускает</w:t>
      </w:r>
      <w:r>
        <w:rPr>
          <w:sz w:val="24"/>
          <w:szCs w:val="24"/>
          <w:lang w:eastAsia="ru-RU"/>
        </w:rPr>
        <w:t xml:space="preserve">ся размещение машино-мест для хранения индивидуального транспорта, в т.ч. для МГН, за пределами земельного участка жилой застройки в радиусе пешеходной доступности при условии организации подходов и размещения площадок отдыха в соответствии с требованиями </w:t>
      </w:r>
      <w:hyperlink r:id="rId37" w:tooltip="https://internet.garant.ru/#/document/400382837/entry/0" w:anchor="/document/400382837/entry/0" w:history="1">
        <w:r>
          <w:rPr>
            <w:sz w:val="24"/>
            <w:szCs w:val="24"/>
            <w:lang w:eastAsia="ru-RU"/>
          </w:rPr>
          <w:t xml:space="preserve">СП 59.13330</w:t>
        </w:r>
      </w:hyperlink>
      <w:r>
        <w:rPr>
          <w:sz w:val="24"/>
          <w:szCs w:val="24"/>
          <w:lang w:eastAsia="ru-RU"/>
        </w:rPr>
        <w:t xml:space="preserve">.</w:t>
      </w:r>
      <w:r>
        <w:rPr>
          <w:sz w:val="24"/>
          <w:szCs w:val="24"/>
          <w:lang w:eastAsia="ru-RU"/>
        </w:rPr>
      </w:r>
      <w:r/>
    </w:p>
    <w:p>
      <w:pPr>
        <w:ind w:firstLine="567"/>
        <w:jc w:val="both"/>
        <w:shd w:val="clear" w:color="auto" w:fill="ffffff"/>
        <w:widowControl/>
      </w:pPr>
      <w:r>
        <w:rPr>
          <w:sz w:val="24"/>
          <w:szCs w:val="24"/>
          <w:lang w:eastAsia="ru-RU"/>
        </w:rPr>
        <w:t xml:space="preserve">При определении общей пот</w:t>
      </w:r>
      <w:r>
        <w:rPr>
          <w:sz w:val="24"/>
          <w:szCs w:val="24"/>
          <w:lang w:eastAsia="ru-RU"/>
        </w:rPr>
        <w:t xml:space="preserve">ребности в местах для хранения следует учитывать и другие индивидуальные транспортные средства (мотоциклы, мотороллеры, мотоколяски, мопеды, велосипеды) с приведением их к одному расчетному виду (легковому автомобилю) с применением следующих коэффициентов:</w:t>
      </w:r>
      <w:r>
        <w:rPr>
          <w:sz w:val="24"/>
          <w:szCs w:val="24"/>
          <w:lang w:eastAsia="ru-RU"/>
        </w:rPr>
      </w:r>
      <w:r/>
    </w:p>
    <w:p>
      <w:pPr>
        <w:ind w:firstLine="567"/>
        <w:jc w:val="both"/>
        <w:shd w:val="clear" w:color="auto" w:fill="ffffff"/>
        <w:widowControl/>
      </w:pPr>
      <w:r>
        <w:rPr>
          <w:sz w:val="24"/>
          <w:szCs w:val="24"/>
          <w:lang w:eastAsia="ru-RU"/>
        </w:rPr>
        <w:t xml:space="preserve">мотоциклы и мотороллеры с колясками, мотоколяски – 0,5</w:t>
      </w:r>
      <w:r>
        <w:rPr>
          <w:sz w:val="24"/>
          <w:szCs w:val="24"/>
          <w:lang w:eastAsia="ru-RU"/>
        </w:rPr>
      </w:r>
      <w:r/>
    </w:p>
    <w:p>
      <w:pPr>
        <w:ind w:firstLine="567"/>
        <w:jc w:val="both"/>
        <w:shd w:val="clear" w:color="auto" w:fill="ffffff"/>
        <w:widowControl/>
      </w:pPr>
      <w:r>
        <w:rPr>
          <w:sz w:val="24"/>
          <w:szCs w:val="24"/>
          <w:lang w:eastAsia="ru-RU"/>
        </w:rPr>
        <w:t xml:space="preserve">мотоциклы и мотороллеры без колясок – 0,28</w:t>
      </w:r>
      <w:r>
        <w:rPr>
          <w:sz w:val="24"/>
          <w:szCs w:val="24"/>
          <w:lang w:eastAsia="ru-RU"/>
        </w:rPr>
      </w:r>
      <w:r/>
    </w:p>
    <w:p>
      <w:pPr>
        <w:ind w:firstLine="567"/>
        <w:jc w:val="both"/>
        <w:shd w:val="clear" w:color="auto" w:fill="ffffff"/>
        <w:widowControl/>
      </w:pPr>
      <w:r>
        <w:rPr>
          <w:sz w:val="24"/>
          <w:szCs w:val="24"/>
          <w:lang w:eastAsia="ru-RU"/>
        </w:rPr>
        <w:t xml:space="preserve">мопеды и велосипеды – 0,1</w:t>
      </w:r>
      <w:r>
        <w:rPr>
          <w:rFonts w:eastAsia="Calibri"/>
          <w:sz w:val="24"/>
          <w:szCs w:val="24"/>
          <w:lang w:eastAsia="en-US"/>
        </w:rPr>
      </w:r>
      <w:r/>
    </w:p>
    <w:p>
      <w:pPr>
        <w:ind w:firstLine="567"/>
        <w:jc w:val="both"/>
        <w:shd w:val="clear" w:color="auto" w:fill="ffffff"/>
        <w:widowControl/>
      </w:pPr>
      <w:r>
        <w:rPr>
          <w:rFonts w:eastAsia="Calibri"/>
          <w:sz w:val="24"/>
          <w:szCs w:val="24"/>
          <w:lang w:eastAsia="en-US"/>
        </w:rPr>
        <w:t xml:space="preserve">В условиях реконструкции при размещении новой жилой застройки в кварталах сложившейся застройки места для хранения автомобилей должны быть предусмотрены в границах земельных участков жилых домов из расчета </w:t>
      </w:r>
      <w:r>
        <w:rPr>
          <w:rFonts w:eastAsia="Calibri"/>
          <w:sz w:val="24"/>
          <w:szCs w:val="24"/>
          <w:lang w:eastAsia="en-US"/>
        </w:rPr>
        <w:t xml:space="preserve">не менее 1,0 машино-места на одну квартиру. Стоянки для легковых автомобилей закрытого типа, встроенные или встроенно-пристроенные к жилым и общественным зданиям (за исключением общеобразовательных и дошкольных образовательных организаций) необходимо преду</w:t>
      </w:r>
      <w:r>
        <w:rPr>
          <w:rFonts w:eastAsia="Calibri"/>
          <w:sz w:val="24"/>
          <w:szCs w:val="24"/>
          <w:lang w:eastAsia="en-US"/>
        </w:rPr>
        <w:t xml:space="preserve">сматривать в соответствии с требованиями СП 118.13330 и СП 54.13330. Стоянки для хранения автомобилей и других мототранспортных средств, принадлежащих инвалидам, следует предусматривать в радиусе пешеходной доступности не более 50 м от входов в жилые дома </w:t>
      </w:r>
      <w:r>
        <w:rPr>
          <w:rFonts w:eastAsia="Calibri"/>
          <w:sz w:val="24"/>
          <w:szCs w:val="24"/>
          <w:lang w:eastAsia="en-US"/>
        </w:rPr>
        <w:t xml:space="preserve">(п. 11.33 СП</w:t>
      </w:r>
      <w:r>
        <w:rPr>
          <w:rFonts w:eastAsia="Calibri"/>
          <w:sz w:val="24"/>
          <w:szCs w:val="24"/>
          <w:shd w:val="clear" w:color="auto" w:fill="ffffff"/>
          <w:lang w:eastAsia="en-US"/>
        </w:rPr>
        <w:t xml:space="preserve">42.13330.2016)</w:t>
      </w:r>
      <w:r>
        <w:rPr>
          <w:rFonts w:eastAsia="Calibri"/>
          <w:sz w:val="24"/>
          <w:szCs w:val="24"/>
          <w:lang w:eastAsia="en-US"/>
        </w:rPr>
        <w:t xml:space="preserve">.</w:t>
      </w:r>
      <w:r>
        <w:rPr>
          <w:rFonts w:eastAsia="Calibri"/>
          <w:sz w:val="24"/>
          <w:szCs w:val="24"/>
          <w:lang w:eastAsia="en-US"/>
        </w:rPr>
      </w:r>
      <w:r/>
    </w:p>
    <w:p>
      <w:pPr>
        <w:ind w:firstLine="709"/>
        <w:jc w:val="both"/>
      </w:pPr>
      <w:r>
        <w:rPr>
          <w:sz w:val="24"/>
          <w:szCs w:val="24"/>
          <w:shd w:val="clear" w:color="auto" w:fill="ffffff"/>
          <w:lang w:eastAsia="ru-RU"/>
        </w:rPr>
        <w:t xml:space="preserve">4) В жилом здании и на придомовой территории должны быть предусмотрены мероприятия, направленные на уменьшение рисков криминальных проявлений и их последствий, способствующие защите проживающих в жилом здании людей и минимизации возможного ущерба</w:t>
      </w:r>
      <w:r>
        <w:rPr>
          <w:sz w:val="24"/>
          <w:szCs w:val="24"/>
          <w:shd w:val="clear" w:color="auto" w:fill="ffffff"/>
          <w:lang w:eastAsia="ru-RU"/>
        </w:rPr>
        <w:t xml:space="preserve"> при возникновении противоправных действий. Эти мероприятия устанавливаются в задании на проектирование в соответствии с нормативными правовыми актами органов местного самоуправления и могут включать применение взрывозащитных конструкций, установку домофон</w:t>
      </w:r>
      <w:r>
        <w:rPr>
          <w:sz w:val="24"/>
          <w:szCs w:val="24"/>
          <w:shd w:val="clear" w:color="auto" w:fill="ffffff"/>
          <w:lang w:eastAsia="ru-RU"/>
        </w:rPr>
        <w:t xml:space="preserve">ов, видеонаблюдения, кодовых замков, систем охранной сигнализации, защитных конструкций оконных проемов в первых, цокольных и верхних этажах, в приямках подвалов, а также дверей входных, ведущих в подвал, на чердак и, при необходимости, в другие помещения.</w:t>
      </w:r>
      <w:r>
        <w:rPr>
          <w:sz w:val="24"/>
          <w:szCs w:val="24"/>
          <w:lang w:eastAsia="ru-RU"/>
        </w:rPr>
      </w:r>
      <w:r/>
    </w:p>
    <w:p>
      <w:pPr>
        <w:ind w:firstLine="709"/>
        <w:jc w:val="both"/>
      </w:pPr>
      <w:r>
        <w:rPr>
          <w:sz w:val="24"/>
          <w:szCs w:val="24"/>
          <w:lang w:eastAsia="ru-RU"/>
        </w:rPr>
        <w:t xml:space="preserve">Общие системы безопасности (телевизионного контроля, охранной сигнализации и т.п.) должны обеспечивать защиту противопожарного оборудования от несанкционированного доступа и вандализма.</w:t>
      </w:r>
      <w:r>
        <w:rPr>
          <w:sz w:val="24"/>
          <w:szCs w:val="24"/>
          <w:lang w:eastAsia="ru-RU"/>
        </w:rPr>
      </w:r>
      <w:r/>
    </w:p>
    <w:p>
      <w:pPr>
        <w:ind w:firstLine="567"/>
        <w:jc w:val="both"/>
        <w:shd w:val="clear" w:color="auto" w:fill="ffffff"/>
        <w:widowControl/>
      </w:pPr>
      <w:r>
        <w:rPr>
          <w:sz w:val="24"/>
          <w:szCs w:val="24"/>
          <w:lang w:eastAsia="ru-RU"/>
        </w:rPr>
        <w:t xml:space="preserve">5</w:t>
      </w:r>
      <w:r>
        <w:rPr>
          <w:sz w:val="24"/>
          <w:szCs w:val="24"/>
          <w:lang w:eastAsia="ru-RU"/>
        </w:rPr>
        <w:t xml:space="preserve">) </w:t>
      </w:r>
      <w:r>
        <w:rPr>
          <w:sz w:val="24"/>
          <w:szCs w:val="24"/>
          <w:lang w:eastAsia="ru-RU"/>
        </w:rPr>
        <w:t xml:space="preserve">Н</w:t>
      </w:r>
      <w:r>
        <w:rPr>
          <w:sz w:val="24"/>
          <w:szCs w:val="24"/>
          <w:lang w:eastAsia="ru-RU"/>
        </w:rPr>
        <w:t xml:space="preserve">е рекомендуется устройство </w:t>
      </w:r>
      <w:r>
        <w:rPr>
          <w:sz w:val="24"/>
          <w:szCs w:val="24"/>
          <w:shd w:val="clear" w:color="auto" w:fill="ffffff"/>
          <w:lang w:eastAsia="ru-RU"/>
        </w:rPr>
        <w:t xml:space="preserve">ограждения земельных участков. Допускается устройство функционально оправданных участков ограждения (в местах интенсивного движения транспорта, размещения септиков, мусорных площадок и других), предусмотренных проектной документацией.</w:t>
      </w:r>
      <w:r>
        <w:rPr>
          <w:rFonts w:eastAsia="Calibri"/>
          <w:sz w:val="24"/>
          <w:szCs w:val="24"/>
          <w:lang w:eastAsia="en-US"/>
        </w:rPr>
      </w:r>
      <w:r/>
    </w:p>
    <w:p>
      <w:pPr>
        <w:ind w:firstLine="567"/>
        <w:jc w:val="both"/>
        <w:shd w:val="clear" w:color="auto" w:fill="ffffff"/>
        <w:widowControl/>
      </w:pPr>
      <w:r>
        <w:rPr>
          <w:rFonts w:eastAsia="Calibri"/>
          <w:sz w:val="24"/>
          <w:szCs w:val="24"/>
          <w:lang w:eastAsia="en-US"/>
        </w:rPr>
        <w:t xml:space="preserve">6</w:t>
      </w:r>
      <w:r>
        <w:rPr>
          <w:rFonts w:eastAsia="Calibri"/>
          <w:sz w:val="24"/>
          <w:szCs w:val="24"/>
          <w:lang w:eastAsia="en-US"/>
        </w:rPr>
        <w:t xml:space="preserve">) </w:t>
      </w:r>
      <w:r>
        <w:rPr>
          <w:rFonts w:eastAsia="Calibri"/>
          <w:sz w:val="24"/>
          <w:szCs w:val="24"/>
          <w:lang w:eastAsia="en-US"/>
        </w:rPr>
        <w:t xml:space="preserve">Расчет количества жителей в многоквартирном доме определяется по формуле - П/22, где П –площадь квартир.</w:t>
      </w:r>
      <w:r>
        <w:rPr>
          <w:rFonts w:eastAsia="Calibri"/>
          <w:sz w:val="24"/>
          <w:szCs w:val="24"/>
          <w:lang w:eastAsia="en-US"/>
        </w:rPr>
      </w:r>
      <w:r/>
    </w:p>
    <w:p>
      <w:pPr>
        <w:ind w:firstLine="567"/>
        <w:jc w:val="both"/>
      </w:pPr>
      <w:r>
        <w:rPr>
          <w:sz w:val="24"/>
          <w:szCs w:val="24"/>
          <w:lang w:eastAsia="ru-RU"/>
        </w:rPr>
        <w:t xml:space="preserve">7)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r>
        <w:rPr>
          <w:sz w:val="24"/>
          <w:szCs w:val="24"/>
          <w:lang w:eastAsia="ru-RU"/>
        </w:rPr>
      </w:r>
      <w:r/>
    </w:p>
    <w:p>
      <w:pPr>
        <w:ind w:right="79" w:firstLine="567"/>
        <w:jc w:val="both"/>
      </w:pPr>
      <w:r>
        <w:rPr>
          <w:sz w:val="24"/>
          <w:szCs w:val="24"/>
          <w:lang w:eastAsia="ru-RU"/>
        </w:rPr>
        <w:t xml:space="preserve">8) </w:t>
      </w:r>
      <w:r>
        <w:rPr>
          <w:sz w:val="24"/>
          <w:szCs w:val="24"/>
          <w:lang w:eastAsia="ru-RU"/>
        </w:rPr>
        <w:t xml:space="preserve">Допускается устройство пристроенных или встроено-пристроенных помещений</w:t>
      </w:r>
      <w:r>
        <w:rPr>
          <w:sz w:val="24"/>
          <w:szCs w:val="24"/>
          <w:shd w:val="clear" w:color="auto" w:fill="ffffff"/>
          <w:lang w:eastAsia="ru-RU"/>
        </w:rPr>
        <w:t xml:space="preserve"> в малоэтажном многоквартирном доме, площадь которых </w:t>
      </w:r>
      <w:r>
        <w:rPr>
          <w:sz w:val="24"/>
          <w:szCs w:val="24"/>
          <w:shd w:val="clear" w:color="auto" w:fill="ffffff"/>
          <w:lang w:eastAsia="ru-RU"/>
        </w:rPr>
        <w:t xml:space="preserve">не превышает 15% общей площади помещений дома</w:t>
      </w:r>
      <w:r>
        <w:rPr>
          <w:sz w:val="24"/>
          <w:szCs w:val="24"/>
          <w:shd w:val="clear" w:color="auto" w:fill="ffffff"/>
          <w:lang w:eastAsia="ru-RU"/>
        </w:rPr>
        <w:t xml:space="preserve"> </w:t>
      </w:r>
      <w:r>
        <w:rPr>
          <w:sz w:val="24"/>
          <w:szCs w:val="24"/>
          <w:shd w:val="clear" w:color="auto" w:fill="ffffff"/>
          <w:lang w:eastAsia="ru-RU"/>
        </w:rPr>
        <w:t xml:space="preserve">соору</w:t>
      </w:r>
      <w:r>
        <w:rPr>
          <w:sz w:val="24"/>
          <w:szCs w:val="24"/>
          <w:shd w:val="clear" w:color="auto" w:fill="ffffff"/>
          <w:lang w:eastAsia="ru-RU"/>
        </w:rPr>
        <w:t xml:space="preserve">жений при соблюдении требований</w:t>
      </w:r>
      <w:r>
        <w:rPr>
          <w:sz w:val="24"/>
          <w:szCs w:val="24"/>
          <w:shd w:val="clear" w:color="auto" w:fill="ffffff"/>
          <w:lang w:eastAsia="ru-RU"/>
        </w:rPr>
        <w:t xml:space="preserve"> приведенных в </w:t>
      </w:r>
      <w:hyperlink r:id="rId38" w:tooltip="https://docs.cntd.ru/document/573536177#7DI0K8" w:anchor="7DI0K8" w:history="1">
        <w:r>
          <w:rPr>
            <w:sz w:val="24"/>
            <w:szCs w:val="24"/>
            <w:shd w:val="clear" w:color="auto" w:fill="ffffff"/>
            <w:lang w:eastAsia="ru-RU"/>
          </w:rPr>
          <w:t xml:space="preserve">СанПиН 2.1.3684</w:t>
        </w:r>
      </w:hyperlink>
      <w:r>
        <w:rPr>
          <w:sz w:val="24"/>
          <w:szCs w:val="24"/>
          <w:shd w:val="clear" w:color="auto" w:fill="ffffff"/>
          <w:lang w:eastAsia="ru-RU"/>
        </w:rPr>
        <w:t xml:space="preserve">-21</w:t>
      </w:r>
      <w:r>
        <w:rPr>
          <w:sz w:val="24"/>
          <w:szCs w:val="24"/>
          <w:shd w:val="clear" w:color="auto" w:fill="ffffff"/>
          <w:lang w:eastAsia="ru-RU"/>
        </w:rPr>
        <w:t xml:space="preserve">, </w:t>
      </w:r>
      <w:hyperlink r:id="rId39" w:tooltip="https://docs.cntd.ru/document/573500115#6560IO" w:anchor="6560IO" w:history="1">
        <w:r>
          <w:rPr>
            <w:sz w:val="24"/>
            <w:szCs w:val="24"/>
            <w:shd w:val="clear" w:color="auto" w:fill="ffffff"/>
            <w:lang w:eastAsia="ru-RU"/>
          </w:rPr>
          <w:t xml:space="preserve">СанПиН 1.2.3685</w:t>
        </w:r>
      </w:hyperlink>
      <w:r>
        <w:rPr>
          <w:sz w:val="24"/>
          <w:szCs w:val="24"/>
          <w:shd w:val="clear" w:color="auto" w:fill="ffffff"/>
          <w:lang w:eastAsia="ru-RU"/>
        </w:rPr>
        <w:t xml:space="preserve">-21</w:t>
      </w:r>
      <w:r>
        <w:rPr>
          <w:sz w:val="24"/>
          <w:szCs w:val="24"/>
          <w:shd w:val="clear" w:color="auto" w:fill="ffffff"/>
          <w:lang w:eastAsia="ru-RU"/>
        </w:rPr>
        <w:t xml:space="preserve">.</w:t>
      </w:r>
      <w:r>
        <w:rPr>
          <w:sz w:val="24"/>
          <w:szCs w:val="24"/>
          <w:lang w:eastAsia="ru-RU"/>
        </w:rPr>
      </w:r>
      <w:r/>
    </w:p>
    <w:p>
      <w:pPr>
        <w:ind w:right="79" w:firstLine="567"/>
        <w:jc w:val="both"/>
      </w:pPr>
      <w:r>
        <w:rPr>
          <w:sz w:val="24"/>
          <w:szCs w:val="24"/>
          <w:lang w:eastAsia="ru-RU"/>
        </w:rPr>
        <w:t xml:space="preserve">9)</w:t>
      </w:r>
      <w:r>
        <w:rPr>
          <w:sz w:val="24"/>
          <w:szCs w:val="24"/>
          <w:lang w:eastAsia="ru-RU"/>
        </w:rPr>
        <w:t xml:space="preserve"> </w:t>
      </w:r>
      <w:r>
        <w:rPr>
          <w:sz w:val="24"/>
          <w:szCs w:val="24"/>
          <w:lang w:eastAsia="ru-RU"/>
        </w:rPr>
        <w:t xml:space="preserve">При размещении в первых этажах жилого здания объектов общественного назначения, требующих дополните</w:t>
      </w:r>
      <w:r>
        <w:rPr>
          <w:sz w:val="24"/>
          <w:szCs w:val="24"/>
          <w:lang w:eastAsia="ru-RU"/>
        </w:rPr>
        <w:t xml:space="preserve">льных территорий для реализации </w:t>
      </w:r>
      <w:r>
        <w:rPr>
          <w:sz w:val="24"/>
          <w:szCs w:val="24"/>
          <w:lang w:eastAsia="ru-RU"/>
        </w:rPr>
        <w:t xml:space="preserve">своих функций, минимальный размер земельного участка необходимо суммировать с размером территории, требуемой для функционирования объекта.</w:t>
      </w:r>
      <w:r>
        <w:rPr>
          <w:sz w:val="24"/>
          <w:szCs w:val="24"/>
          <w:lang w:eastAsia="ru-RU"/>
        </w:rPr>
      </w:r>
      <w:r/>
    </w:p>
    <w:p>
      <w:pPr>
        <w:ind w:right="80" w:firstLine="567"/>
        <w:jc w:val="both"/>
      </w:pPr>
      <w:r>
        <w:rPr>
          <w:sz w:val="24"/>
          <w:szCs w:val="24"/>
          <w:lang w:eastAsia="ru-RU"/>
        </w:rPr>
        <w:t xml:space="preserve">10) </w:t>
      </w:r>
      <w:r>
        <w:rPr>
          <w:sz w:val="24"/>
          <w:szCs w:val="24"/>
          <w:lang w:eastAsia="ru-RU"/>
        </w:rPr>
        <w:t xml:space="preserve">Помещения общественного назначения, встроенные в жилые здания, должны иметь входы, изолированные от жилой части здания</w:t>
      </w:r>
      <w:r>
        <w:rPr>
          <w:sz w:val="24"/>
          <w:szCs w:val="24"/>
          <w:lang w:eastAsia="ru-RU"/>
        </w:rPr>
        <w:t xml:space="preserve"> </w:t>
      </w:r>
      <w:r>
        <w:rPr>
          <w:sz w:val="24"/>
          <w:szCs w:val="24"/>
          <w:lang w:eastAsia="ru-RU"/>
        </w:rPr>
        <w:t xml:space="preserve">с созданием условий для беспрепятственного доступа маломобильных граждан к месту получения услуги (обслуживания)</w:t>
      </w:r>
      <w:r>
        <w:rPr>
          <w:sz w:val="24"/>
          <w:szCs w:val="24"/>
          <w:lang w:eastAsia="ru-RU"/>
        </w:rPr>
        <w:t xml:space="preserve">.</w:t>
      </w:r>
      <w:r>
        <w:rPr>
          <w:rFonts w:eastAsia="Calibri"/>
          <w:sz w:val="24"/>
          <w:szCs w:val="24"/>
          <w:shd w:val="clear" w:color="auto" w:fill="ffffff"/>
          <w:lang w:eastAsia="en-US"/>
        </w:rPr>
      </w:r>
      <w:r/>
    </w:p>
    <w:p>
      <w:pPr>
        <w:ind w:right="80" w:firstLine="567"/>
        <w:jc w:val="both"/>
      </w:pPr>
      <w:r>
        <w:rPr>
          <w:rFonts w:eastAsia="Calibri"/>
          <w:sz w:val="24"/>
          <w:szCs w:val="24"/>
          <w:lang w:eastAsia="en-US"/>
        </w:rPr>
        <w:t xml:space="preserve">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 с нормативным количеством парковок.</w:t>
      </w:r>
      <w:r>
        <w:rPr>
          <w:rFonts w:eastAsia="Calibri"/>
          <w:sz w:val="24"/>
          <w:szCs w:val="24"/>
          <w:lang w:eastAsia="en-US"/>
        </w:rPr>
        <w:t xml:space="preserve"> </w:t>
      </w:r>
      <w:r>
        <w:rPr>
          <w:sz w:val="24"/>
          <w:szCs w:val="24"/>
          <w:lang w:eastAsia="ru-RU"/>
        </w:rPr>
        <w:t xml:space="preserve">Общественная зона должна быть благоустроена с </w:t>
      </w:r>
      <w:r>
        <w:rPr>
          <w:sz w:val="24"/>
          <w:szCs w:val="24"/>
          <w:lang w:eastAsia="ru-RU"/>
        </w:rPr>
        <w:t xml:space="preserve">соблюдение</w:t>
      </w:r>
      <w:r>
        <w:rPr>
          <w:sz w:val="24"/>
          <w:szCs w:val="24"/>
          <w:lang w:eastAsia="ru-RU"/>
        </w:rPr>
        <w:t xml:space="preserve">м</w:t>
      </w:r>
      <w:r>
        <w:rPr>
          <w:sz w:val="24"/>
          <w:szCs w:val="24"/>
          <w:lang w:eastAsia="ru-RU"/>
        </w:rPr>
        <w:t xml:space="preserve"> норм благоустройства, установленных соответствующими муниципальными правовыми актами</w:t>
      </w:r>
      <w:r>
        <w:rPr>
          <w:sz w:val="24"/>
          <w:szCs w:val="24"/>
          <w:lang w:eastAsia="ru-RU"/>
        </w:rPr>
        <w:t xml:space="preserve">.</w:t>
      </w:r>
      <w:r>
        <w:rPr>
          <w:rFonts w:eastAsia="Calibri"/>
          <w:sz w:val="24"/>
          <w:szCs w:val="24"/>
          <w:shd w:val="clear" w:color="auto" w:fill="ffffff"/>
          <w:lang w:eastAsia="en-US"/>
        </w:rPr>
      </w:r>
      <w:r/>
    </w:p>
    <w:p>
      <w:pPr>
        <w:ind w:firstLine="567"/>
        <w:jc w:val="both"/>
        <w:widowControl/>
      </w:pPr>
      <w:r>
        <w:rPr>
          <w:rFonts w:eastAsia="Calibri"/>
          <w:sz w:val="24"/>
          <w:szCs w:val="24"/>
          <w:lang w:eastAsia="en-US"/>
        </w:rPr>
        <w:t xml:space="preserve">11) Для организации обслуживания допускается размещение организаций с использованием индивидуальной формы деятельн</w:t>
      </w:r>
      <w:r>
        <w:rPr>
          <w:rFonts w:eastAsia="Calibri"/>
          <w:sz w:val="24"/>
          <w:szCs w:val="24"/>
          <w:lang w:eastAsia="en-US"/>
        </w:rPr>
        <w:t xml:space="preserve">ости - детского сада, встроенным или пристроенным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r>
        <w:rPr>
          <w:rFonts w:eastAsia="Calibri"/>
          <w:sz w:val="24"/>
          <w:szCs w:val="24"/>
          <w:lang w:eastAsia="en-US"/>
        </w:rPr>
      </w:r>
      <w:r/>
    </w:p>
    <w:p>
      <w:pPr>
        <w:ind w:firstLine="567"/>
        <w:jc w:val="both"/>
      </w:pPr>
      <w:r>
        <w:rPr>
          <w:rFonts w:eastAsia="Calibri"/>
          <w:sz w:val="24"/>
          <w:szCs w:val="24"/>
          <w:lang w:eastAsia="en-US"/>
        </w:rPr>
        <w:t xml:space="preserve">12</w:t>
      </w:r>
      <w:r>
        <w:rPr>
          <w:rFonts w:eastAsia="Calibri"/>
          <w:sz w:val="24"/>
          <w:szCs w:val="24"/>
          <w:lang w:eastAsia="en-US"/>
        </w:rPr>
        <w:t xml:space="preserve">)</w:t>
      </w:r>
      <w:r>
        <w:rPr>
          <w:rFonts w:eastAsia="Calibri"/>
          <w:sz w:val="24"/>
          <w:szCs w:val="24"/>
          <w:lang w:eastAsia="en-US"/>
        </w:rPr>
        <w:t xml:space="preserve"> </w:t>
      </w:r>
      <w:r>
        <w:rPr>
          <w:sz w:val="24"/>
          <w:szCs w:val="24"/>
          <w:lang w:eastAsia="ru-RU"/>
        </w:rPr>
        <w:t xml:space="preserve">На </w:t>
      </w:r>
      <w:r>
        <w:rPr>
          <w:sz w:val="24"/>
          <w:szCs w:val="24"/>
          <w:lang w:eastAsia="ru-RU"/>
        </w:rPr>
        <w:t xml:space="preserve">приусадебных </w:t>
      </w:r>
      <w:r>
        <w:rPr>
          <w:sz w:val="24"/>
          <w:szCs w:val="24"/>
          <w:lang w:eastAsia="ru-RU"/>
        </w:rPr>
        <w:t xml:space="preserve">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w:t>
      </w:r>
      <w:r>
        <w:rPr>
          <w:sz w:val="24"/>
          <w:szCs w:val="24"/>
          <w:lang w:eastAsia="ru-RU"/>
        </w:rPr>
        <w:t xml:space="preserve">других хозяйственных нужд, бани, а также - хозяйственные подъезды и скотопрогоны </w:t>
      </w:r>
      <w:r>
        <w:rPr>
          <w:sz w:val="24"/>
          <w:szCs w:val="24"/>
          <w:lang w:eastAsia="ru-RU"/>
        </w:rPr>
        <w:t xml:space="preserve">(п. 4.2.101</w:t>
      </w:r>
      <w:r>
        <w:rPr>
          <w:rFonts w:eastAsia="Calibri"/>
          <w:sz w:val="24"/>
          <w:szCs w:val="24"/>
          <w:lang w:eastAsia="en-US"/>
        </w:rPr>
        <w:t xml:space="preserve"> НГП КК</w:t>
      </w:r>
      <w:r>
        <w:rPr>
          <w:sz w:val="24"/>
          <w:szCs w:val="24"/>
          <w:lang w:eastAsia="ru-RU"/>
        </w:rPr>
        <w:t xml:space="preserve">).</w:t>
      </w:r>
      <w:r>
        <w:rPr>
          <w:sz w:val="24"/>
          <w:szCs w:val="24"/>
          <w:lang w:eastAsia="ru-RU"/>
        </w:rPr>
      </w:r>
      <w:r/>
    </w:p>
    <w:p>
      <w:pPr>
        <w:ind w:firstLine="567"/>
        <w:jc w:val="both"/>
      </w:pPr>
      <w:r>
        <w:rPr>
          <w:sz w:val="24"/>
          <w:szCs w:val="24"/>
          <w:shd w:val="clear" w:color="auto" w:fill="ffffff"/>
        </w:rPr>
        <w:t xml:space="preserve">13) В сельских населенных пунктах в зонах застройки одноквартирными жилыми домами (индивидуальными или блокир</w:t>
      </w:r>
      <w:r>
        <w:rPr>
          <w:sz w:val="24"/>
          <w:szCs w:val="24"/>
          <w:shd w:val="clear" w:color="auto" w:fill="ffffff"/>
        </w:rPr>
        <w:t xml:space="preserve">ованными) размещаемые группы хозяйственных построек должны содержать не более 30 блоков каждая. Хозяйственные постройки для скота и птицы следует предусматривать на расстоянии от окон жилых помещений дома, м, не менее: одиночные или двойные - 10, до восьми</w:t>
      </w:r>
      <w:r>
        <w:rPr>
          <w:sz w:val="24"/>
          <w:szCs w:val="24"/>
          <w:shd w:val="clear" w:color="auto" w:fill="ffffff"/>
        </w:rPr>
        <w:t xml:space="preserve"> блоков - 25, от восьми до 30 блоков - 50. Площадь застройки сблокированных хозяйственных построек не должна превышать 800. Расстояния между группами хозяйственных построек следует принимать в соответствии с требованиями пожарной безопасности. Расстояние о</w:t>
      </w:r>
      <w:r>
        <w:rPr>
          <w:sz w:val="24"/>
          <w:szCs w:val="24"/>
          <w:shd w:val="clear" w:color="auto" w:fill="ffffff"/>
        </w:rPr>
        <w:t xml:space="preserve">т хозяйственных построек для скота и птицы до шахтных колодцев должно быть не менее 20 м. Допускается пристройка хозяйственной постройки (в том числе для скота и птицы), гаража, бани, теплицы к индивидуальным одноквартирным жилым домам с учетом требований </w:t>
      </w:r>
      <w:hyperlink r:id="rId40" w:tooltip="https://internet.garant.ru/#/document/71584244/entry/0" w:anchor="/document/71584244/entry/0" w:history="1">
        <w:r>
          <w:rPr>
            <w:sz w:val="24"/>
            <w:szCs w:val="24"/>
            <w:shd w:val="clear" w:color="auto" w:fill="ffffff"/>
          </w:rPr>
          <w:t xml:space="preserve">СП 55.13330</w:t>
        </w:r>
      </w:hyperlink>
      <w:r>
        <w:rPr>
          <w:sz w:val="24"/>
          <w:szCs w:val="24"/>
          <w:shd w:val="clear" w:color="auto" w:fill="ffffff"/>
        </w:rPr>
        <w:t xml:space="preserve">, </w:t>
      </w:r>
      <w:hyperlink r:id="rId41" w:tooltip="https://internet.garant.ru/#/document/70398302/entry/0" w:anchor="/document/70398302/entry/0" w:history="1">
        <w:r>
          <w:rPr>
            <w:sz w:val="24"/>
            <w:szCs w:val="24"/>
            <w:shd w:val="clear" w:color="auto" w:fill="ffffff"/>
          </w:rPr>
          <w:t xml:space="preserve">СП 4.13130</w:t>
        </w:r>
      </w:hyperlink>
      <w:r>
        <w:rPr>
          <w:sz w:val="24"/>
          <w:szCs w:val="24"/>
          <w:shd w:val="clear" w:color="auto" w:fill="ffffff"/>
        </w:rPr>
        <w:t xml:space="preserve"> (п.7.3 СП 42.13330.2016)</w:t>
      </w:r>
      <w:r>
        <w:rPr>
          <w:sz w:val="24"/>
          <w:szCs w:val="24"/>
          <w:shd w:val="clear" w:color="auto" w:fill="ffffff"/>
        </w:rPr>
        <w:t xml:space="preserve">.</w:t>
      </w:r>
      <w:r>
        <w:rPr>
          <w:sz w:val="24"/>
          <w:szCs w:val="24"/>
          <w:lang w:eastAsia="ru-RU"/>
        </w:rPr>
      </w:r>
      <w:r/>
    </w:p>
    <w:p>
      <w:pPr>
        <w:ind w:firstLine="567"/>
        <w:jc w:val="both"/>
      </w:pPr>
      <w:r>
        <w:rPr>
          <w:sz w:val="24"/>
          <w:szCs w:val="24"/>
          <w:shd w:val="clear" w:color="auto" w:fill="ffffff"/>
        </w:rPr>
        <w:t xml:space="preserve">14) Расстояния от окон жилых помещений (комнат), кухонь и </w:t>
      </w:r>
      <w:r>
        <w:rPr>
          <w:sz w:val="24"/>
          <w:szCs w:val="24"/>
          <w:shd w:val="clear" w:color="auto" w:fill="ffffff"/>
        </w:rPr>
        <w:t xml:space="preserve">веранд жилых домов до стен жилых домов,</w:t>
      </w:r>
      <w:r>
        <w:rPr>
          <w:sz w:val="24"/>
          <w:szCs w:val="24"/>
          <w:shd w:val="clear" w:color="auto" w:fill="ffffff"/>
        </w:rPr>
        <w:t xml:space="preserve"> и хозяйственных построек (сарая, гаража, бани), расположенных на соседних земельных участках, должны быть не менее 6 м. Расстояние от границ участка должн</w:t>
      </w:r>
      <w:r>
        <w:rPr>
          <w:sz w:val="24"/>
          <w:szCs w:val="24"/>
          <w:shd w:val="clear" w:color="auto" w:fill="ffffff"/>
        </w:rPr>
        <w:t xml:space="preserve">о быть не менее, м: до стены жилого дома - 3; до хозяйственных построек - 1. При отсутствии централизованной канализации расстояние от туалета до стен ближайшего дома необходимо принимать не менее 12 м, до источника водоснабжения (колодца) - не менее 25 м.</w:t>
      </w:r>
      <w:r>
        <w:rPr>
          <w:sz w:val="24"/>
          <w:szCs w:val="24"/>
          <w:lang w:eastAsia="ru-RU"/>
        </w:rPr>
      </w:r>
      <w:r/>
    </w:p>
    <w:p>
      <w:pPr>
        <w:ind w:firstLine="567"/>
        <w:jc w:val="both"/>
        <w:shd w:val="clear" w:color="auto" w:fill="ffffff"/>
        <w:widowControl/>
      </w:pPr>
      <w:r>
        <w:rPr>
          <w:sz w:val="24"/>
          <w:szCs w:val="24"/>
          <w:shd w:val="clear" w:color="auto" w:fill="ffffff"/>
        </w:rPr>
        <w:t xml:space="preserve">15) В районах ведения гражданами садоводства расстояния от жилых строений и хозяйственных построек до границ соседнего земельного участка следует принимать в соответствии с </w:t>
      </w:r>
      <w:hyperlink r:id="rId42" w:tooltip="https://internet.garant.ru/#/document/73733650/entry/0" w:anchor="/document/73733650/entry/0" w:history="1">
        <w:r>
          <w:rPr>
            <w:sz w:val="24"/>
            <w:szCs w:val="24"/>
            <w:shd w:val="clear" w:color="auto" w:fill="ffffff"/>
          </w:rPr>
          <w:t xml:space="preserve">СП 53.13330</w:t>
        </w:r>
      </w:hyperlink>
      <w:r>
        <w:rPr>
          <w:sz w:val="24"/>
          <w:szCs w:val="24"/>
          <w:shd w:val="clear" w:color="auto" w:fill="ffffff"/>
        </w:rPr>
        <w:t xml:space="preserve">.</w:t>
      </w:r>
      <w:r>
        <w:rPr>
          <w:sz w:val="24"/>
          <w:szCs w:val="24"/>
          <w:lang w:eastAsia="ru-RU"/>
        </w:rPr>
      </w:r>
      <w:r/>
    </w:p>
    <w:p>
      <w:pPr>
        <w:pStyle w:val="1085"/>
        <w:ind w:firstLine="567"/>
      </w:pPr>
      <w:r>
        <w:rPr>
          <w:lang w:val="ru-RU"/>
        </w:rPr>
        <w:t xml:space="preserve">16)  </w:t>
      </w:r>
      <w:r>
        <w:rPr>
          <w:lang w:val="ru-RU"/>
        </w:rPr>
        <w:t xml:space="preserve">Скат крыши </w:t>
      </w:r>
      <w:r>
        <w:rPr>
          <w:lang w:val="ru-RU"/>
        </w:rPr>
        <w:t xml:space="preserve">зданий,</w:t>
      </w:r>
      <w:r>
        <w:rPr>
          <w:lang w:val="ru-RU"/>
        </w:rPr>
        <w:t xml:space="preserve"> строений и сооружений, расположенных в 1 м от границы участка следует</w:t>
      </w:r>
      <w:r>
        <w:rPr>
          <w:lang w:val="ru-RU"/>
        </w:rPr>
        <w:t xml:space="preserve"> ориентировать на свой участок.</w:t>
      </w:r>
      <w:r>
        <w:rPr>
          <w:lang w:val="ru-RU"/>
        </w:rPr>
      </w:r>
      <w:r/>
    </w:p>
    <w:p>
      <w:pPr>
        <w:ind w:firstLine="567"/>
        <w:jc w:val="both"/>
        <w:shd w:val="clear" w:color="auto" w:fill="ffffff"/>
        <w:widowControl/>
      </w:pPr>
      <w:r>
        <w:rPr>
          <w:sz w:val="24"/>
          <w:szCs w:val="24"/>
          <w:lang w:eastAsia="ru-RU"/>
        </w:rPr>
        <w:t xml:space="preserve">1</w:t>
      </w:r>
      <w:r>
        <w:rPr>
          <w:sz w:val="24"/>
          <w:szCs w:val="24"/>
          <w:lang w:eastAsia="ru-RU"/>
        </w:rPr>
        <w:t xml:space="preserve">7</w:t>
      </w:r>
      <w:r>
        <w:rPr>
          <w:sz w:val="24"/>
          <w:szCs w:val="24"/>
          <w:lang w:eastAsia="ru-RU"/>
        </w:rPr>
        <w:t xml:space="preserve">)</w:t>
      </w:r>
      <w:r>
        <w:rPr>
          <w:sz w:val="24"/>
          <w:szCs w:val="24"/>
          <w:lang w:eastAsia="ru-RU"/>
        </w:rPr>
        <w:t xml:space="preserve"> </w:t>
      </w:r>
      <w:r>
        <w:rPr>
          <w:sz w:val="24"/>
          <w:szCs w:val="24"/>
          <w:lang w:eastAsia="ru-RU"/>
        </w:rPr>
        <w:t xml:space="preserve">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r>
        <w:rPr>
          <w:sz w:val="24"/>
          <w:szCs w:val="24"/>
          <w:lang w:eastAsia="ru-RU"/>
        </w:rPr>
        <w:t xml:space="preserve">.</w:t>
      </w:r>
      <w:r>
        <w:rPr>
          <w:sz w:val="24"/>
          <w:szCs w:val="24"/>
          <w:lang w:eastAsia="ru-RU"/>
        </w:rPr>
      </w:r>
      <w:r/>
    </w:p>
    <w:p>
      <w:pPr>
        <w:ind w:firstLine="567"/>
        <w:jc w:val="both"/>
        <w:shd w:val="clear" w:color="auto" w:fill="ffffff"/>
        <w:widowControl/>
      </w:pPr>
      <w:r>
        <w:rPr>
          <w:sz w:val="24"/>
          <w:szCs w:val="24"/>
          <w:lang w:eastAsia="ru-RU"/>
        </w:rPr>
      </w:r>
      <w:r>
        <w:rPr>
          <w:sz w:val="24"/>
          <w:szCs w:val="24"/>
          <w:lang w:eastAsia="ru-RU"/>
        </w:rPr>
      </w:r>
      <w:r/>
    </w:p>
    <w:p>
      <w:pPr>
        <w:ind w:firstLine="567"/>
        <w:jc w:val="both"/>
        <w:shd w:val="clear" w:color="auto" w:fill="ffffff"/>
        <w:widowControl/>
      </w:pPr>
      <w:r>
        <w:rPr>
          <w:sz w:val="24"/>
          <w:szCs w:val="24"/>
          <w:lang w:eastAsia="ru-RU"/>
        </w:rPr>
        <w:t xml:space="preserve">1</w:t>
      </w:r>
      <w:r>
        <w:rPr>
          <w:sz w:val="24"/>
          <w:szCs w:val="24"/>
          <w:lang w:eastAsia="ru-RU"/>
        </w:rPr>
        <w:t xml:space="preserve">8</w:t>
      </w:r>
      <w:r>
        <w:rPr>
          <w:sz w:val="24"/>
          <w:szCs w:val="24"/>
          <w:lang w:eastAsia="ru-RU"/>
        </w:rPr>
        <w:t xml:space="preserve">)</w:t>
      </w:r>
      <w:r>
        <w:rPr>
          <w:sz w:val="24"/>
          <w:szCs w:val="24"/>
          <w:lang w:eastAsia="ru-RU"/>
        </w:rPr>
        <w:t xml:space="preserve"> </w:t>
      </w:r>
      <w:r>
        <w:rPr>
          <w:sz w:val="24"/>
          <w:szCs w:val="24"/>
        </w:rPr>
        <w:t xml:space="preserve">Размещение новых объектов жилого назначения н</w:t>
      </w:r>
      <w:r>
        <w:rPr>
          <w:sz w:val="24"/>
          <w:szCs w:val="24"/>
        </w:rPr>
        <w:t xml:space="preserve">е допускается в общественно-деловых зонах (за исключением реконструкции существующих жилых объектов без увеличения их существующей </w:t>
      </w:r>
      <w:r>
        <w:rPr>
          <w:sz w:val="24"/>
          <w:szCs w:val="24"/>
        </w:rPr>
        <w:t xml:space="preserve">этажности)</w:t>
      </w:r>
      <w:r>
        <w:rPr>
          <w:sz w:val="24"/>
          <w:szCs w:val="24"/>
        </w:rPr>
        <w:t xml:space="preserve">.</w:t>
      </w:r>
      <w:r>
        <w:rPr>
          <w:color w:val="0070c0"/>
          <w:sz w:val="24"/>
          <w:szCs w:val="24"/>
          <w:lang w:eastAsia="ru-RU"/>
        </w:rPr>
        <w:t xml:space="preserve"> </w:t>
      </w:r>
      <w:r>
        <w:rPr>
          <w:color w:val="0070c0"/>
          <w:sz w:val="24"/>
          <w:szCs w:val="24"/>
          <w:lang w:eastAsia="ru-RU"/>
        </w:rPr>
      </w:r>
      <w:r/>
    </w:p>
    <w:p>
      <w:pPr>
        <w:pStyle w:val="1373"/>
        <w:ind w:firstLine="567"/>
        <w:spacing w:line="240" w:lineRule="auto"/>
        <w:widowControl/>
        <w:tabs>
          <w:tab w:val="left" w:pos="979" w:leader="none"/>
        </w:tabs>
      </w:pPr>
      <w:r>
        <w:t xml:space="preserve">1</w:t>
      </w:r>
      <w:r>
        <w:t xml:space="preserve">9</w:t>
      </w:r>
      <w:r>
        <w:t xml:space="preserve">) </w:t>
      </w:r>
      <w:r>
        <w:t xml:space="preserve">Не</w:t>
      </w:r>
      <w:r>
        <w:t xml:space="preserve"> </w:t>
      </w:r>
      <w:r>
        <w:t xml:space="preserve">допускается</w:t>
      </w:r>
      <w:r>
        <w:t xml:space="preserve"> перевод индивидуального </w:t>
      </w:r>
      <w:r>
        <w:t xml:space="preserve">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w:t>
      </w:r>
      <w:r>
        <w:t xml:space="preserve">езультатов инженерных изысканий.</w:t>
      </w:r>
      <w:r/>
    </w:p>
    <w:p>
      <w:pPr>
        <w:pStyle w:val="1374"/>
        <w:ind w:firstLine="567"/>
        <w:jc w:val="both"/>
        <w:widowControl/>
      </w:pPr>
      <w:r>
        <w:t xml:space="preserve">В иных случаях при переводе из жилого помещения в нежилое помещение </w:t>
      </w:r>
      <w:r>
        <w:t xml:space="preserve">обязать </w:t>
      </w:r>
      <w:r>
        <w:t xml:space="preserve">заявителя </w:t>
      </w:r>
      <w:r>
        <w:t xml:space="preserve">обеспечени</w:t>
      </w:r>
      <w:r>
        <w:t xml:space="preserve">е</w:t>
      </w:r>
      <w:r>
        <w:t xml:space="preserve"> выполнения требования части 10 статьи 23 Жилищного кодекса </w:t>
      </w:r>
      <w:r>
        <w:t xml:space="preserve">РФ</w:t>
      </w:r>
      <w:r>
        <w:t xml:space="preserve">, в соответствии с которой к заяв</w:t>
      </w:r>
      <w:r>
        <w:t xml:space="preserve">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w:t>
      </w:r>
      <w:r>
        <w:t xml:space="preserve">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w:t>
      </w:r>
      <w:r>
        <w:t xml:space="preserve"> сельского поселения,</w:t>
      </w:r>
      <w:r>
        <w:t xml:space="preserve"> выданных уполномоченными органами муниципального образования</w:t>
      </w:r>
      <w:r>
        <w:t xml:space="preserve">.</w:t>
      </w:r>
      <w:r/>
    </w:p>
    <w:p>
      <w:pPr>
        <w:ind w:firstLine="567"/>
        <w:jc w:val="both"/>
        <w:widowControl/>
      </w:pPr>
      <w:r>
        <w:rPr>
          <w:sz w:val="24"/>
          <w:szCs w:val="24"/>
          <w:lang w:eastAsia="ru-RU"/>
        </w:rPr>
        <w:t xml:space="preserve">2</w:t>
      </w:r>
      <w:r>
        <w:rPr>
          <w:sz w:val="24"/>
          <w:szCs w:val="24"/>
          <w:lang w:eastAsia="ru-RU"/>
        </w:rPr>
        <w:t xml:space="preserve">. Нормы расчета учреждений и предприятий обслуживания и размеры земельных участков для их размещения следует принимать по таблице 4 нормативов градостроительного проектирования Краснод</w:t>
      </w:r>
      <w:r>
        <w:rPr>
          <w:sz w:val="24"/>
          <w:szCs w:val="24"/>
          <w:lang w:eastAsia="ru-RU"/>
        </w:rPr>
        <w:t xml:space="preserve">арского края (далее – НГП КК). </w:t>
      </w:r>
      <w:r>
        <w:rPr>
          <w:sz w:val="24"/>
          <w:szCs w:val="24"/>
          <w:lang w:eastAsia="ru-RU"/>
        </w:rPr>
      </w:r>
      <w:r/>
    </w:p>
    <w:p>
      <w:pPr>
        <w:ind w:firstLine="567"/>
        <w:jc w:val="both"/>
        <w:widowControl/>
      </w:pPr>
      <w:r>
        <w:rPr>
          <w:sz w:val="24"/>
          <w:szCs w:val="24"/>
          <w:shd w:val="clear" w:color="auto" w:fill="ffffff"/>
          <w:lang w:eastAsia="ru-RU"/>
        </w:rPr>
        <w:t xml:space="preserve">3</w:t>
      </w:r>
      <w:r>
        <w:rPr>
          <w:sz w:val="24"/>
          <w:szCs w:val="24"/>
          <w:shd w:val="clear" w:color="auto" w:fill="ffffff"/>
          <w:lang w:eastAsia="ru-RU"/>
        </w:rPr>
        <w:t xml:space="preserve">.</w:t>
      </w:r>
      <w:r>
        <w:rPr>
          <w:sz w:val="24"/>
          <w:szCs w:val="24"/>
          <w:shd w:val="clear" w:color="auto" w:fill="ffffff"/>
          <w:lang w:eastAsia="ru-RU"/>
        </w:rPr>
        <w:t xml:space="preserve"> </w:t>
      </w:r>
      <w:r>
        <w:rPr>
          <w:sz w:val="24"/>
          <w:szCs w:val="24"/>
          <w:shd w:val="clear" w:color="auto" w:fill="ffffff"/>
          <w:lang w:eastAsia="ru-RU"/>
        </w:rPr>
        <w:t xml:space="preserve">Изменение общего рельефа участка, осуществляемое путем выемки или насыпи, ведущее к изменению существующей водоотводн</w:t>
      </w:r>
      <w:r>
        <w:rPr>
          <w:sz w:val="24"/>
          <w:szCs w:val="24"/>
          <w:shd w:val="clear" w:color="auto" w:fill="ffffff"/>
          <w:lang w:eastAsia="ru-RU"/>
        </w:rPr>
        <w:t xml:space="preserve">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Pr>
          <w:sz w:val="24"/>
          <w:szCs w:val="24"/>
          <w:shd w:val="clear" w:color="auto" w:fill="ffffff"/>
          <w:lang w:eastAsia="ru-RU"/>
        </w:rPr>
      </w:r>
      <w:r/>
    </w:p>
    <w:p>
      <w:pPr>
        <w:ind w:firstLine="567"/>
        <w:jc w:val="both"/>
        <w:widowControl/>
      </w:pPr>
      <w:r>
        <w:rPr>
          <w:sz w:val="24"/>
          <w:szCs w:val="24"/>
          <w:lang w:eastAsia="ru-RU"/>
        </w:rPr>
        <w:t xml:space="preserve">4</w:t>
      </w:r>
      <w:r>
        <w:rPr>
          <w:sz w:val="24"/>
          <w:szCs w:val="24"/>
          <w:lang w:eastAsia="ru-RU"/>
        </w:rPr>
        <w:t xml:space="preserve">.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w:t>
      </w:r>
      <w:r>
        <w:rPr>
          <w:sz w:val="24"/>
          <w:szCs w:val="24"/>
          <w:lang w:eastAsia="ru-RU"/>
        </w:rPr>
      </w:r>
      <w:r/>
    </w:p>
    <w:p>
      <w:pPr>
        <w:ind w:firstLine="567"/>
        <w:jc w:val="both"/>
        <w:shd w:val="clear" w:color="auto" w:fill="ffffff"/>
        <w:widowControl/>
      </w:pPr>
      <w:r>
        <w:rPr>
          <w:sz w:val="24"/>
          <w:szCs w:val="24"/>
          <w:lang w:eastAsia="ru-RU"/>
        </w:rPr>
        <w:t xml:space="preserve">5</w:t>
      </w:r>
      <w:r>
        <w:rPr>
          <w:sz w:val="24"/>
          <w:szCs w:val="24"/>
          <w:lang w:eastAsia="ru-RU"/>
        </w:rPr>
        <w:t xml:space="preserve">.</w:t>
      </w:r>
      <w:r>
        <w:rPr>
          <w:sz w:val="24"/>
          <w:szCs w:val="24"/>
          <w:lang w:eastAsia="ru-RU"/>
        </w:rPr>
        <w:t xml:space="preserve"> </w:t>
      </w:r>
      <w:r>
        <w:rPr>
          <w:sz w:val="24"/>
          <w:szCs w:val="24"/>
          <w:lang w:eastAsia="ru-RU"/>
        </w:rPr>
        <w:t xml:space="preserve">О</w:t>
      </w:r>
      <w:r>
        <w:rPr>
          <w:sz w:val="24"/>
          <w:szCs w:val="24"/>
          <w:lang w:eastAsia="ru-RU"/>
        </w:rPr>
        <w:t xml:space="preserve">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w:t>
      </w:r>
      <w:r>
        <w:rPr>
          <w:sz w:val="24"/>
          <w:szCs w:val="24"/>
          <w:lang w:eastAsia="ru-RU"/>
        </w:rPr>
        <w:t xml:space="preserve">ждённой застройщиком, техническим заказчиком, лицом, ответственным за эксплуатацию здания, сооружения, или региональным оператором проектной документации после внесения в нее соответствующих изменений в порядке, установленном уполномоченным Правительством </w:t>
      </w:r>
      <w:r>
        <w:rPr>
          <w:sz w:val="24"/>
          <w:szCs w:val="24"/>
          <w:lang w:eastAsia="ru-RU"/>
        </w:rPr>
        <w:t xml:space="preserve">РФ,</w:t>
      </w:r>
      <w:r>
        <w:rPr>
          <w:sz w:val="24"/>
          <w:szCs w:val="24"/>
          <w:lang w:eastAsia="ru-RU"/>
        </w:rPr>
        <w:t xml:space="preserve"> федеральным органом исполнительной власти.</w:t>
      </w:r>
      <w:r>
        <w:rPr>
          <w:sz w:val="24"/>
          <w:szCs w:val="24"/>
          <w:lang w:eastAsia="ru-RU"/>
        </w:rPr>
      </w:r>
      <w:r/>
    </w:p>
    <w:p>
      <w:pPr>
        <w:ind w:firstLine="567"/>
        <w:jc w:val="both"/>
        <w:shd w:val="clear" w:color="auto" w:fill="ffffff"/>
        <w:widowControl/>
      </w:pPr>
      <w:r>
        <w:rPr>
          <w:sz w:val="24"/>
          <w:szCs w:val="24"/>
          <w:lang w:eastAsia="ru-RU"/>
        </w:rPr>
        <w:t xml:space="preserve">6</w:t>
      </w:r>
      <w:r>
        <w:rPr>
          <w:sz w:val="24"/>
          <w:szCs w:val="24"/>
          <w:lang w:eastAsia="ru-RU"/>
        </w:rPr>
        <w:t xml:space="preserve">. </w:t>
      </w:r>
      <w:r>
        <w:rPr>
          <w:sz w:val="24"/>
          <w:szCs w:val="24"/>
          <w:lang w:eastAsia="ru-RU"/>
        </w:rPr>
        <w:t xml:space="preserve">При п</w:t>
      </w:r>
      <w:r>
        <w:rPr>
          <w:sz w:val="24"/>
          <w:szCs w:val="24"/>
          <w:lang w:eastAsia="ru-RU"/>
        </w:rPr>
        <w:t xml:space="preserve">риняти</w:t>
      </w:r>
      <w:r>
        <w:rPr>
          <w:sz w:val="24"/>
          <w:szCs w:val="24"/>
          <w:lang w:eastAsia="ru-RU"/>
        </w:rPr>
        <w:t xml:space="preserve">и</w:t>
      </w:r>
      <w:r>
        <w:rPr>
          <w:sz w:val="24"/>
          <w:szCs w:val="24"/>
          <w:lang w:eastAsia="ru-RU"/>
        </w:rPr>
        <w:t xml:space="preserve">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соблюдать следующие требования</w:t>
      </w:r>
      <w:r>
        <w:rPr>
          <w:sz w:val="24"/>
          <w:szCs w:val="24"/>
          <w:lang w:eastAsia="ru-RU"/>
        </w:rPr>
        <w:t xml:space="preserve">:</w:t>
      </w:r>
      <w:r>
        <w:rPr>
          <w:sz w:val="24"/>
          <w:szCs w:val="24"/>
          <w:lang w:eastAsia="ru-RU"/>
        </w:rPr>
      </w:r>
      <w:r/>
    </w:p>
    <w:p>
      <w:pPr>
        <w:ind w:firstLine="567"/>
        <w:jc w:val="both"/>
        <w:widowControl/>
      </w:pPr>
      <w:r>
        <w:rPr>
          <w:sz w:val="24"/>
          <w:szCs w:val="24"/>
          <w:lang w:eastAsia="ru-RU"/>
        </w:rPr>
        <w:t xml:space="preserve">1) </w:t>
      </w:r>
      <w:r>
        <w:rPr>
          <w:rFonts w:eastAsia="Calibri"/>
          <w:sz w:val="24"/>
          <w:szCs w:val="24"/>
          <w:lang w:eastAsia="en-US"/>
        </w:rPr>
        <w:t xml:space="preserve">р</w:t>
      </w:r>
      <w:r>
        <w:rPr>
          <w:rFonts w:eastAsia="Calibri"/>
          <w:sz w:val="24"/>
          <w:szCs w:val="24"/>
          <w:lang w:eastAsia="en-US"/>
        </w:rPr>
        <w:t xml:space="preserve">азрешение на отклонение от </w:t>
      </w:r>
      <w:r>
        <w:rPr>
          <w:rFonts w:eastAsia="Calibri"/>
          <w:sz w:val="24"/>
          <w:szCs w:val="24"/>
          <w:lang w:eastAsia="en-US"/>
        </w:rPr>
        <w:t xml:space="preserve">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r>
        <w:rPr>
          <w:rFonts w:eastAsia="Calibri"/>
          <w:sz w:val="24"/>
          <w:szCs w:val="24"/>
          <w:lang w:eastAsia="en-US"/>
        </w:rPr>
        <w:t xml:space="preserve">иные характеристики,</w:t>
      </w:r>
      <w:r>
        <w:rPr>
          <w:rFonts w:eastAsia="Calibri"/>
          <w:sz w:val="24"/>
          <w:szCs w:val="24"/>
          <w:lang w:eastAsia="en-US"/>
        </w:rPr>
        <w:t xml:space="preserve"> которых неблагоприятные </w:t>
      </w:r>
      <w:r>
        <w:rPr>
          <w:rFonts w:eastAsia="Calibri"/>
          <w:sz w:val="24"/>
          <w:szCs w:val="24"/>
          <w:lang w:eastAsia="en-US"/>
        </w:rPr>
        <w:t xml:space="preserve">для застройки, предусмотренные </w:t>
      </w:r>
      <w:r>
        <w:rPr>
          <w:rFonts w:eastAsia="Calibri"/>
          <w:sz w:val="24"/>
          <w:szCs w:val="24"/>
          <w:lang w:eastAsia="en-US"/>
        </w:rPr>
        <w:t xml:space="preserve">статьей </w:t>
      </w:r>
      <w:r>
        <w:rPr>
          <w:rFonts w:eastAsia="Calibri"/>
          <w:sz w:val="24"/>
          <w:szCs w:val="24"/>
          <w:lang w:eastAsia="en-US"/>
        </w:rPr>
        <w:t xml:space="preserve">40</w:t>
      </w:r>
      <w:r>
        <w:rPr>
          <w:rFonts w:eastAsia="Calibri"/>
          <w:sz w:val="24"/>
          <w:szCs w:val="24"/>
          <w:lang w:eastAsia="en-US"/>
        </w:rPr>
        <w:t xml:space="preserve"> </w:t>
      </w:r>
      <w:r>
        <w:rPr>
          <w:rFonts w:eastAsia="Calibri"/>
          <w:sz w:val="24"/>
          <w:szCs w:val="24"/>
          <w:lang w:eastAsia="en-US"/>
        </w:rPr>
        <w:t xml:space="preserve">ГрК РФ</w:t>
      </w:r>
      <w:r>
        <w:rPr>
          <w:rFonts w:eastAsia="Calibri"/>
          <w:sz w:val="24"/>
          <w:szCs w:val="24"/>
          <w:lang w:eastAsia="en-US"/>
        </w:rPr>
        <w:t xml:space="preserve">. </w:t>
      </w:r>
      <w:r>
        <w:rPr>
          <w:rFonts w:eastAsia="Calibri"/>
          <w:sz w:val="24"/>
          <w:szCs w:val="24"/>
          <w:lang w:eastAsia="en-US"/>
        </w:rPr>
      </w:r>
      <w:r/>
    </w:p>
    <w:p>
      <w:pPr>
        <w:ind w:firstLine="567"/>
        <w:jc w:val="both"/>
        <w:shd w:val="clear" w:color="auto" w:fill="ffffff"/>
        <w:widowControl/>
      </w:pPr>
      <w:r>
        <w:rPr>
          <w:sz w:val="24"/>
          <w:szCs w:val="24"/>
          <w:shd w:val="clear" w:color="auto" w:fill="ffffff"/>
          <w:lang w:eastAsia="ru-RU"/>
        </w:rPr>
        <w:t xml:space="preserve">2) ф</w:t>
      </w:r>
      <w:r>
        <w:rPr>
          <w:sz w:val="24"/>
          <w:szCs w:val="24"/>
          <w:shd w:val="clear" w:color="auto" w:fill="ffffff"/>
          <w:lang w:eastAsia="ru-RU"/>
        </w:rPr>
        <w:t xml:space="preserve">акт наличия </w:t>
      </w:r>
      <w:r>
        <w:rPr>
          <w:sz w:val="24"/>
          <w:szCs w:val="24"/>
          <w:lang w:eastAsia="ru-RU"/>
        </w:rPr>
        <w:t xml:space="preserve">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w:t>
      </w:r>
      <w:r>
        <w:rPr>
          <w:sz w:val="24"/>
          <w:szCs w:val="24"/>
          <w:shd w:val="clear" w:color="auto" w:fill="ffffff"/>
          <w:lang w:eastAsia="ru-RU"/>
        </w:rPr>
        <w:t xml:space="preserve"> должны подтверждаться </w:t>
      </w:r>
      <w:r>
        <w:rPr>
          <w:sz w:val="24"/>
          <w:szCs w:val="24"/>
          <w:lang w:eastAsia="ru-RU"/>
        </w:rPr>
        <w:t xml:space="preserve">заключением аккредитованных экспертов.</w:t>
      </w:r>
      <w:r>
        <w:rPr>
          <w:color w:val="0070c0"/>
          <w:sz w:val="24"/>
          <w:szCs w:val="24"/>
          <w:lang w:eastAsia="ru-RU"/>
        </w:rPr>
        <w:t xml:space="preserve"> </w:t>
      </w:r>
      <w:r>
        <w:rPr>
          <w:sz w:val="24"/>
          <w:szCs w:val="24"/>
          <w:lang w:eastAsia="ru-RU"/>
        </w:rPr>
      </w:r>
      <w:r/>
    </w:p>
    <w:p>
      <w:pPr>
        <w:ind w:firstLine="567"/>
        <w:jc w:val="both"/>
        <w:widowControl/>
      </w:pPr>
      <w:r>
        <w:rPr>
          <w:sz w:val="24"/>
          <w:szCs w:val="24"/>
          <w:lang w:eastAsia="ru-RU"/>
        </w:rPr>
        <w:t xml:space="preserve">7</w:t>
      </w:r>
      <w:r>
        <w:rPr>
          <w:sz w:val="24"/>
          <w:szCs w:val="24"/>
          <w:lang w:eastAsia="ru-RU"/>
        </w:rPr>
        <w:t xml:space="preserve">. Радиус доступности объектов капитального строительства учреждениями, организациями и предприятиями обслуживания принимать в соо</w:t>
      </w:r>
      <w:r>
        <w:rPr>
          <w:sz w:val="24"/>
          <w:szCs w:val="24"/>
          <w:lang w:eastAsia="ru-RU"/>
        </w:rPr>
        <w:t xml:space="preserve">тветствии с таблицей </w:t>
      </w:r>
      <w:r>
        <w:rPr>
          <w:sz w:val="24"/>
          <w:szCs w:val="24"/>
          <w:lang w:eastAsia="ru-RU"/>
        </w:rPr>
        <w:t xml:space="preserve">5.2 НГП КК и</w:t>
      </w:r>
      <w:r>
        <w:rPr>
          <w:sz w:val="24"/>
          <w:szCs w:val="24"/>
          <w:lang w:eastAsia="ru-RU"/>
        </w:rPr>
        <w:t xml:space="preserve"> </w:t>
      </w:r>
      <w:hyperlink r:id="rId43" w:tooltip="https://internet.garant.ru/#/document/71692326/entry/104111" w:anchor="/document/71692326/entry/104111" w:history="1">
        <w:r>
          <w:rPr>
            <w:sz w:val="24"/>
            <w:szCs w:val="24"/>
            <w:shd w:val="clear" w:color="auto" w:fill="ffffff"/>
          </w:rPr>
          <w:t xml:space="preserve">таблицей 10.1</w:t>
        </w:r>
      </w:hyperlink>
      <w:r>
        <w:rPr>
          <w:sz w:val="24"/>
          <w:szCs w:val="24"/>
          <w:shd w:val="clear" w:color="auto" w:fill="ffffff"/>
        </w:rPr>
        <w:t xml:space="preserve">.п. 10.4 СП 42.13330.2016</w:t>
      </w:r>
      <w:r>
        <w:rPr>
          <w:sz w:val="24"/>
          <w:szCs w:val="24"/>
          <w:shd w:val="clear" w:color="auto" w:fill="ffffff"/>
        </w:rPr>
        <w:t xml:space="preserve">:</w:t>
      </w:r>
      <w:r>
        <w:rPr>
          <w:sz w:val="24"/>
          <w:szCs w:val="24"/>
          <w:lang w:eastAsia="ru-RU"/>
        </w:rPr>
      </w:r>
      <w:r/>
    </w:p>
    <w:tbl>
      <w:tblPr>
        <w:tblW w:w="14742" w:type="dxa"/>
        <w:tblInd w:w="157" w:type="dxa"/>
        <w:tblCellMar>
          <w:left w:w="15" w:type="dxa"/>
          <w:top w:w="15" w:type="dxa"/>
          <w:right w:w="15" w:type="dxa"/>
          <w:bottom w:w="15" w:type="dxa"/>
        </w:tblCellMar>
        <w:tblLook w:val="04A0" w:firstRow="1" w:lastRow="0" w:firstColumn="1" w:lastColumn="0" w:noHBand="0" w:noVBand="1"/>
      </w:tblPr>
      <w:tblGrid>
        <w:gridCol w:w="11057"/>
        <w:gridCol w:w="3685"/>
      </w:tblGrid>
      <w:tr>
        <w:trPr/>
        <w:tc>
          <w:tcPr>
            <w:tcBorders>
              <w:top w:val="single" w:color="000000" w:sz="6" w:space="0"/>
              <w:left w:val="single" w:color="000000" w:sz="6" w:space="0"/>
              <w:bottom w:val="single" w:color="000000" w:sz="6" w:space="0"/>
              <w:right w:val="single" w:color="000000" w:sz="6" w:space="0"/>
            </w:tcBorders>
            <w:tcW w:w="11057" w:type="dxa"/>
            <w:textDirection w:val="lrTb"/>
            <w:noWrap w:val="false"/>
          </w:tcPr>
          <w:p>
            <w:pPr>
              <w:jc w:val="center"/>
              <w:widowControl/>
              <w:rPr>
                <w:lang w:eastAsia="ru-RU"/>
              </w:rPr>
            </w:pPr>
            <w:r>
              <w:rPr>
                <w:lang w:eastAsia="ru-RU"/>
              </w:rPr>
              <w:t xml:space="preserve">Уровень общего образования</w:t>
            </w:r>
            <w:r>
              <w:rPr>
                <w:lang w:eastAsia="ru-RU"/>
              </w:rPr>
            </w:r>
            <w:r/>
          </w:p>
        </w:tc>
        <w:tc>
          <w:tcPr>
            <w:tcBorders>
              <w:top w:val="single" w:color="000000" w:sz="6" w:space="0"/>
              <w:left w:val="single" w:color="000000" w:sz="6" w:space="0"/>
              <w:bottom w:val="single" w:color="000000" w:sz="6" w:space="0"/>
              <w:right w:val="single" w:color="000000" w:sz="4" w:space="0"/>
            </w:tcBorders>
            <w:tcW w:w="3685" w:type="dxa"/>
            <w:textDirection w:val="lrTb"/>
            <w:noWrap w:val="false"/>
          </w:tcPr>
          <w:p>
            <w:pPr>
              <w:jc w:val="center"/>
              <w:widowControl/>
              <w:rPr>
                <w:lang w:eastAsia="ru-RU"/>
              </w:rPr>
            </w:pPr>
            <w:r>
              <w:rPr>
                <w:lang w:eastAsia="ru-RU"/>
              </w:rPr>
              <w:t xml:space="preserve">Радиус пешеходной доступности, м, не более</w:t>
            </w:r>
            <w:r>
              <w:rPr>
                <w:lang w:eastAsia="ru-RU"/>
              </w:rPr>
            </w:r>
            <w:r/>
          </w:p>
        </w:tc>
      </w:tr>
      <w:tr>
        <w:trPr/>
        <w:tc>
          <w:tcPr>
            <w:tcBorders>
              <w:top w:val="single" w:color="000000" w:sz="6" w:space="0"/>
              <w:left w:val="single" w:color="000000" w:sz="6" w:space="0"/>
              <w:bottom w:val="single" w:color="000000" w:sz="6" w:space="0"/>
              <w:right w:val="single" w:color="000000" w:sz="6" w:space="0"/>
            </w:tcBorders>
            <w:tcW w:w="11057" w:type="dxa"/>
            <w:textDirection w:val="lrTb"/>
            <w:noWrap w:val="false"/>
          </w:tcPr>
          <w:p>
            <w:pPr>
              <w:ind w:firstLine="127"/>
              <w:widowControl/>
              <w:rPr>
                <w:lang w:eastAsia="ru-RU"/>
              </w:rPr>
            </w:pPr>
            <w:r>
              <w:rPr>
                <w:lang w:eastAsia="ru-RU"/>
              </w:rPr>
              <w:t xml:space="preserve">Начальное общее образование</w:t>
            </w:r>
            <w:r>
              <w:rPr>
                <w:lang w:eastAsia="ru-RU"/>
              </w:rPr>
              <w:t xml:space="preserve">*</w:t>
            </w:r>
            <w:r>
              <w:rPr>
                <w:lang w:eastAsia="ru-RU"/>
              </w:rPr>
            </w:r>
            <w:r/>
          </w:p>
        </w:tc>
        <w:tc>
          <w:tcPr>
            <w:tcBorders>
              <w:top w:val="single" w:color="000000" w:sz="6" w:space="0"/>
              <w:left w:val="single" w:color="000000" w:sz="6" w:space="0"/>
              <w:bottom w:val="single" w:color="000000" w:sz="6" w:space="0"/>
              <w:right w:val="single" w:color="000000" w:sz="4" w:space="0"/>
            </w:tcBorders>
            <w:tcW w:w="3685" w:type="dxa"/>
            <w:textDirection w:val="lrTb"/>
            <w:noWrap w:val="false"/>
          </w:tcPr>
          <w:p>
            <w:pPr>
              <w:ind w:left="127" w:right="127"/>
              <w:jc w:val="center"/>
              <w:widowControl/>
              <w:rPr>
                <w:lang w:eastAsia="ru-RU"/>
              </w:rPr>
            </w:pPr>
            <w:r>
              <w:rPr>
                <w:lang w:eastAsia="ru-RU"/>
              </w:rPr>
              <w:t xml:space="preserve">1000</w:t>
            </w:r>
            <w:r>
              <w:rPr>
                <w:lang w:eastAsia="ru-RU"/>
              </w:rPr>
            </w:r>
            <w:r/>
          </w:p>
        </w:tc>
      </w:tr>
      <w:tr>
        <w:trPr>
          <w:trHeight w:val="41"/>
        </w:trPr>
        <w:tc>
          <w:tcPr>
            <w:tcBorders>
              <w:top w:val="single" w:color="000000" w:sz="6" w:space="0"/>
              <w:left w:val="single" w:color="000000" w:sz="6" w:space="0"/>
              <w:bottom w:val="single" w:color="000000" w:sz="6" w:space="0"/>
              <w:right w:val="single" w:color="000000" w:sz="6" w:space="0"/>
            </w:tcBorders>
            <w:tcW w:w="11057" w:type="dxa"/>
            <w:textDirection w:val="lrTb"/>
            <w:noWrap w:val="false"/>
          </w:tcPr>
          <w:p>
            <w:pPr>
              <w:ind w:firstLine="127"/>
              <w:widowControl/>
              <w:rPr>
                <w:lang w:eastAsia="ru-RU"/>
              </w:rPr>
            </w:pPr>
            <w:r>
              <w:rPr>
                <w:lang w:eastAsia="ru-RU"/>
              </w:rPr>
              <w:t xml:space="preserve">Основное общее и (или) среднее образование</w:t>
            </w:r>
            <w:r>
              <w:rPr>
                <w:lang w:eastAsia="ru-RU"/>
              </w:rPr>
              <w:t xml:space="preserve">*</w:t>
            </w:r>
            <w:r>
              <w:rPr>
                <w:lang w:eastAsia="ru-RU"/>
              </w:rPr>
            </w:r>
            <w:r/>
          </w:p>
        </w:tc>
        <w:tc>
          <w:tcPr>
            <w:tcBorders>
              <w:top w:val="single" w:color="000000" w:sz="6" w:space="0"/>
              <w:left w:val="single" w:color="000000" w:sz="6" w:space="0"/>
              <w:bottom w:val="single" w:color="000000" w:sz="6" w:space="0"/>
              <w:right w:val="single" w:color="000000" w:sz="4" w:space="0"/>
            </w:tcBorders>
            <w:tcW w:w="3685" w:type="dxa"/>
            <w:textDirection w:val="lrTb"/>
            <w:noWrap w:val="false"/>
          </w:tcPr>
          <w:p>
            <w:pPr>
              <w:ind w:left="127" w:right="127"/>
              <w:jc w:val="center"/>
              <w:widowControl/>
              <w:rPr>
                <w:lang w:eastAsia="ru-RU"/>
              </w:rPr>
            </w:pPr>
            <w:r>
              <w:rPr>
                <w:lang w:eastAsia="ru-RU"/>
              </w:rPr>
              <w:t xml:space="preserve"> 1000 </w:t>
            </w:r>
            <w:r>
              <w:rPr>
                <w:lang w:eastAsia="ru-RU"/>
              </w:rPr>
            </w:r>
            <w:r/>
          </w:p>
        </w:tc>
      </w:tr>
      <w:tr>
        <w:trPr/>
        <w:tc>
          <w:tcPr>
            <w:tcBorders>
              <w:top w:val="single" w:color="000000" w:sz="6" w:space="0"/>
              <w:left w:val="single" w:color="000000" w:sz="6" w:space="0"/>
              <w:bottom w:val="single" w:color="000000" w:sz="6" w:space="0"/>
              <w:right w:val="single" w:color="000000" w:sz="6" w:space="0"/>
            </w:tcBorders>
            <w:tcW w:w="11057" w:type="dxa"/>
            <w:textDirection w:val="lrTb"/>
            <w:noWrap w:val="false"/>
          </w:tcPr>
          <w:p>
            <w:pPr>
              <w:ind w:firstLine="127"/>
              <w:widowControl/>
              <w:rPr>
                <w:lang w:eastAsia="ru-RU"/>
              </w:rPr>
            </w:pPr>
            <w:r>
              <w:rPr>
                <w:lang w:eastAsia="ru-RU"/>
              </w:rPr>
              <w:t xml:space="preserve">амбулаторно-поликлинические организации и их филиалы</w:t>
            </w:r>
            <w:r>
              <w:rPr>
                <w:lang w:eastAsia="ru-RU"/>
              </w:rPr>
            </w:r>
            <w:r/>
          </w:p>
        </w:tc>
        <w:tc>
          <w:tcPr>
            <w:tcBorders>
              <w:top w:val="single" w:color="000000" w:sz="6" w:space="0"/>
              <w:left w:val="single" w:color="000000" w:sz="6" w:space="0"/>
              <w:bottom w:val="single" w:color="000000" w:sz="6" w:space="0"/>
              <w:right w:val="single" w:color="000000" w:sz="4" w:space="0"/>
            </w:tcBorders>
            <w:tcW w:w="3685" w:type="dxa"/>
            <w:textDirection w:val="lrTb"/>
            <w:noWrap w:val="false"/>
          </w:tcPr>
          <w:p>
            <w:pPr>
              <w:ind w:left="127" w:right="127"/>
              <w:jc w:val="center"/>
              <w:widowControl/>
              <w:rPr>
                <w:lang w:eastAsia="ru-RU"/>
              </w:rPr>
            </w:pPr>
            <w:r>
              <w:rPr>
                <w:lang w:eastAsia="ru-RU"/>
              </w:rPr>
              <w:t xml:space="preserve">1000</w:t>
            </w:r>
            <w:r>
              <w:rPr>
                <w:lang w:eastAsia="ru-RU"/>
              </w:rPr>
            </w:r>
            <w:r/>
          </w:p>
        </w:tc>
      </w:tr>
      <w:tr>
        <w:trPr/>
        <w:tc>
          <w:tcPr>
            <w:tcBorders>
              <w:top w:val="single" w:color="000000" w:sz="6" w:space="0"/>
              <w:left w:val="single" w:color="000000" w:sz="6" w:space="0"/>
              <w:bottom w:val="single" w:color="000000" w:sz="6" w:space="0"/>
              <w:right w:val="single" w:color="000000" w:sz="6" w:space="0"/>
            </w:tcBorders>
            <w:tcW w:w="11057" w:type="dxa"/>
            <w:textDirection w:val="lrTb"/>
            <w:noWrap w:val="false"/>
          </w:tcPr>
          <w:p>
            <w:pPr>
              <w:ind w:left="127" w:right="127"/>
              <w:widowControl/>
              <w:rPr>
                <w:lang w:eastAsia="ru-RU"/>
              </w:rPr>
            </w:pPr>
            <w:r>
              <w:rPr>
                <w:lang w:eastAsia="ru-RU"/>
              </w:rPr>
              <w:t xml:space="preserve">Организации для детей-сирот и детей, оставшихся без попечения родителей, организации социального обслуживания с </w:t>
            </w:r>
            <w:r>
              <w:rPr>
                <w:lang w:eastAsia="ru-RU"/>
              </w:rPr>
              <w:t xml:space="preserve">предоставлением проживания до общеобразовательных и дошкольных общеобразовательных организаций</w:t>
            </w:r>
            <w:hyperlink r:id="rId44" w:tooltip="https://internet.garant.ru/#/document/71692326/entry/102222" w:anchor="/document/71692326/entry/102222" w:history="1">
              <w:r>
                <w:rPr>
                  <w:lang w:eastAsia="ru-RU"/>
                </w:rPr>
                <w:t xml:space="preserve">**</w:t>
              </w:r>
            </w:hyperlink>
            <w:r>
              <w:rPr>
                <w:lang w:eastAsia="ru-RU"/>
              </w:rPr>
            </w:r>
            <w:r/>
          </w:p>
        </w:tc>
        <w:tc>
          <w:tcPr>
            <w:tcBorders>
              <w:top w:val="single" w:color="000000" w:sz="6" w:space="0"/>
              <w:left w:val="single" w:color="000000" w:sz="6" w:space="0"/>
              <w:bottom w:val="single" w:color="000000" w:sz="6" w:space="0"/>
              <w:right w:val="single" w:color="000000" w:sz="4" w:space="0"/>
            </w:tcBorders>
            <w:tcW w:w="3685" w:type="dxa"/>
            <w:textDirection w:val="lrTb"/>
            <w:noWrap w:val="false"/>
          </w:tcPr>
          <w:p>
            <w:pPr>
              <w:ind w:left="127" w:right="127"/>
              <w:jc w:val="center"/>
              <w:widowControl/>
              <w:rPr>
                <w:lang w:eastAsia="ru-RU"/>
              </w:rPr>
            </w:pPr>
            <w:r>
              <w:rPr>
                <w:lang w:eastAsia="ru-RU"/>
              </w:rPr>
              <w:t xml:space="preserve">1000</w:t>
            </w:r>
            <w:r>
              <w:rPr>
                <w:lang w:eastAsia="ru-RU"/>
              </w:rPr>
            </w:r>
            <w:r/>
          </w:p>
        </w:tc>
      </w:tr>
      <w:tr>
        <w:trPr/>
        <w:tc>
          <w:tcPr>
            <w:tcBorders>
              <w:top w:val="single" w:color="000000" w:sz="6" w:space="0"/>
              <w:left w:val="single" w:color="000000" w:sz="6" w:space="0"/>
              <w:bottom w:val="single" w:color="000000" w:sz="6" w:space="0"/>
              <w:right w:val="single" w:color="000000" w:sz="6" w:space="0"/>
            </w:tcBorders>
            <w:tcW w:w="11057" w:type="dxa"/>
            <w:textDirection w:val="lrTb"/>
            <w:noWrap w:val="false"/>
          </w:tcPr>
          <w:p>
            <w:pPr>
              <w:ind w:left="127" w:right="127"/>
              <w:widowControl/>
              <w:rPr>
                <w:lang w:eastAsia="ru-RU"/>
              </w:rPr>
            </w:pPr>
            <w:r>
              <w:rPr>
                <w:lang w:eastAsia="ru-RU"/>
              </w:rPr>
              <w:t xml:space="preserve">Помещения для физкультурно-оздоровительных занятий</w:t>
            </w:r>
            <w:r>
              <w:rPr>
                <w:lang w:eastAsia="ru-RU"/>
              </w:rPr>
            </w:r>
            <w:r/>
          </w:p>
        </w:tc>
        <w:tc>
          <w:tcPr>
            <w:tcBorders>
              <w:top w:val="single" w:color="000000" w:sz="6" w:space="0"/>
              <w:left w:val="single" w:color="000000" w:sz="6" w:space="0"/>
              <w:bottom w:val="single" w:color="000000" w:sz="6" w:space="0"/>
              <w:right w:val="single" w:color="000000" w:sz="4" w:space="0"/>
            </w:tcBorders>
            <w:tcW w:w="3685" w:type="dxa"/>
            <w:textDirection w:val="lrTb"/>
            <w:noWrap w:val="false"/>
          </w:tcPr>
          <w:p>
            <w:pPr>
              <w:ind w:left="127" w:right="127"/>
              <w:jc w:val="center"/>
              <w:widowControl/>
              <w:rPr>
                <w:lang w:eastAsia="ru-RU"/>
              </w:rPr>
            </w:pPr>
            <w:r>
              <w:rPr>
                <w:lang w:eastAsia="ru-RU"/>
              </w:rPr>
              <w:t xml:space="preserve">500</w:t>
            </w:r>
            <w:r>
              <w:rPr>
                <w:lang w:eastAsia="ru-RU"/>
              </w:rPr>
            </w:r>
            <w:r/>
          </w:p>
        </w:tc>
      </w:tr>
      <w:tr>
        <w:trPr/>
        <w:tc>
          <w:tcPr>
            <w:tcBorders>
              <w:top w:val="single" w:color="000000" w:sz="6" w:space="0"/>
              <w:left w:val="single" w:color="000000" w:sz="6" w:space="0"/>
              <w:bottom w:val="single" w:color="000000" w:sz="6" w:space="0"/>
              <w:right w:val="single" w:color="000000" w:sz="6" w:space="0"/>
            </w:tcBorders>
            <w:tcW w:w="11057" w:type="dxa"/>
            <w:textDirection w:val="lrTb"/>
            <w:noWrap w:val="false"/>
          </w:tcPr>
          <w:p>
            <w:pPr>
              <w:ind w:left="127" w:right="127"/>
              <w:widowControl/>
              <w:rPr>
                <w:lang w:eastAsia="ru-RU"/>
              </w:rPr>
            </w:pPr>
            <w:r>
              <w:rPr>
                <w:lang w:eastAsia="ru-RU"/>
              </w:rPr>
              <w:t xml:space="preserve">Физкультурно-спортивные центры жилых районов</w:t>
            </w:r>
            <w:r>
              <w:rPr>
                <w:lang w:eastAsia="ru-RU"/>
              </w:rPr>
            </w:r>
            <w:r/>
          </w:p>
        </w:tc>
        <w:tc>
          <w:tcPr>
            <w:tcBorders>
              <w:top w:val="single" w:color="000000" w:sz="6" w:space="0"/>
              <w:left w:val="single" w:color="000000" w:sz="6" w:space="0"/>
              <w:bottom w:val="single" w:color="000000" w:sz="6" w:space="0"/>
              <w:right w:val="single" w:color="000000" w:sz="4" w:space="0"/>
            </w:tcBorders>
            <w:tcW w:w="3685" w:type="dxa"/>
            <w:textDirection w:val="lrTb"/>
            <w:noWrap w:val="false"/>
          </w:tcPr>
          <w:p>
            <w:pPr>
              <w:ind w:left="127" w:right="127"/>
              <w:jc w:val="center"/>
              <w:widowControl/>
              <w:rPr>
                <w:lang w:eastAsia="ru-RU"/>
              </w:rPr>
            </w:pPr>
            <w:r>
              <w:rPr>
                <w:lang w:eastAsia="ru-RU"/>
              </w:rPr>
              <w:t xml:space="preserve">1500</w:t>
            </w:r>
            <w:r>
              <w:rPr>
                <w:lang w:eastAsia="ru-RU"/>
              </w:rPr>
            </w:r>
            <w:r/>
          </w:p>
        </w:tc>
      </w:tr>
      <w:tr>
        <w:trPr/>
        <w:tc>
          <w:tcPr>
            <w:tcBorders>
              <w:top w:val="single" w:color="000000" w:sz="6" w:space="0"/>
              <w:left w:val="single" w:color="000000" w:sz="6" w:space="0"/>
              <w:bottom w:val="single" w:color="000000" w:sz="6" w:space="0"/>
              <w:right w:val="single" w:color="000000" w:sz="6" w:space="0"/>
            </w:tcBorders>
            <w:tcW w:w="11057" w:type="dxa"/>
            <w:textDirection w:val="lrTb"/>
            <w:noWrap w:val="false"/>
          </w:tcPr>
          <w:p>
            <w:pPr>
              <w:ind w:left="127" w:right="127"/>
              <w:widowControl/>
              <w:rPr>
                <w:lang w:eastAsia="ru-RU"/>
              </w:rPr>
            </w:pPr>
            <w:r>
              <w:rPr>
                <w:lang w:eastAsia="ru-RU"/>
              </w:rPr>
              <w:t xml:space="preserve">Поликлиники и их филиалы в городских населенных пунктах</w:t>
            </w:r>
            <w:hyperlink r:id="rId45" w:tooltip="https://internet.garant.ru/#/document/71692326/entry/10333" w:anchor="/document/71692326/entry/10333" w:history="1">
              <w:r>
                <w:rPr>
                  <w:lang w:eastAsia="ru-RU"/>
                </w:rPr>
                <w:t xml:space="preserve">***</w:t>
              </w:r>
            </w:hyperlink>
            <w:r>
              <w:rPr>
                <w:lang w:eastAsia="ru-RU"/>
              </w:rPr>
            </w:r>
            <w:r/>
          </w:p>
        </w:tc>
        <w:tc>
          <w:tcPr>
            <w:tcBorders>
              <w:top w:val="single" w:color="000000" w:sz="6" w:space="0"/>
              <w:left w:val="single" w:color="000000" w:sz="6" w:space="0"/>
              <w:bottom w:val="single" w:color="000000" w:sz="6" w:space="0"/>
              <w:right w:val="single" w:color="000000" w:sz="4" w:space="0"/>
            </w:tcBorders>
            <w:tcW w:w="3685" w:type="dxa"/>
            <w:textDirection w:val="lrTb"/>
            <w:noWrap w:val="false"/>
          </w:tcPr>
          <w:p>
            <w:pPr>
              <w:ind w:left="127" w:right="127"/>
              <w:jc w:val="center"/>
              <w:widowControl/>
              <w:rPr>
                <w:lang w:eastAsia="ru-RU"/>
              </w:rPr>
            </w:pPr>
            <w:r>
              <w:rPr>
                <w:lang w:eastAsia="ru-RU"/>
              </w:rPr>
              <w:t xml:space="preserve">1000</w:t>
            </w:r>
            <w:r>
              <w:rPr>
                <w:lang w:eastAsia="ru-RU"/>
              </w:rPr>
            </w:r>
            <w:r/>
          </w:p>
        </w:tc>
      </w:tr>
      <w:tr>
        <w:trPr/>
        <w:tc>
          <w:tcPr>
            <w:tcBorders>
              <w:top w:val="single" w:color="000000" w:sz="6" w:space="0"/>
              <w:left w:val="single" w:color="000000" w:sz="6" w:space="0"/>
              <w:bottom w:val="single" w:color="000000" w:sz="6" w:space="0"/>
              <w:right w:val="single" w:color="000000" w:sz="6" w:space="0"/>
            </w:tcBorders>
            <w:tcW w:w="11057" w:type="dxa"/>
            <w:textDirection w:val="lrTb"/>
            <w:noWrap w:val="false"/>
          </w:tcPr>
          <w:p>
            <w:pPr>
              <w:ind w:left="127" w:right="127"/>
              <w:widowControl/>
              <w:rPr>
                <w:lang w:eastAsia="ru-RU"/>
              </w:rPr>
            </w:pPr>
            <w:r>
              <w:rPr>
                <w:lang w:eastAsia="ru-RU"/>
              </w:rPr>
              <w:t xml:space="preserve">Раздаточные пункты молочной кухни</w:t>
            </w:r>
            <w:r>
              <w:rPr>
                <w:lang w:eastAsia="ru-RU"/>
              </w:rPr>
            </w:r>
            <w:r/>
          </w:p>
        </w:tc>
        <w:tc>
          <w:tcPr>
            <w:tcBorders>
              <w:top w:val="single" w:color="000000" w:sz="6" w:space="0"/>
              <w:left w:val="single" w:color="000000" w:sz="6" w:space="0"/>
              <w:bottom w:val="single" w:color="000000" w:sz="6" w:space="0"/>
              <w:right w:val="single" w:color="000000" w:sz="4" w:space="0"/>
            </w:tcBorders>
            <w:tcW w:w="3685" w:type="dxa"/>
            <w:textDirection w:val="lrTb"/>
            <w:noWrap w:val="false"/>
          </w:tcPr>
          <w:p>
            <w:pPr>
              <w:ind w:left="127" w:right="127"/>
              <w:jc w:val="center"/>
              <w:widowControl/>
              <w:rPr>
                <w:lang w:eastAsia="ru-RU"/>
              </w:rPr>
            </w:pPr>
            <w:r>
              <w:rPr>
                <w:lang w:eastAsia="ru-RU"/>
              </w:rPr>
              <w:t xml:space="preserve">500</w:t>
            </w:r>
            <w:r>
              <w:rPr>
                <w:lang w:eastAsia="ru-RU"/>
              </w:rPr>
            </w:r>
            <w:r/>
          </w:p>
        </w:tc>
      </w:tr>
      <w:tr>
        <w:trPr/>
        <w:tc>
          <w:tcPr>
            <w:tcBorders>
              <w:top w:val="single" w:color="000000" w:sz="6" w:space="0"/>
              <w:left w:val="single" w:color="000000" w:sz="6" w:space="0"/>
              <w:bottom w:val="single" w:color="000000" w:sz="6" w:space="0"/>
              <w:right w:val="single" w:color="000000" w:sz="6" w:space="0"/>
            </w:tcBorders>
            <w:tcW w:w="11057" w:type="dxa"/>
            <w:textDirection w:val="lrTb"/>
            <w:noWrap w:val="false"/>
          </w:tcPr>
          <w:p>
            <w:pPr>
              <w:ind w:left="127" w:right="127"/>
              <w:widowControl/>
              <w:rPr>
                <w:lang w:eastAsia="ru-RU"/>
              </w:rPr>
            </w:pPr>
            <w:r>
              <w:rPr>
                <w:lang w:eastAsia="ru-RU"/>
              </w:rPr>
              <w:t xml:space="preserve">То же, при</w:t>
            </w:r>
            <w:r>
              <w:rPr>
                <w:lang w:eastAsia="ru-RU"/>
              </w:rPr>
              <w:t xml:space="preserve"> </w:t>
            </w:r>
            <w:r>
              <w:rPr>
                <w:lang w:eastAsia="ru-RU"/>
              </w:rPr>
              <w:t xml:space="preserve">одно- и двухэтажной застройке</w:t>
            </w:r>
            <w:r>
              <w:rPr>
                <w:lang w:eastAsia="ru-RU"/>
              </w:rPr>
            </w:r>
            <w:r/>
          </w:p>
        </w:tc>
        <w:tc>
          <w:tcPr>
            <w:tcBorders>
              <w:top w:val="single" w:color="000000" w:sz="6" w:space="0"/>
              <w:left w:val="single" w:color="000000" w:sz="6" w:space="0"/>
              <w:bottom w:val="single" w:color="000000" w:sz="6" w:space="0"/>
              <w:right w:val="single" w:color="000000" w:sz="4" w:space="0"/>
            </w:tcBorders>
            <w:tcW w:w="3685" w:type="dxa"/>
            <w:textDirection w:val="lrTb"/>
            <w:noWrap w:val="false"/>
          </w:tcPr>
          <w:p>
            <w:pPr>
              <w:ind w:left="127" w:right="127"/>
              <w:jc w:val="center"/>
              <w:widowControl/>
              <w:rPr>
                <w:lang w:eastAsia="ru-RU"/>
              </w:rPr>
            </w:pPr>
            <w:r>
              <w:rPr>
                <w:lang w:eastAsia="ru-RU"/>
              </w:rPr>
              <w:t xml:space="preserve">800</w:t>
            </w:r>
            <w:r>
              <w:rPr>
                <w:lang w:eastAsia="ru-RU"/>
              </w:rPr>
            </w:r>
            <w:r/>
          </w:p>
        </w:tc>
      </w:tr>
      <w:tr>
        <w:trPr/>
        <w:tc>
          <w:tcPr>
            <w:tcBorders>
              <w:top w:val="single" w:color="000000" w:sz="6" w:space="0"/>
              <w:left w:val="single" w:color="000000" w:sz="6" w:space="0"/>
              <w:bottom w:val="single" w:color="000000" w:sz="6" w:space="0"/>
              <w:right w:val="single" w:color="000000" w:sz="6" w:space="0"/>
            </w:tcBorders>
            <w:tcW w:w="11057" w:type="dxa"/>
            <w:textDirection w:val="lrTb"/>
            <w:noWrap w:val="false"/>
          </w:tcPr>
          <w:p>
            <w:pPr>
              <w:ind w:left="127" w:right="127"/>
              <w:widowControl/>
              <w:rPr>
                <w:lang w:eastAsia="ru-RU"/>
              </w:rPr>
            </w:pPr>
            <w:r>
              <w:rPr>
                <w:lang w:eastAsia="ru-RU"/>
              </w:rPr>
              <w:t xml:space="preserve">Аптеки в городских населенных пунктах</w:t>
            </w:r>
            <w:r>
              <w:rPr>
                <w:lang w:eastAsia="ru-RU"/>
              </w:rPr>
            </w:r>
            <w:r/>
          </w:p>
        </w:tc>
        <w:tc>
          <w:tcPr>
            <w:tcBorders>
              <w:top w:val="single" w:color="000000" w:sz="6" w:space="0"/>
              <w:left w:val="single" w:color="000000" w:sz="6" w:space="0"/>
              <w:bottom w:val="single" w:color="000000" w:sz="6" w:space="0"/>
              <w:right w:val="single" w:color="000000" w:sz="4" w:space="0"/>
            </w:tcBorders>
            <w:tcW w:w="3685" w:type="dxa"/>
            <w:textDirection w:val="lrTb"/>
            <w:noWrap w:val="false"/>
          </w:tcPr>
          <w:p>
            <w:pPr>
              <w:ind w:left="127" w:right="127"/>
              <w:jc w:val="center"/>
              <w:widowControl/>
              <w:rPr>
                <w:lang w:eastAsia="ru-RU"/>
              </w:rPr>
            </w:pPr>
            <w:r>
              <w:rPr>
                <w:lang w:eastAsia="ru-RU"/>
              </w:rPr>
              <w:t xml:space="preserve">500</w:t>
            </w:r>
            <w:r>
              <w:rPr>
                <w:lang w:eastAsia="ru-RU"/>
              </w:rPr>
            </w:r>
            <w:r/>
          </w:p>
        </w:tc>
      </w:tr>
      <w:tr>
        <w:trPr/>
        <w:tc>
          <w:tcPr>
            <w:tcBorders>
              <w:top w:val="single" w:color="000000" w:sz="6" w:space="0"/>
              <w:left w:val="single" w:color="000000" w:sz="6" w:space="0"/>
              <w:bottom w:val="single" w:color="000000" w:sz="6" w:space="0"/>
              <w:right w:val="single" w:color="000000" w:sz="6" w:space="0"/>
            </w:tcBorders>
            <w:tcW w:w="11057" w:type="dxa"/>
            <w:textDirection w:val="lrTb"/>
            <w:noWrap w:val="false"/>
          </w:tcPr>
          <w:p>
            <w:pPr>
              <w:ind w:left="127" w:right="127"/>
              <w:widowControl/>
              <w:rPr>
                <w:lang w:eastAsia="ru-RU"/>
              </w:rPr>
            </w:pPr>
            <w:r>
              <w:rPr>
                <w:lang w:eastAsia="ru-RU"/>
              </w:rPr>
              <w:t xml:space="preserve">То же, при</w:t>
            </w:r>
            <w:r>
              <w:rPr>
                <w:lang w:eastAsia="ru-RU"/>
              </w:rPr>
              <w:t xml:space="preserve"> </w:t>
            </w:r>
            <w:r>
              <w:rPr>
                <w:lang w:eastAsia="ru-RU"/>
              </w:rPr>
              <w:t xml:space="preserve">одно- и двухэтажной застройке</w:t>
            </w:r>
            <w:r>
              <w:rPr>
                <w:lang w:eastAsia="ru-RU"/>
              </w:rPr>
            </w:r>
            <w:r/>
          </w:p>
        </w:tc>
        <w:tc>
          <w:tcPr>
            <w:tcBorders>
              <w:top w:val="single" w:color="000000" w:sz="6" w:space="0"/>
              <w:left w:val="single" w:color="000000" w:sz="6" w:space="0"/>
              <w:bottom w:val="single" w:color="000000" w:sz="6" w:space="0"/>
              <w:right w:val="single" w:color="000000" w:sz="4" w:space="0"/>
            </w:tcBorders>
            <w:tcW w:w="3685" w:type="dxa"/>
            <w:textDirection w:val="lrTb"/>
            <w:noWrap w:val="false"/>
          </w:tcPr>
          <w:p>
            <w:pPr>
              <w:ind w:left="127" w:right="127"/>
              <w:jc w:val="center"/>
              <w:widowControl/>
              <w:rPr>
                <w:lang w:eastAsia="ru-RU"/>
              </w:rPr>
            </w:pPr>
            <w:r>
              <w:rPr>
                <w:lang w:eastAsia="ru-RU"/>
              </w:rPr>
              <w:t xml:space="preserve">800</w:t>
            </w:r>
            <w:r>
              <w:rPr>
                <w:lang w:eastAsia="ru-RU"/>
              </w:rPr>
            </w:r>
            <w:r/>
          </w:p>
        </w:tc>
      </w:tr>
      <w:tr>
        <w:trPr/>
        <w:tc>
          <w:tcPr>
            <w:tcBorders>
              <w:top w:val="single" w:color="000000" w:sz="6" w:space="0"/>
              <w:left w:val="single" w:color="000000" w:sz="6" w:space="0"/>
              <w:bottom w:val="single" w:color="000000" w:sz="6" w:space="0"/>
              <w:right w:val="single" w:color="000000" w:sz="6" w:space="0"/>
            </w:tcBorders>
            <w:tcW w:w="11057" w:type="dxa"/>
            <w:textDirection w:val="lrTb"/>
            <w:noWrap w:val="false"/>
          </w:tcPr>
          <w:p>
            <w:pPr>
              <w:ind w:left="127" w:right="127"/>
              <w:widowControl/>
              <w:rPr>
                <w:lang w:eastAsia="ru-RU"/>
              </w:rPr>
            </w:pPr>
            <w:r>
              <w:rPr>
                <w:lang w:eastAsia="ru-RU"/>
              </w:rPr>
              <w:t xml:space="preserve">Предприятия торговли, общественного питания и бытового обслуживания местного значения</w:t>
            </w:r>
            <w:r>
              <w:rPr>
                <w:lang w:eastAsia="ru-RU"/>
              </w:rPr>
              <w:t xml:space="preserve"> </w:t>
            </w:r>
            <w:r>
              <w:rPr>
                <w:lang w:eastAsia="ru-RU"/>
              </w:rPr>
              <w:t xml:space="preserve">в сельских населенных пунктах</w:t>
            </w:r>
            <w:r>
              <w:rPr>
                <w:lang w:eastAsia="ru-RU"/>
              </w:rPr>
            </w:r>
            <w:r/>
          </w:p>
        </w:tc>
        <w:tc>
          <w:tcPr>
            <w:tcBorders>
              <w:top w:val="single" w:color="000000" w:sz="6" w:space="0"/>
              <w:left w:val="single" w:color="000000" w:sz="6" w:space="0"/>
              <w:bottom w:val="single" w:color="000000" w:sz="6" w:space="0"/>
              <w:right w:val="single" w:color="000000" w:sz="4" w:space="0"/>
            </w:tcBorders>
            <w:tcW w:w="3685" w:type="dxa"/>
            <w:textDirection w:val="lrTb"/>
            <w:noWrap w:val="false"/>
          </w:tcPr>
          <w:p>
            <w:pPr>
              <w:ind w:left="127" w:right="127"/>
              <w:jc w:val="center"/>
              <w:widowControl/>
              <w:rPr>
                <w:lang w:eastAsia="ru-RU"/>
              </w:rPr>
            </w:pPr>
            <w:r>
              <w:rPr>
                <w:lang w:eastAsia="ru-RU"/>
              </w:rPr>
              <w:t xml:space="preserve">2000</w:t>
            </w:r>
            <w:r>
              <w:rPr>
                <w:lang w:eastAsia="ru-RU"/>
              </w:rPr>
            </w:r>
            <w:r/>
          </w:p>
        </w:tc>
      </w:tr>
      <w:tr>
        <w:trPr/>
        <w:tc>
          <w:tcPr>
            <w:tcBorders>
              <w:top w:val="single" w:color="000000" w:sz="6" w:space="0"/>
              <w:left w:val="single" w:color="000000" w:sz="6" w:space="0"/>
              <w:bottom w:val="single" w:color="000000" w:sz="6" w:space="0"/>
              <w:right w:val="single" w:color="000000" w:sz="6" w:space="0"/>
            </w:tcBorders>
            <w:tcW w:w="11057" w:type="dxa"/>
            <w:textDirection w:val="lrTb"/>
            <w:noWrap w:val="false"/>
          </w:tcPr>
          <w:p>
            <w:pPr>
              <w:ind w:left="127" w:right="127"/>
              <w:widowControl/>
              <w:rPr>
                <w:lang w:eastAsia="ru-RU"/>
              </w:rPr>
            </w:pPr>
            <w:r>
              <w:rPr>
                <w:lang w:eastAsia="ru-RU"/>
              </w:rPr>
              <w:t xml:space="preserve">Отделения связи и банки</w:t>
            </w:r>
            <w:r>
              <w:rPr>
                <w:lang w:eastAsia="ru-RU"/>
              </w:rPr>
            </w:r>
            <w:r/>
          </w:p>
        </w:tc>
        <w:tc>
          <w:tcPr>
            <w:tcBorders>
              <w:top w:val="single" w:color="000000" w:sz="6" w:space="0"/>
              <w:left w:val="single" w:color="000000" w:sz="6" w:space="0"/>
              <w:bottom w:val="single" w:color="000000" w:sz="6" w:space="0"/>
              <w:right w:val="single" w:color="000000" w:sz="4" w:space="0"/>
            </w:tcBorders>
            <w:tcW w:w="3685" w:type="dxa"/>
            <w:textDirection w:val="lrTb"/>
            <w:noWrap w:val="false"/>
          </w:tcPr>
          <w:p>
            <w:pPr>
              <w:ind w:left="127" w:right="127"/>
              <w:jc w:val="center"/>
              <w:widowControl/>
              <w:rPr>
                <w:lang w:eastAsia="ru-RU"/>
              </w:rPr>
            </w:pPr>
            <w:r>
              <w:rPr>
                <w:lang w:eastAsia="ru-RU"/>
              </w:rPr>
              <w:t xml:space="preserve">500</w:t>
            </w:r>
            <w:r>
              <w:rPr>
                <w:lang w:eastAsia="ru-RU"/>
              </w:rPr>
            </w:r>
            <w:r/>
          </w:p>
        </w:tc>
      </w:tr>
    </w:tbl>
    <w:p>
      <w:pPr>
        <w:ind w:firstLine="567"/>
        <w:jc w:val="both"/>
        <w:widowControl/>
      </w:pPr>
      <w:r>
        <w:rPr>
          <w:sz w:val="24"/>
          <w:szCs w:val="24"/>
          <w:lang w:eastAsia="ru-RU"/>
        </w:rPr>
        <w:t xml:space="preserve">* Указанный радиус обслуживания не распространяется на специализированные и оздоровительные дошко</w:t>
      </w:r>
      <w:r>
        <w:rPr>
          <w:sz w:val="24"/>
          <w:szCs w:val="24"/>
          <w:lang w:eastAsia="ru-RU"/>
        </w:rPr>
        <w:t xml:space="preserve">льные организации, а также на специальные дошкольные образовательные организации общего типа и общеобразовательные организации (языковые, математические, спортивные и т.п.). Указанный радиус обслуживания может быть уменьшен с учетом обеспечения требований </w:t>
      </w:r>
      <w:hyperlink r:id="rId46" w:tooltip="https://internet.garant.ru/#/document/75093644/entry/1000" w:anchor="/document/75093644/entry/1000" w:history="1">
        <w:r>
          <w:rPr>
            <w:sz w:val="24"/>
            <w:szCs w:val="24"/>
            <w:lang w:eastAsia="ru-RU"/>
          </w:rPr>
          <w:t xml:space="preserve">СП 2.4.3648</w:t>
        </w:r>
      </w:hyperlink>
      <w:r>
        <w:rPr>
          <w:sz w:val="24"/>
          <w:szCs w:val="24"/>
          <w:lang w:eastAsia="ru-RU"/>
        </w:rPr>
        <w:t xml:space="preserve">.</w:t>
      </w:r>
      <w:r>
        <w:rPr>
          <w:sz w:val="24"/>
          <w:szCs w:val="24"/>
          <w:lang w:eastAsia="ru-RU"/>
        </w:rPr>
      </w:r>
      <w:r/>
    </w:p>
    <w:p>
      <w:pPr>
        <w:ind w:firstLine="567"/>
        <w:jc w:val="both"/>
        <w:widowControl/>
      </w:pPr>
      <w:r>
        <w:rPr>
          <w:sz w:val="24"/>
          <w:szCs w:val="24"/>
          <w:lang w:eastAsia="ru-RU"/>
        </w:rPr>
        <w:t xml:space="preserve">** При расстояниях, свыше указанных, организуется транспортное обслуживание (до организации и обратно). Расстояние транспортного обслуживания не должно превышать 30 км в одну сторону.</w:t>
      </w:r>
      <w:r>
        <w:rPr>
          <w:sz w:val="24"/>
          <w:szCs w:val="24"/>
          <w:lang w:eastAsia="ru-RU"/>
        </w:rPr>
      </w:r>
      <w:r/>
    </w:p>
    <w:p>
      <w:pPr>
        <w:ind w:firstLine="567"/>
        <w:jc w:val="both"/>
        <w:widowControl/>
      </w:pPr>
      <w:r>
        <w:rPr>
          <w:sz w:val="24"/>
          <w:szCs w:val="24"/>
          <w:lang w:eastAsia="ru-RU"/>
        </w:rPr>
        <w:t xml:space="preserve">***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r>
        <w:rPr>
          <w:bCs/>
          <w:sz w:val="24"/>
          <w:szCs w:val="24"/>
          <w:lang w:eastAsia="ru-RU"/>
        </w:rPr>
      </w:r>
      <w:r/>
    </w:p>
    <w:p>
      <w:pPr>
        <w:ind w:firstLine="567"/>
        <w:jc w:val="both"/>
        <w:widowControl/>
      </w:pPr>
      <w:r>
        <w:rPr>
          <w:bCs/>
          <w:sz w:val="24"/>
          <w:szCs w:val="24"/>
          <w:lang w:eastAsia="ru-RU"/>
        </w:rPr>
        <w:t xml:space="preserve">Примечания:</w:t>
      </w:r>
      <w:r>
        <w:rPr>
          <w:bCs/>
          <w:sz w:val="24"/>
          <w:szCs w:val="24"/>
          <w:lang w:eastAsia="ru-RU"/>
        </w:rPr>
      </w:r>
      <w:r/>
    </w:p>
    <w:p>
      <w:pPr>
        <w:ind w:firstLine="567"/>
        <w:jc w:val="both"/>
        <w:widowControl/>
      </w:pPr>
      <w:r>
        <w:rPr>
          <w:sz w:val="24"/>
          <w:szCs w:val="24"/>
          <w:lang w:eastAsia="ru-RU"/>
        </w:rPr>
        <w:t xml:space="preserve">1) </w:t>
      </w:r>
      <w:r>
        <w:rPr>
          <w:sz w:val="24"/>
          <w:szCs w:val="24"/>
          <w:lang w:eastAsia="ru-RU"/>
        </w:rPr>
        <w:t xml:space="preserve">п</w:t>
      </w:r>
      <w:r>
        <w:rPr>
          <w:sz w:val="24"/>
          <w:szCs w:val="24"/>
          <w:lang w:eastAsia="ru-RU"/>
        </w:rPr>
        <w:t xml:space="preserve">одвоз учащихся осуществляется на транспорте, предназначенном для перевозки детей</w:t>
      </w:r>
      <w:r>
        <w:rPr>
          <w:sz w:val="24"/>
          <w:szCs w:val="24"/>
          <w:lang w:eastAsia="ru-RU"/>
        </w:rPr>
        <w:t xml:space="preserve">;</w:t>
      </w:r>
      <w:r>
        <w:rPr>
          <w:sz w:val="24"/>
          <w:szCs w:val="24"/>
          <w:lang w:eastAsia="ru-RU"/>
        </w:rPr>
      </w:r>
      <w:r/>
    </w:p>
    <w:p>
      <w:pPr>
        <w:ind w:firstLine="567"/>
        <w:jc w:val="both"/>
        <w:widowControl/>
      </w:pPr>
      <w:r>
        <w:rPr>
          <w:sz w:val="24"/>
          <w:szCs w:val="24"/>
          <w:lang w:eastAsia="ru-RU"/>
        </w:rPr>
        <w:t xml:space="preserve">2) </w:t>
      </w:r>
      <w:r>
        <w:rPr>
          <w:sz w:val="24"/>
          <w:szCs w:val="24"/>
          <w:lang w:eastAsia="ru-RU"/>
        </w:rPr>
        <w:t xml:space="preserve">п</w:t>
      </w:r>
      <w:r>
        <w:rPr>
          <w:sz w:val="24"/>
          <w:szCs w:val="24"/>
          <w:lang w:eastAsia="ru-RU"/>
        </w:rPr>
        <w:t xml:space="preserve">редельный пешеходный подход учащихся к месту сбора на остановке должен быть не более 500 м</w:t>
      </w:r>
      <w:r>
        <w:rPr>
          <w:sz w:val="24"/>
          <w:szCs w:val="24"/>
          <w:lang w:eastAsia="ru-RU"/>
        </w:rPr>
        <w:t xml:space="preserve">;</w:t>
      </w:r>
      <w:r>
        <w:rPr>
          <w:sz w:val="24"/>
          <w:szCs w:val="24"/>
          <w:lang w:eastAsia="ru-RU"/>
        </w:rPr>
      </w:r>
      <w:r/>
    </w:p>
    <w:p>
      <w:pPr>
        <w:ind w:firstLine="567"/>
        <w:jc w:val="both"/>
        <w:widowControl/>
      </w:pPr>
      <w:r>
        <w:rPr>
          <w:sz w:val="24"/>
          <w:szCs w:val="24"/>
          <w:lang w:eastAsia="ru-RU"/>
        </w:rPr>
        <w:t xml:space="preserve">3) </w:t>
      </w:r>
      <w:r>
        <w:rPr>
          <w:sz w:val="24"/>
          <w:szCs w:val="24"/>
          <w:lang w:eastAsia="ru-RU"/>
        </w:rPr>
        <w:t xml:space="preserve">о</w:t>
      </w:r>
      <w:r>
        <w:rPr>
          <w:sz w:val="24"/>
          <w:szCs w:val="24"/>
          <w:lang w:eastAsia="ru-RU"/>
        </w:rPr>
        <w:t xml:space="preserve">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r>
        <w:rPr>
          <w:sz w:val="24"/>
          <w:szCs w:val="24"/>
          <w:lang w:eastAsia="ru-RU"/>
        </w:rPr>
        <w:t xml:space="preserve">;</w:t>
      </w:r>
      <w:r>
        <w:rPr>
          <w:sz w:val="24"/>
          <w:szCs w:val="24"/>
          <w:lang w:eastAsia="ru-RU"/>
        </w:rPr>
      </w:r>
      <w:r/>
    </w:p>
    <w:p>
      <w:pPr>
        <w:ind w:firstLine="567"/>
        <w:jc w:val="both"/>
        <w:widowControl/>
      </w:pPr>
      <w:r>
        <w:rPr>
          <w:sz w:val="24"/>
          <w:szCs w:val="24"/>
          <w:lang w:eastAsia="ru-RU"/>
        </w:rPr>
        <w:t xml:space="preserve">4) </w:t>
      </w:r>
      <w:r>
        <w:rPr>
          <w:sz w:val="24"/>
          <w:szCs w:val="24"/>
          <w:lang w:eastAsia="ru-RU"/>
        </w:rPr>
        <w:t xml:space="preserve">д</w:t>
      </w:r>
      <w:r>
        <w:rPr>
          <w:sz w:val="24"/>
          <w:szCs w:val="24"/>
          <w:lang w:eastAsia="ru-RU"/>
        </w:rPr>
        <w:t xml:space="preserve">ля учащих</w:t>
      </w:r>
      <w:r>
        <w:rPr>
          <w:sz w:val="24"/>
          <w:szCs w:val="24"/>
          <w:lang w:eastAsia="ru-RU"/>
        </w:rPr>
        <w:t xml:space="preserve">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r>
        <w:rPr>
          <w:sz w:val="24"/>
          <w:szCs w:val="24"/>
          <w:lang w:eastAsia="ru-RU"/>
        </w:rPr>
      </w:r>
      <w:r/>
    </w:p>
    <w:p>
      <w:pPr>
        <w:pStyle w:val="1062"/>
        <w:ind w:firstLine="567"/>
        <w:jc w:val="both"/>
        <w:spacing w:before="0" w:after="0"/>
        <w:shd w:val="clear" w:color="auto" w:fill="ffffff"/>
      </w:pPr>
      <w:r>
        <w:rPr>
          <w:lang w:eastAsia="ru-RU"/>
        </w:rPr>
        <w:t xml:space="preserve">8</w:t>
      </w:r>
      <w:r>
        <w:rPr>
          <w:lang w:eastAsia="ru-RU"/>
        </w:rPr>
        <w:t xml:space="preserve">. </w:t>
      </w:r>
      <w:r>
        <w:rPr>
          <w:lang w:eastAsia="ru-RU"/>
        </w:rPr>
        <w:t xml:space="preserve">Для размещения машино-мест в городском населенном пункте следует предусматривать:</w:t>
      </w:r>
      <w:r>
        <w:rPr>
          <w:lang w:eastAsia="ru-RU"/>
        </w:rPr>
      </w:r>
      <w:r/>
    </w:p>
    <w:p>
      <w:pPr>
        <w:pStyle w:val="1062"/>
        <w:ind w:firstLine="567"/>
        <w:jc w:val="both"/>
        <w:spacing w:before="0" w:after="0"/>
        <w:shd w:val="clear" w:color="auto" w:fill="ffffff"/>
      </w:pPr>
      <w:r>
        <w:rPr>
          <w:lang w:eastAsia="ru-RU"/>
        </w:rPr>
        <w:t xml:space="preserve">объекты для хранения легковых автомобилей постоянного населения городского населенного пункта, расположенные вблизи от мест проживания;</w:t>
      </w:r>
      <w:r>
        <w:rPr>
          <w:lang w:eastAsia="ru-RU"/>
        </w:rPr>
      </w:r>
      <w:r/>
    </w:p>
    <w:p>
      <w:pPr>
        <w:pStyle w:val="1062"/>
        <w:ind w:firstLine="567"/>
        <w:jc w:val="both"/>
        <w:spacing w:before="0" w:after="0"/>
        <w:shd w:val="clear" w:color="auto" w:fill="ffffff"/>
      </w:pPr>
      <w:r>
        <w:rPr>
          <w:lang w:eastAsia="ru-RU"/>
        </w:rPr>
        <w:t xml:space="preserve">объекты для паркования легковых автомобилей постоянного и дневного населения городского населенного пункта пр</w:t>
      </w:r>
      <w:r>
        <w:rPr>
          <w:lang w:eastAsia="ru-RU"/>
        </w:rPr>
        <w:t xml:space="preserve">и поездках с различными целями </w:t>
      </w:r>
      <w:r>
        <w:rPr>
          <w:lang w:eastAsia="ru-RU"/>
        </w:rPr>
        <w:t xml:space="preserve">(11.31 СП 54.13330.2016)</w:t>
      </w:r>
      <w:r>
        <w:rPr>
          <w:lang w:eastAsia="ru-RU"/>
        </w:rPr>
        <w:t xml:space="preserve">.</w:t>
      </w:r>
      <w:r>
        <w:rPr>
          <w:lang w:eastAsia="ru-RU"/>
        </w:rPr>
      </w:r>
      <w:r/>
    </w:p>
    <w:p>
      <w:pPr>
        <w:pStyle w:val="1062"/>
        <w:ind w:firstLine="567"/>
        <w:jc w:val="both"/>
        <w:spacing w:before="0" w:after="0"/>
        <w:shd w:val="clear" w:color="auto" w:fill="ffffff"/>
      </w:pPr>
      <w:r>
        <w:rPr>
          <w:shd w:val="clear" w:color="auto" w:fill="ffffff"/>
        </w:rPr>
        <w:t xml:space="preserve">На территории жилой застройки рекомендуется предусматривать гостевые стоянки, предназначенные для посетителей жилой застройки, из расчета не менее 30 машино-мест на 1000 жителей</w:t>
      </w:r>
      <w:r>
        <w:rPr>
          <w:shd w:val="clear" w:color="auto" w:fill="ffffff"/>
        </w:rPr>
        <w:t xml:space="preserve">.</w:t>
      </w:r>
      <w:r>
        <w:rPr>
          <w:color w:val="0070c0"/>
          <w:lang w:eastAsia="ru-RU"/>
        </w:rPr>
      </w:r>
      <w:r/>
    </w:p>
    <w:p>
      <w:pPr>
        <w:ind w:firstLine="567"/>
        <w:jc w:val="both"/>
        <w:shd w:val="clear" w:color="auto" w:fill="ffffff"/>
        <w:widowControl/>
      </w:pPr>
      <w:r>
        <w:rPr>
          <w:color w:val="22272f"/>
          <w:sz w:val="24"/>
          <w:szCs w:val="24"/>
          <w:lang w:eastAsia="ru-RU"/>
        </w:rPr>
        <w:t xml:space="preserve">Расстояние пешеходных подходов от стоянок для паркования легковых автомобилей до входов в жилые дома следует принимать не более 200 м</w:t>
      </w:r>
      <w:r>
        <w:rPr>
          <w:color w:val="22272f"/>
          <w:sz w:val="24"/>
          <w:szCs w:val="24"/>
          <w:lang w:eastAsia="ru-RU"/>
        </w:rPr>
        <w:t xml:space="preserve">.</w:t>
      </w:r>
      <w:r>
        <w:rPr>
          <w:color w:val="22272f"/>
          <w:sz w:val="24"/>
          <w:szCs w:val="24"/>
          <w:lang w:eastAsia="ru-RU"/>
        </w:rPr>
      </w:r>
      <w:r/>
    </w:p>
    <w:p>
      <w:pPr>
        <w:pStyle w:val="1062"/>
        <w:ind w:firstLine="567"/>
        <w:jc w:val="both"/>
        <w:spacing w:before="0" w:after="0"/>
        <w:shd w:val="clear" w:color="auto" w:fill="ffffff"/>
      </w:pPr>
      <w:r>
        <w:rPr>
          <w:lang w:eastAsia="ru-RU"/>
        </w:rPr>
        <w:t xml:space="preserve">Для</w:t>
      </w:r>
      <w:r>
        <w:rPr>
          <w:lang w:eastAsia="ru-RU"/>
        </w:rPr>
        <w:t xml:space="preserve"> паркования легковых автомобилей работников и посетителей объектов различного функционального назначения следует предусматривать приобъектные, кооперированные и перехватывающие стоянки автомобилей.</w:t>
      </w:r>
      <w:r>
        <w:rPr>
          <w:lang w:eastAsia="ru-RU"/>
        </w:rPr>
      </w:r>
      <w:r/>
    </w:p>
    <w:p>
      <w:pPr>
        <w:ind w:firstLine="567"/>
        <w:jc w:val="both"/>
        <w:shd w:val="clear" w:color="auto" w:fill="ffffff"/>
        <w:widowControl/>
      </w:pPr>
      <w:r>
        <w:rPr>
          <w:sz w:val="24"/>
          <w:szCs w:val="24"/>
          <w:lang w:eastAsia="ru-RU"/>
        </w:rPr>
        <w:t xml:space="preserve">Для помещений общественного назначения, встроенных в жилые здания </w:t>
      </w:r>
      <w:r>
        <w:rPr>
          <w:sz w:val="24"/>
          <w:szCs w:val="24"/>
          <w:lang w:eastAsia="ru-RU"/>
        </w:rPr>
        <w:t xml:space="preserve">по </w:t>
      </w:r>
      <w:hyperlink r:id="rId47" w:tooltip="https://internet.garant.ru/#/document/71692342/entry/14000" w:anchor="/document/71692342/entry/14000" w:history="1">
        <w:r>
          <w:rPr>
            <w:sz w:val="24"/>
            <w:szCs w:val="24"/>
            <w:lang w:eastAsia="ru-RU"/>
          </w:rPr>
          <w:t xml:space="preserve">приложению В</w:t>
        </w:r>
      </w:hyperlink>
      <w:r>
        <w:rPr>
          <w:sz w:val="24"/>
          <w:szCs w:val="24"/>
          <w:lang w:eastAsia="ru-RU"/>
        </w:rPr>
        <w:t xml:space="preserve"> </w:t>
      </w:r>
      <w:r>
        <w:rPr>
          <w:sz w:val="24"/>
          <w:szCs w:val="24"/>
          <w:lang w:eastAsia="ru-RU"/>
        </w:rPr>
        <w:t xml:space="preserve">СП 54.13330.2016</w:t>
      </w:r>
      <w:r>
        <w:rPr>
          <w:sz w:val="24"/>
          <w:szCs w:val="24"/>
          <w:lang w:eastAsia="ru-RU"/>
        </w:rPr>
        <w:t xml:space="preserve">, машино-места для паркования автомобилей работников и посетителей этих помещений допускается располагать в подземных стоянках автомобилей жилых зданий при условии соблюдения [29, </w:t>
      </w:r>
      <w:hyperlink r:id="rId48" w:tooltip="https://internet.garant.ru/#/document/12138291/entry/36" w:anchor="/document/12138291/entry/36" w:history="1">
        <w:r>
          <w:rPr>
            <w:sz w:val="24"/>
            <w:szCs w:val="24"/>
            <w:lang w:eastAsia="ru-RU"/>
          </w:rPr>
          <w:t xml:space="preserve">статья 36</w:t>
        </w:r>
      </w:hyperlink>
      <w:r>
        <w:rPr>
          <w:sz w:val="24"/>
          <w:szCs w:val="24"/>
          <w:lang w:eastAsia="ru-RU"/>
        </w:rPr>
        <w:t xml:space="preserve">] и следующих требований:</w:t>
      </w:r>
      <w:r>
        <w:rPr>
          <w:sz w:val="24"/>
          <w:szCs w:val="24"/>
          <w:lang w:eastAsia="ru-RU"/>
        </w:rPr>
      </w:r>
      <w:r/>
    </w:p>
    <w:p>
      <w:pPr>
        <w:ind w:firstLine="567"/>
        <w:jc w:val="both"/>
        <w:shd w:val="clear" w:color="auto" w:fill="ffffff"/>
        <w:widowControl/>
      </w:pPr>
      <w:r>
        <w:rPr>
          <w:sz w:val="24"/>
          <w:szCs w:val="24"/>
          <w:lang w:eastAsia="ru-RU"/>
        </w:rPr>
        <w:t xml:space="preserve">возможность беспрепятственного выезда транспортных средств из зоны стоянки;</w:t>
      </w:r>
      <w:r>
        <w:rPr>
          <w:sz w:val="24"/>
          <w:szCs w:val="24"/>
          <w:lang w:eastAsia="ru-RU"/>
        </w:rPr>
      </w:r>
      <w:r/>
    </w:p>
    <w:p>
      <w:pPr>
        <w:ind w:firstLine="567"/>
        <w:jc w:val="both"/>
        <w:shd w:val="clear" w:color="auto" w:fill="ffffff"/>
        <w:widowControl/>
      </w:pPr>
      <w:r>
        <w:rPr>
          <w:sz w:val="24"/>
          <w:szCs w:val="24"/>
          <w:lang w:eastAsia="ru-RU"/>
        </w:rPr>
        <w:t xml:space="preserve">оборудование системой видео- и фотофиксации.</w:t>
      </w:r>
      <w:r>
        <w:rPr>
          <w:sz w:val="24"/>
          <w:szCs w:val="24"/>
          <w:lang w:eastAsia="ru-RU"/>
        </w:rPr>
      </w:r>
      <w:r/>
    </w:p>
    <w:p>
      <w:pPr>
        <w:ind w:firstLine="567"/>
        <w:jc w:val="both"/>
        <w:shd w:val="clear" w:color="auto" w:fill="ffffff"/>
        <w:widowControl/>
      </w:pPr>
      <w:r>
        <w:rPr>
          <w:sz w:val="24"/>
          <w:szCs w:val="24"/>
          <w:lang w:eastAsia="ru-RU"/>
        </w:rPr>
        <w:t xml:space="preserve">Расстояние пешеходных подходов от стоянок для паркования легковых автомобилей следует принимать, м, не более:</w:t>
      </w:r>
      <w:r>
        <w:rPr>
          <w:sz w:val="24"/>
          <w:szCs w:val="24"/>
          <w:lang w:eastAsia="ru-RU"/>
        </w:rPr>
      </w:r>
      <w:r/>
    </w:p>
    <w:p>
      <w:pPr>
        <w:ind w:firstLine="567"/>
        <w:jc w:val="both"/>
        <w:shd w:val="clear" w:color="auto" w:fill="ffffff"/>
        <w:widowControl/>
      </w:pPr>
      <w:r>
        <w:rPr>
          <w:sz w:val="24"/>
          <w:szCs w:val="24"/>
          <w:lang w:eastAsia="ru-RU"/>
        </w:rPr>
        <w:t xml:space="preserve">до пассажирских помещений вокзалов, входов в места крупных учреждений торговли и общественного питания - 200;</w:t>
      </w:r>
      <w:r>
        <w:rPr>
          <w:sz w:val="24"/>
          <w:szCs w:val="24"/>
          <w:lang w:eastAsia="ru-RU"/>
        </w:rPr>
      </w:r>
      <w:r/>
    </w:p>
    <w:p>
      <w:pPr>
        <w:ind w:firstLine="567"/>
        <w:jc w:val="both"/>
        <w:shd w:val="clear" w:color="auto" w:fill="ffffff"/>
        <w:widowControl/>
      </w:pPr>
      <w:r>
        <w:rPr>
          <w:sz w:val="24"/>
          <w:szCs w:val="24"/>
          <w:lang w:eastAsia="ru-RU"/>
        </w:rPr>
        <w:t xml:space="preserve">до прочих учреждений и предприятий обслуживания населения и административных зданий - 250;</w:t>
      </w:r>
      <w:r>
        <w:rPr>
          <w:sz w:val="24"/>
          <w:szCs w:val="24"/>
          <w:lang w:eastAsia="ru-RU"/>
        </w:rPr>
      </w:r>
      <w:r/>
    </w:p>
    <w:p>
      <w:pPr>
        <w:ind w:firstLine="567"/>
        <w:jc w:val="both"/>
        <w:shd w:val="clear" w:color="auto" w:fill="ffffff"/>
        <w:widowControl/>
      </w:pPr>
      <w:r>
        <w:rPr>
          <w:sz w:val="24"/>
          <w:szCs w:val="24"/>
          <w:lang w:eastAsia="ru-RU"/>
        </w:rPr>
        <w:t xml:space="preserve">до входов в парки, на выставки и стадионы - 400.</w:t>
      </w:r>
      <w:r>
        <w:rPr>
          <w:sz w:val="24"/>
          <w:szCs w:val="24"/>
          <w:lang w:eastAsia="ru-RU"/>
        </w:rPr>
      </w:r>
      <w:r/>
    </w:p>
    <w:p>
      <w:pPr>
        <w:ind w:firstLine="567"/>
        <w:jc w:val="both"/>
        <w:shd w:val="clear" w:color="auto" w:fill="ffffff"/>
        <w:widowControl/>
      </w:pPr>
      <w:r>
        <w:rPr>
          <w:sz w:val="24"/>
          <w:szCs w:val="24"/>
          <w:lang w:eastAsia="ru-RU"/>
        </w:rPr>
        <w:t xml:space="preserve">Расположение мест для парковки личного транспорта инвалидов следует предусматривать в соответствии с требованиями </w:t>
      </w:r>
      <w:hyperlink r:id="rId49" w:tooltip="https://internet.garant.ru/#/document/400382837/entry/0" w:anchor="/document/400382837/entry/0" w:history="1">
        <w:r>
          <w:rPr>
            <w:sz w:val="24"/>
            <w:szCs w:val="24"/>
            <w:lang w:eastAsia="ru-RU"/>
          </w:rPr>
          <w:t xml:space="preserve">СП 59.13330</w:t>
        </w:r>
      </w:hyperlink>
      <w:r>
        <w:rPr>
          <w:sz w:val="24"/>
          <w:szCs w:val="24"/>
          <w:lang w:eastAsia="ru-RU"/>
        </w:rPr>
        <w:t xml:space="preserve">, </w:t>
      </w:r>
      <w:hyperlink r:id="rId50" w:tooltip="https://internet.garant.ru/#/document/71625962/entry/0" w:anchor="/document/71625962/entry/0" w:history="1">
        <w:r>
          <w:rPr>
            <w:sz w:val="24"/>
            <w:szCs w:val="24"/>
            <w:lang w:eastAsia="ru-RU"/>
          </w:rPr>
          <w:t xml:space="preserve">СП 113.13330</w:t>
        </w:r>
      </w:hyperlink>
      <w:r>
        <w:rPr>
          <w:sz w:val="24"/>
          <w:szCs w:val="24"/>
          <w:lang w:eastAsia="ru-RU"/>
        </w:rPr>
        <w:t xml:space="preserve">.</w:t>
      </w:r>
      <w:r>
        <w:rPr>
          <w:sz w:val="24"/>
          <w:szCs w:val="24"/>
          <w:lang w:eastAsia="ru-RU"/>
        </w:rPr>
      </w:r>
      <w:r/>
    </w:p>
    <w:p>
      <w:pPr>
        <w:ind w:firstLine="567"/>
        <w:jc w:val="both"/>
        <w:shd w:val="clear" w:color="auto" w:fill="ffffff"/>
        <w:widowControl/>
      </w:pPr>
      <w:r>
        <w:rPr>
          <w:color w:val="22272f"/>
          <w:sz w:val="24"/>
          <w:szCs w:val="24"/>
          <w:shd w:val="clear" w:color="auto" w:fill="ffffff"/>
        </w:rPr>
        <w:t xml:space="preserve">Наименьшие расстояния до въездов/выездов в гаражи-стоянки следует принимать по расчету, но не менее: от перекрестков магистральных улиц </w:t>
      </w:r>
      <w:r>
        <w:rPr>
          <w:color w:val="22272f"/>
          <w:sz w:val="24"/>
          <w:szCs w:val="24"/>
          <w:shd w:val="clear" w:color="auto" w:fill="ffffff"/>
        </w:rPr>
        <w:t xml:space="preserve">–</w:t>
      </w:r>
      <w:r>
        <w:rPr>
          <w:color w:val="22272f"/>
          <w:sz w:val="24"/>
          <w:szCs w:val="24"/>
          <w:shd w:val="clear" w:color="auto" w:fill="ffffff"/>
        </w:rPr>
        <w:t xml:space="preserve"> 50</w:t>
      </w:r>
      <w:r>
        <w:rPr>
          <w:color w:val="22272f"/>
          <w:sz w:val="24"/>
          <w:szCs w:val="24"/>
          <w:shd w:val="clear" w:color="auto" w:fill="ffffff"/>
        </w:rPr>
        <w:t xml:space="preserve"> м</w:t>
      </w:r>
      <w:r>
        <w:rPr>
          <w:color w:val="22272f"/>
          <w:sz w:val="24"/>
          <w:szCs w:val="24"/>
          <w:shd w:val="clear" w:color="auto" w:fill="ffffff"/>
        </w:rPr>
        <w:t xml:space="preserve">, улиц местного значения </w:t>
      </w:r>
      <w:r>
        <w:rPr>
          <w:color w:val="22272f"/>
          <w:sz w:val="24"/>
          <w:szCs w:val="24"/>
          <w:shd w:val="clear" w:color="auto" w:fill="ffffff"/>
        </w:rPr>
        <w:t xml:space="preserve">–</w:t>
      </w:r>
      <w:r>
        <w:rPr>
          <w:color w:val="22272f"/>
          <w:sz w:val="24"/>
          <w:szCs w:val="24"/>
          <w:shd w:val="clear" w:color="auto" w:fill="ffffff"/>
        </w:rPr>
        <w:t xml:space="preserve"> 20</w:t>
      </w:r>
      <w:r>
        <w:rPr>
          <w:color w:val="22272f"/>
          <w:sz w:val="24"/>
          <w:szCs w:val="24"/>
          <w:shd w:val="clear" w:color="auto" w:fill="ffffff"/>
        </w:rPr>
        <w:t xml:space="preserve"> м</w:t>
      </w:r>
      <w:r>
        <w:rPr>
          <w:color w:val="22272f"/>
          <w:sz w:val="24"/>
          <w:szCs w:val="24"/>
          <w:shd w:val="clear" w:color="auto" w:fill="ffffff"/>
        </w:rPr>
        <w:t xml:space="preserve">, от остановочных пунктов общественного пассажирского транспорта </w:t>
      </w:r>
      <w:r>
        <w:rPr>
          <w:color w:val="22272f"/>
          <w:sz w:val="24"/>
          <w:szCs w:val="24"/>
          <w:shd w:val="clear" w:color="auto" w:fill="ffffff"/>
        </w:rPr>
        <w:t xml:space="preserve">–</w:t>
      </w:r>
      <w:r>
        <w:rPr>
          <w:color w:val="22272f"/>
          <w:sz w:val="24"/>
          <w:szCs w:val="24"/>
          <w:shd w:val="clear" w:color="auto" w:fill="ffffff"/>
        </w:rPr>
        <w:t xml:space="preserve"> 30</w:t>
      </w:r>
      <w:r>
        <w:rPr>
          <w:color w:val="22272f"/>
          <w:sz w:val="24"/>
          <w:szCs w:val="24"/>
          <w:shd w:val="clear" w:color="auto" w:fill="ffffff"/>
        </w:rPr>
        <w:t xml:space="preserve"> м</w:t>
      </w:r>
      <w:r>
        <w:rPr>
          <w:color w:val="22272f"/>
          <w:sz w:val="24"/>
          <w:szCs w:val="24"/>
          <w:shd w:val="clear" w:color="auto" w:fill="ffffff"/>
        </w:rPr>
        <w:t xml:space="preserve">.</w:t>
      </w:r>
      <w:r>
        <w:rPr>
          <w:sz w:val="24"/>
          <w:szCs w:val="24"/>
          <w:lang w:eastAsia="ru-RU"/>
        </w:rPr>
      </w:r>
      <w:r/>
    </w:p>
    <w:p>
      <w:pPr>
        <w:ind w:firstLine="567"/>
        <w:jc w:val="both"/>
        <w:shd w:val="clear" w:color="auto" w:fill="ffffff"/>
        <w:widowControl/>
      </w:pPr>
      <w:r>
        <w:rPr>
          <w:sz w:val="24"/>
          <w:szCs w:val="24"/>
          <w:lang w:eastAsia="ru-RU"/>
        </w:rPr>
        <w:t xml:space="preserve">Расчетное количество машино-мест (парковочных мест) на автостоянках для парковки автомобилей в границах отведенного земельного участка для объектов общественного назначения следует принимать в значениях, указанных в таблице </w:t>
      </w:r>
      <w:r>
        <w:rPr>
          <w:sz w:val="24"/>
          <w:szCs w:val="24"/>
          <w:lang w:eastAsia="ru-RU"/>
        </w:rPr>
        <w:t xml:space="preserve">108 НГП КК и в соответствии п. 5.5.146 п. 5.5.153 НГП КК, приведенных ниже: </w:t>
      </w:r>
      <w:r>
        <w:rPr>
          <w:sz w:val="24"/>
          <w:szCs w:val="24"/>
          <w:lang w:eastAsia="ru-RU"/>
        </w:rPr>
      </w:r>
      <w:r/>
    </w:p>
    <w:tbl>
      <w:tblPr>
        <w:tblW w:w="15026" w:type="dxa"/>
        <w:tblInd w:w="157" w:type="dxa"/>
        <w:shd w:val="clear" w:color="auto" w:fill="ffffff"/>
        <w:tblCellMar>
          <w:left w:w="15" w:type="dxa"/>
          <w:top w:w="15" w:type="dxa"/>
          <w:right w:w="15" w:type="dxa"/>
          <w:bottom w:w="15" w:type="dxa"/>
        </w:tblCellMar>
        <w:tblLook w:val="04A0" w:firstRow="1" w:lastRow="0" w:firstColumn="1" w:lastColumn="0" w:noHBand="0" w:noVBand="1"/>
      </w:tblPr>
      <w:tblGrid>
        <w:gridCol w:w="6946"/>
        <w:gridCol w:w="3544"/>
        <w:gridCol w:w="4536"/>
      </w:tblGrid>
      <w:tr>
        <w:trPr/>
        <w:tc>
          <w:tcPr>
            <w:shd w:val="clear" w:color="ffffff" w:fill="ffffff"/>
            <w:tcBorders>
              <w:top w:val="single" w:color="000000" w:sz="6" w:space="0"/>
              <w:left w:val="single" w:color="000000" w:sz="6" w:space="0"/>
              <w:bottom w:val="single" w:color="000000" w:sz="6" w:space="0"/>
              <w:right w:val="single" w:color="000000" w:sz="6" w:space="0"/>
            </w:tcBorders>
            <w:tcW w:w="6946" w:type="dxa"/>
            <w:textDirection w:val="lrTb"/>
            <w:noWrap w:val="false"/>
          </w:tcPr>
          <w:p>
            <w:pPr>
              <w:ind w:left="127"/>
              <w:jc w:val="center"/>
              <w:widowControl/>
              <w:rPr>
                <w:lang w:eastAsia="ru-RU"/>
              </w:rPr>
            </w:pPr>
            <w:r>
              <w:rPr>
                <w:lang w:eastAsia="ru-RU"/>
              </w:rPr>
              <w:t xml:space="preserve">З</w:t>
            </w:r>
            <w:r>
              <w:rPr>
                <w:lang w:eastAsia="ru-RU"/>
              </w:rPr>
              <w:t xml:space="preserve">дания и сооружения</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3544" w:type="dxa"/>
            <w:textDirection w:val="lrTb"/>
            <w:noWrap w:val="false"/>
          </w:tcPr>
          <w:p>
            <w:pPr>
              <w:ind w:firstLine="567"/>
              <w:widowControl/>
              <w:rPr>
                <w:lang w:eastAsia="ru-RU"/>
              </w:rPr>
            </w:pPr>
            <w:r>
              <w:rPr>
                <w:lang w:eastAsia="ru-RU"/>
              </w:rPr>
              <w:t xml:space="preserve">Расчетная единица</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4536" w:type="dxa"/>
            <w:textDirection w:val="lrTb"/>
            <w:noWrap w:val="false"/>
          </w:tcPr>
          <w:p>
            <w:pPr>
              <w:ind w:left="126"/>
              <w:widowControl/>
              <w:rPr>
                <w:lang w:eastAsia="ru-RU"/>
              </w:rPr>
            </w:pPr>
            <w:r>
              <w:rPr>
                <w:lang w:eastAsia="ru-RU"/>
              </w:rPr>
              <w:t xml:space="preserve">количество машино-мест (парковочных мест) на расчетную единицу</w:t>
            </w:r>
            <w:r>
              <w:rPr>
                <w:lang w:eastAsia="ru-RU"/>
              </w:rPr>
            </w:r>
            <w:r/>
          </w:p>
        </w:tc>
      </w:tr>
      <w:tr>
        <w:trPr/>
        <w:tc>
          <w:tcPr>
            <w:gridSpan w:val="3"/>
            <w:shd w:val="clear" w:color="ffffff" w:fill="dbdbdb" w:themeFill="accent3" w:themeFillTint="66"/>
            <w:tcBorders>
              <w:top w:val="single" w:color="000000" w:sz="6" w:space="0"/>
              <w:left w:val="single" w:color="000000" w:sz="6" w:space="0"/>
              <w:bottom w:val="single" w:color="000000" w:sz="6" w:space="0"/>
              <w:right w:val="single" w:color="000000" w:sz="6" w:space="0"/>
            </w:tcBorders>
            <w:tcW w:w="15026" w:type="dxa"/>
            <w:textDirection w:val="lrTb"/>
            <w:noWrap w:val="false"/>
          </w:tcPr>
          <w:p>
            <w:pPr>
              <w:ind w:left="126"/>
              <w:jc w:val="center"/>
              <w:widowControl/>
              <w:rPr>
                <w:lang w:eastAsia="ru-RU"/>
              </w:rPr>
            </w:pPr>
            <w:r>
              <w:rPr>
                <w:lang w:eastAsia="ru-RU"/>
              </w:rPr>
              <w:t xml:space="preserve">Здания и сооружения</w:t>
            </w:r>
            <w:r>
              <w:rPr>
                <w:lang w:eastAsia="ru-RU"/>
              </w:rPr>
            </w:r>
            <w:r/>
          </w:p>
        </w:tc>
      </w:tr>
      <w:tr>
        <w:trPr/>
        <w:tc>
          <w:tcPr>
            <w:shd w:val="clear" w:color="ffffff" w:fill="ffffff"/>
            <w:tcBorders>
              <w:top w:val="single" w:color="000000" w:sz="6" w:space="0"/>
              <w:left w:val="single" w:color="000000" w:sz="6" w:space="0"/>
              <w:bottom w:val="single" w:color="000000" w:sz="6" w:space="0"/>
              <w:right w:val="single" w:color="000000" w:sz="6" w:space="0"/>
            </w:tcBorders>
            <w:tcW w:w="6946" w:type="dxa"/>
            <w:textDirection w:val="lrTb"/>
            <w:noWrap w:val="false"/>
          </w:tcPr>
          <w:p>
            <w:pPr>
              <w:ind w:left="127"/>
              <w:widowControl/>
              <w:rPr>
                <w:lang w:eastAsia="ru-RU"/>
              </w:rPr>
            </w:pPr>
            <w:r>
              <w:rPr>
                <w:lang w:eastAsia="ru-RU"/>
              </w:rPr>
              <w:t xml:space="preserve">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3544" w:type="dxa"/>
            <w:textDirection w:val="lrTb"/>
            <w:noWrap w:val="false"/>
          </w:tcPr>
          <w:p>
            <w:pPr>
              <w:ind w:firstLine="567"/>
              <w:widowControl/>
              <w:rPr>
                <w:lang w:eastAsia="ru-RU"/>
              </w:rPr>
            </w:pPr>
            <w:r>
              <w:rPr>
                <w:lang w:eastAsia="ru-RU"/>
              </w:rPr>
              <w:t xml:space="preserve">100 м</w:t>
            </w:r>
            <w:r>
              <w:rPr>
                <w:vertAlign w:val="superscript"/>
                <w:lang w:eastAsia="ru-RU"/>
              </w:rPr>
              <w:t xml:space="preserve">2</w:t>
            </w:r>
            <w:r>
              <w:rPr>
                <w:lang w:eastAsia="ru-RU"/>
              </w:rPr>
              <w:t xml:space="preserve"> общей площади</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4536" w:type="dxa"/>
            <w:textDirection w:val="lrTb"/>
            <w:noWrap w:val="false"/>
          </w:tcPr>
          <w:p>
            <w:pPr>
              <w:ind w:left="126"/>
              <w:jc w:val="center"/>
              <w:widowControl/>
              <w:rPr>
                <w:lang w:eastAsia="ru-RU"/>
              </w:rPr>
            </w:pPr>
            <w:r>
              <w:rPr>
                <w:lang w:eastAsia="ru-RU"/>
              </w:rPr>
              <w:t xml:space="preserve">1</w:t>
            </w:r>
            <w:r>
              <w:rPr>
                <w:lang w:eastAsia="ru-RU"/>
              </w:rPr>
            </w:r>
            <w:r/>
          </w:p>
        </w:tc>
      </w:tr>
      <w:tr>
        <w:trPr/>
        <w:tc>
          <w:tcPr>
            <w:shd w:val="clear" w:color="ffffff" w:fill="ffffff"/>
            <w:tcBorders>
              <w:top w:val="single" w:color="000000" w:sz="6" w:space="0"/>
              <w:left w:val="single" w:color="000000" w:sz="6" w:space="0"/>
              <w:bottom w:val="single" w:color="000000" w:sz="6" w:space="0"/>
              <w:right w:val="single" w:color="000000" w:sz="6" w:space="0"/>
            </w:tcBorders>
            <w:tcW w:w="6946" w:type="dxa"/>
            <w:textDirection w:val="lrTb"/>
            <w:noWrap w:val="false"/>
          </w:tcPr>
          <w:p>
            <w:pPr>
              <w:ind w:left="127"/>
              <w:widowControl/>
              <w:rPr>
                <w:lang w:eastAsia="ru-RU"/>
              </w:rPr>
            </w:pPr>
            <w:r>
              <w:rPr>
                <w:lang w:eastAsia="ru-RU"/>
              </w:rPr>
              <w:t xml:space="preserve">Коммерческо-деловые центры, офисные здания и помещения, страховые компании, научные и проектные организации</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3544" w:type="dxa"/>
            <w:textDirection w:val="lrTb"/>
            <w:noWrap w:val="false"/>
          </w:tcPr>
          <w:p>
            <w:pPr>
              <w:ind w:firstLine="567"/>
              <w:widowControl/>
              <w:rPr>
                <w:lang w:eastAsia="ru-RU"/>
              </w:rPr>
            </w:pPr>
            <w:r>
              <w:rPr>
                <w:lang w:eastAsia="ru-RU"/>
              </w:rPr>
              <w:t xml:space="preserve">60 м</w:t>
            </w:r>
            <w:r>
              <w:rPr>
                <w:vertAlign w:val="superscript"/>
                <w:lang w:eastAsia="ru-RU"/>
              </w:rPr>
              <w:t xml:space="preserve">2</w:t>
            </w:r>
            <w:r>
              <w:rPr>
                <w:lang w:eastAsia="ru-RU"/>
              </w:rPr>
              <w:t xml:space="preserve"> общей площади</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4536" w:type="dxa"/>
            <w:textDirection w:val="lrTb"/>
            <w:noWrap w:val="false"/>
          </w:tcPr>
          <w:p>
            <w:pPr>
              <w:ind w:left="126"/>
              <w:jc w:val="center"/>
              <w:widowControl/>
              <w:rPr>
                <w:lang w:eastAsia="ru-RU"/>
              </w:rPr>
            </w:pPr>
            <w:r>
              <w:rPr>
                <w:lang w:eastAsia="ru-RU"/>
              </w:rPr>
              <w:t xml:space="preserve">1</w:t>
            </w:r>
            <w:r>
              <w:rPr>
                <w:lang w:eastAsia="ru-RU"/>
              </w:rPr>
            </w:r>
            <w:r/>
          </w:p>
        </w:tc>
      </w:tr>
      <w:tr>
        <w:trPr/>
        <w:tc>
          <w:tcPr>
            <w:shd w:val="clear" w:color="ffffff" w:fill="ffffff"/>
            <w:tcBorders>
              <w:top w:val="single" w:color="000000" w:sz="6" w:space="0"/>
              <w:left w:val="single" w:color="000000" w:sz="6" w:space="0"/>
              <w:bottom w:val="single" w:color="000000" w:sz="6" w:space="0"/>
              <w:right w:val="single" w:color="000000" w:sz="6" w:space="0"/>
            </w:tcBorders>
            <w:tcW w:w="6946" w:type="dxa"/>
            <w:textDirection w:val="lrTb"/>
            <w:noWrap w:val="false"/>
          </w:tcPr>
          <w:p>
            <w:pPr>
              <w:ind w:left="127"/>
              <w:widowControl/>
              <w:rPr>
                <w:lang w:eastAsia="ru-RU"/>
              </w:rPr>
            </w:pPr>
            <w:r>
              <w:rPr>
                <w:lang w:eastAsia="ru-RU"/>
              </w:rPr>
              <w:t xml:space="preserve">Промышленные предприятия</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3544" w:type="dxa"/>
            <w:textDirection w:val="lrTb"/>
            <w:noWrap w:val="false"/>
          </w:tcPr>
          <w:p>
            <w:pPr>
              <w:ind w:left="127"/>
              <w:jc w:val="center"/>
              <w:widowControl/>
              <w:rPr>
                <w:lang w:eastAsia="ru-RU"/>
              </w:rPr>
            </w:pPr>
            <w:r>
              <w:rPr>
                <w:lang w:eastAsia="ru-RU"/>
              </w:rPr>
              <w:t xml:space="preserve">6-8 работающих в двух смежных сменах</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4536" w:type="dxa"/>
            <w:textDirection w:val="lrTb"/>
            <w:noWrap w:val="false"/>
          </w:tcPr>
          <w:p>
            <w:pPr>
              <w:ind w:left="126"/>
              <w:jc w:val="center"/>
              <w:widowControl/>
              <w:rPr>
                <w:lang w:eastAsia="ru-RU"/>
              </w:rPr>
            </w:pPr>
            <w:r>
              <w:rPr>
                <w:lang w:eastAsia="ru-RU"/>
              </w:rPr>
              <w:t xml:space="preserve">1</w:t>
            </w:r>
            <w:r>
              <w:rPr>
                <w:lang w:eastAsia="ru-RU"/>
              </w:rPr>
            </w:r>
            <w:r/>
          </w:p>
        </w:tc>
      </w:tr>
      <w:tr>
        <w:trPr/>
        <w:tc>
          <w:tcPr>
            <w:shd w:val="clear" w:color="ffffff" w:fill="ffffff"/>
            <w:tcBorders>
              <w:top w:val="single" w:color="000000" w:sz="6" w:space="0"/>
              <w:left w:val="single" w:color="000000" w:sz="6" w:space="0"/>
              <w:bottom w:val="single" w:color="000000" w:sz="6" w:space="0"/>
              <w:right w:val="single" w:color="000000" w:sz="6" w:space="0"/>
            </w:tcBorders>
            <w:tcW w:w="6946" w:type="dxa"/>
            <w:textDirection w:val="lrTb"/>
            <w:noWrap w:val="false"/>
          </w:tcPr>
          <w:p>
            <w:pPr>
              <w:ind w:left="127"/>
              <w:widowControl/>
              <w:rPr>
                <w:lang w:eastAsia="ru-RU"/>
              </w:rPr>
            </w:pPr>
            <w:r>
              <w:rPr>
                <w:lang w:eastAsia="ru-RU"/>
              </w:rPr>
              <w:t xml:space="preserve">Здания и комплексы многофункциональные</w:t>
            </w:r>
            <w:r>
              <w:rPr>
                <w:lang w:eastAsia="ru-RU"/>
              </w:rPr>
            </w:r>
            <w:r/>
          </w:p>
        </w:tc>
        <w:tc>
          <w:tcPr>
            <w:gridSpan w:val="2"/>
            <w:shd w:val="clear" w:color="ffffff" w:fill="ffffff"/>
            <w:tcBorders>
              <w:top w:val="single" w:color="000000" w:sz="6" w:space="0"/>
              <w:left w:val="single" w:color="000000" w:sz="6" w:space="0"/>
              <w:bottom w:val="single" w:color="000000" w:sz="6" w:space="0"/>
              <w:right w:val="single" w:color="000000" w:sz="6" w:space="0"/>
            </w:tcBorders>
            <w:tcW w:w="8080" w:type="dxa"/>
            <w:textDirection w:val="lrTb"/>
            <w:noWrap w:val="false"/>
          </w:tcPr>
          <w:p>
            <w:pPr>
              <w:ind w:firstLine="567"/>
              <w:jc w:val="center"/>
              <w:widowControl/>
              <w:rPr>
                <w:lang w:eastAsia="ru-RU"/>
              </w:rPr>
            </w:pPr>
            <w:r>
              <w:rPr>
                <w:lang w:eastAsia="ru-RU"/>
              </w:rPr>
              <w:t xml:space="preserve">Принимать отдельно для каждого функционального объекта в составе МФЦ</w:t>
            </w:r>
            <w:r>
              <w:rPr>
                <w:lang w:eastAsia="ru-RU"/>
              </w:rPr>
            </w:r>
            <w:r/>
          </w:p>
        </w:tc>
      </w:tr>
      <w:tr>
        <w:trPr/>
        <w:tc>
          <w:tcPr>
            <w:gridSpan w:val="3"/>
            <w:shd w:val="clear" w:color="ffffff" w:fill="dbdbdb" w:themeFill="accent3" w:themeFillTint="66"/>
            <w:tcBorders>
              <w:top w:val="single" w:color="000000" w:sz="6" w:space="0"/>
              <w:left w:val="single" w:color="000000" w:sz="6" w:space="0"/>
              <w:bottom w:val="single" w:color="000000" w:sz="6" w:space="0"/>
              <w:right w:val="single" w:color="000000" w:sz="6" w:space="0"/>
            </w:tcBorders>
            <w:tcW w:w="15026" w:type="dxa"/>
            <w:textDirection w:val="lrTb"/>
            <w:noWrap w:val="false"/>
          </w:tcPr>
          <w:p>
            <w:pPr>
              <w:ind w:left="126"/>
              <w:jc w:val="center"/>
              <w:widowControl/>
              <w:rPr>
                <w:lang w:eastAsia="ru-RU"/>
              </w:rPr>
            </w:pPr>
            <w:r>
              <w:rPr>
                <w:lang w:eastAsia="ru-RU"/>
              </w:rPr>
              <w:t xml:space="preserve">Образовательные учреждения</w:t>
            </w:r>
            <w:r>
              <w:rPr>
                <w:lang w:eastAsia="ru-RU"/>
              </w:rPr>
            </w:r>
            <w:r/>
          </w:p>
        </w:tc>
      </w:tr>
      <w:tr>
        <w:trPr>
          <w:trHeight w:val="240"/>
        </w:trPr>
        <w:tc>
          <w:tcPr>
            <w:shd w:val="clear" w:color="ffffff" w:fill="ffffff"/>
            <w:tcBorders>
              <w:top w:val="single" w:color="000000" w:sz="6" w:space="0"/>
              <w:left w:val="single" w:color="000000" w:sz="6" w:space="0"/>
              <w:bottom w:val="single" w:color="000000" w:sz="6" w:space="0"/>
              <w:right w:val="single" w:color="000000" w:sz="6" w:space="0"/>
            </w:tcBorders>
            <w:tcW w:w="6946" w:type="dxa"/>
            <w:vMerge w:val="restart"/>
            <w:textDirection w:val="lrTb"/>
            <w:noWrap w:val="false"/>
          </w:tcPr>
          <w:p>
            <w:pPr>
              <w:ind w:left="127"/>
              <w:widowControl/>
              <w:rPr>
                <w:lang w:eastAsia="ru-RU"/>
              </w:rPr>
            </w:pPr>
            <w:r>
              <w:rPr>
                <w:lang w:eastAsia="ru-RU"/>
              </w:rPr>
              <w:t xml:space="preserve">Дошкольные образовательные организации</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3544" w:type="dxa"/>
            <w:textDirection w:val="lrTb"/>
            <w:noWrap w:val="false"/>
          </w:tcPr>
          <w:p>
            <w:pPr>
              <w:ind w:firstLine="567"/>
              <w:widowControl/>
              <w:rPr>
                <w:lang w:eastAsia="ru-RU"/>
              </w:rPr>
            </w:pPr>
            <w:r>
              <w:rPr>
                <w:lang w:eastAsia="ru-RU"/>
              </w:rPr>
              <w:t xml:space="preserve">1 объект</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4536" w:type="dxa"/>
            <w:textDirection w:val="lrTb"/>
            <w:noWrap w:val="false"/>
          </w:tcPr>
          <w:p>
            <w:pPr>
              <w:ind w:left="126"/>
              <w:jc w:val="center"/>
              <w:widowControl/>
              <w:rPr>
                <w:lang w:eastAsia="ru-RU"/>
              </w:rPr>
            </w:pPr>
            <w:r>
              <w:rPr>
                <w:lang w:eastAsia="ru-RU"/>
              </w:rPr>
              <w:t xml:space="preserve">Не менее 7</w:t>
            </w:r>
            <w:r>
              <w:rPr>
                <w:lang w:eastAsia="ru-RU"/>
              </w:rPr>
            </w:r>
            <w:r/>
          </w:p>
        </w:tc>
      </w:tr>
      <w:tr>
        <w:trPr/>
        <w:tc>
          <w:tcPr>
            <w:shd w:val="clear" w:color="ffffff" w:fill="ffffff"/>
            <w:tcBorders>
              <w:top w:val="single" w:color="000000" w:sz="6" w:space="0"/>
              <w:left w:val="single" w:color="000000" w:sz="6" w:space="0"/>
              <w:bottom w:val="single" w:color="000000" w:sz="6" w:space="0"/>
              <w:right w:val="single" w:color="000000" w:sz="6" w:space="0"/>
            </w:tcBorders>
            <w:tcW w:w="6946" w:type="dxa"/>
            <w:vAlign w:val="center"/>
            <w:vMerge w:val="continue"/>
            <w:textDirection w:val="lrTb"/>
            <w:noWrap w:val="false"/>
          </w:tcPr>
          <w:p>
            <w:pPr>
              <w:ind w:left="127"/>
              <w:widowControl/>
              <w:rPr>
                <w:lang w:eastAsia="ru-RU"/>
              </w:rPr>
            </w:pPr>
            <w:r>
              <w:rPr>
                <w:lang w:eastAsia="ru-RU"/>
              </w:rPr>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3544" w:type="dxa"/>
            <w:textDirection w:val="lrTb"/>
            <w:noWrap w:val="false"/>
          </w:tcPr>
          <w:p>
            <w:pPr>
              <w:ind w:firstLine="567"/>
              <w:widowControl/>
              <w:rPr>
                <w:lang w:eastAsia="ru-RU"/>
              </w:rPr>
            </w:pPr>
            <w:r>
              <w:rPr>
                <w:lang w:eastAsia="ru-RU"/>
              </w:rPr>
              <w:t xml:space="preserve">100 детей</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4536" w:type="dxa"/>
            <w:textDirection w:val="lrTb"/>
            <w:noWrap w:val="false"/>
          </w:tcPr>
          <w:p>
            <w:pPr>
              <w:ind w:left="126"/>
              <w:jc w:val="center"/>
              <w:widowControl/>
              <w:rPr>
                <w:lang w:eastAsia="ru-RU"/>
              </w:rPr>
            </w:pPr>
            <w:r>
              <w:rPr>
                <w:lang w:eastAsia="ru-RU"/>
              </w:rPr>
              <w:t xml:space="preserve">Не менее 5 для единовременной высадки</w:t>
            </w:r>
            <w:r>
              <w:rPr>
                <w:lang w:eastAsia="ru-RU"/>
              </w:rPr>
            </w:r>
            <w:r/>
          </w:p>
        </w:tc>
      </w:tr>
      <w:tr>
        <w:trPr>
          <w:trHeight w:val="240"/>
        </w:trPr>
        <w:tc>
          <w:tcPr>
            <w:shd w:val="clear" w:color="ffffff" w:fill="ffffff"/>
            <w:tcBorders>
              <w:top w:val="single" w:color="000000" w:sz="6" w:space="0"/>
              <w:left w:val="single" w:color="000000" w:sz="6" w:space="0"/>
              <w:bottom w:val="single" w:color="000000" w:sz="6" w:space="0"/>
              <w:right w:val="single" w:color="000000" w:sz="6" w:space="0"/>
            </w:tcBorders>
            <w:tcW w:w="6946" w:type="dxa"/>
            <w:vMerge w:val="restart"/>
            <w:textDirection w:val="lrTb"/>
            <w:noWrap w:val="false"/>
          </w:tcPr>
          <w:p>
            <w:pPr>
              <w:ind w:left="127"/>
              <w:widowControl/>
              <w:rPr>
                <w:lang w:eastAsia="ru-RU"/>
              </w:rPr>
            </w:pPr>
            <w:r>
              <w:rPr>
                <w:lang w:eastAsia="ru-RU"/>
              </w:rPr>
              <w:t xml:space="preserve">Общеобразовательные организации</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3544" w:type="dxa"/>
            <w:textDirection w:val="lrTb"/>
            <w:noWrap w:val="false"/>
          </w:tcPr>
          <w:p>
            <w:pPr>
              <w:ind w:firstLine="567"/>
              <w:widowControl/>
              <w:rPr>
                <w:lang w:eastAsia="ru-RU"/>
              </w:rPr>
            </w:pPr>
            <w:r>
              <w:rPr>
                <w:lang w:eastAsia="ru-RU"/>
              </w:rPr>
              <w:t xml:space="preserve">1 объект</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4536" w:type="dxa"/>
            <w:textDirection w:val="lrTb"/>
            <w:noWrap w:val="false"/>
          </w:tcPr>
          <w:p>
            <w:pPr>
              <w:ind w:left="126"/>
              <w:jc w:val="center"/>
              <w:widowControl/>
              <w:rPr>
                <w:lang w:eastAsia="ru-RU"/>
              </w:rPr>
            </w:pPr>
            <w:r>
              <w:rPr>
                <w:lang w:eastAsia="ru-RU"/>
              </w:rPr>
              <w:t xml:space="preserve">Не менее 8</w:t>
            </w:r>
            <w:r>
              <w:rPr>
                <w:lang w:eastAsia="ru-RU"/>
              </w:rPr>
            </w:r>
            <w:r/>
          </w:p>
        </w:tc>
      </w:tr>
      <w:tr>
        <w:trPr/>
        <w:tc>
          <w:tcPr>
            <w:shd w:val="clear" w:color="ffffff" w:fill="ffffff"/>
            <w:tcBorders>
              <w:top w:val="single" w:color="000000" w:sz="6" w:space="0"/>
              <w:left w:val="single" w:color="000000" w:sz="6" w:space="0"/>
              <w:bottom w:val="single" w:color="000000" w:sz="6" w:space="0"/>
              <w:right w:val="single" w:color="000000" w:sz="6" w:space="0"/>
            </w:tcBorders>
            <w:tcW w:w="6946" w:type="dxa"/>
            <w:vAlign w:val="center"/>
            <w:vMerge w:val="continue"/>
            <w:textDirection w:val="lrTb"/>
            <w:noWrap w:val="false"/>
          </w:tcPr>
          <w:p>
            <w:pPr>
              <w:ind w:left="127"/>
              <w:widowControl/>
              <w:rPr>
                <w:lang w:eastAsia="ru-RU"/>
              </w:rPr>
            </w:pPr>
            <w:r>
              <w:rPr>
                <w:lang w:eastAsia="ru-RU"/>
              </w:rPr>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3544" w:type="dxa"/>
            <w:textDirection w:val="lrTb"/>
            <w:noWrap w:val="false"/>
          </w:tcPr>
          <w:p>
            <w:pPr>
              <w:ind w:firstLine="567"/>
              <w:widowControl/>
              <w:rPr>
                <w:lang w:eastAsia="ru-RU"/>
              </w:rPr>
            </w:pPr>
            <w:r>
              <w:rPr>
                <w:lang w:eastAsia="ru-RU"/>
              </w:rPr>
              <w:t xml:space="preserve">1000 обучающихся</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4536" w:type="dxa"/>
            <w:textDirection w:val="lrTb"/>
            <w:noWrap w:val="false"/>
          </w:tcPr>
          <w:p>
            <w:pPr>
              <w:ind w:left="126"/>
              <w:jc w:val="center"/>
              <w:widowControl/>
              <w:rPr>
                <w:lang w:eastAsia="ru-RU"/>
              </w:rPr>
            </w:pPr>
            <w:r>
              <w:rPr>
                <w:lang w:eastAsia="ru-RU"/>
              </w:rPr>
              <w:t xml:space="preserve">Не менее 15 для единовременной высадки</w:t>
            </w:r>
            <w:r>
              <w:rPr>
                <w:lang w:eastAsia="ru-RU"/>
              </w:rPr>
            </w:r>
            <w:r/>
          </w:p>
        </w:tc>
      </w:tr>
      <w:tr>
        <w:trPr/>
        <w:tc>
          <w:tcPr>
            <w:shd w:val="clear" w:color="ffffff" w:fill="ffffff"/>
            <w:tcBorders>
              <w:top w:val="single" w:color="000000" w:sz="6" w:space="0"/>
              <w:left w:val="single" w:color="000000" w:sz="6" w:space="0"/>
              <w:bottom w:val="single" w:color="000000" w:sz="6" w:space="0"/>
              <w:right w:val="single" w:color="000000" w:sz="6" w:space="0"/>
            </w:tcBorders>
            <w:tcW w:w="6946" w:type="dxa"/>
            <w:textDirection w:val="lrTb"/>
            <w:noWrap w:val="false"/>
          </w:tcPr>
          <w:p>
            <w:pPr>
              <w:ind w:left="127"/>
              <w:widowControl/>
              <w:rPr>
                <w:lang w:eastAsia="ru-RU"/>
              </w:rPr>
            </w:pPr>
            <w:r>
              <w:rPr>
                <w:lang w:eastAsia="ru-RU"/>
              </w:rPr>
              <w:t xml:space="preserve">Высшие и средние специальные учебные заведения</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3544" w:type="dxa"/>
            <w:textDirection w:val="lrTb"/>
            <w:noWrap w:val="false"/>
          </w:tcPr>
          <w:p>
            <w:pPr>
              <w:ind w:firstLine="567"/>
              <w:widowControl/>
              <w:rPr>
                <w:lang w:eastAsia="ru-RU"/>
              </w:rPr>
            </w:pPr>
            <w:r>
              <w:rPr>
                <w:lang w:eastAsia="ru-RU"/>
              </w:rPr>
              <w:t xml:space="preserve">м</w:t>
            </w:r>
            <w:r>
              <w:rPr>
                <w:vertAlign w:val="superscript"/>
                <w:lang w:eastAsia="ru-RU"/>
              </w:rPr>
              <w:t xml:space="preserve">2</w:t>
            </w:r>
            <w:r>
              <w:rPr>
                <w:lang w:eastAsia="ru-RU"/>
              </w:rPr>
              <w:t xml:space="preserve"> общей площади</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4536" w:type="dxa"/>
            <w:textDirection w:val="lrTb"/>
            <w:noWrap w:val="false"/>
          </w:tcPr>
          <w:p>
            <w:pPr>
              <w:ind w:left="126"/>
              <w:jc w:val="center"/>
              <w:widowControl/>
              <w:rPr>
                <w:lang w:eastAsia="ru-RU"/>
              </w:rPr>
            </w:pPr>
            <w:r>
              <w:rPr>
                <w:lang w:eastAsia="ru-RU"/>
              </w:rPr>
              <w:t xml:space="preserve">140</w:t>
            </w:r>
            <w:r>
              <w:rPr>
                <w:lang w:eastAsia="ru-RU"/>
              </w:rPr>
            </w:r>
            <w:r/>
          </w:p>
        </w:tc>
      </w:tr>
      <w:tr>
        <w:trPr/>
        <w:tc>
          <w:tcPr>
            <w:gridSpan w:val="3"/>
            <w:shd w:val="clear" w:color="ffffff" w:fill="dbdbdb" w:themeFill="accent3" w:themeFillTint="66"/>
            <w:tcBorders>
              <w:top w:val="single" w:color="000000" w:sz="6" w:space="0"/>
              <w:left w:val="single" w:color="000000" w:sz="6" w:space="0"/>
              <w:bottom w:val="single" w:color="000000" w:sz="6" w:space="0"/>
              <w:right w:val="single" w:color="000000" w:sz="6" w:space="0"/>
            </w:tcBorders>
            <w:tcW w:w="15026" w:type="dxa"/>
            <w:textDirection w:val="lrTb"/>
            <w:noWrap w:val="false"/>
          </w:tcPr>
          <w:p>
            <w:pPr>
              <w:ind w:left="126"/>
              <w:jc w:val="center"/>
              <w:widowControl/>
              <w:rPr>
                <w:lang w:eastAsia="ru-RU"/>
              </w:rPr>
            </w:pPr>
            <w:r>
              <w:rPr>
                <w:lang w:eastAsia="ru-RU"/>
              </w:rPr>
              <w:t xml:space="preserve">Медицинские организации</w:t>
            </w:r>
            <w:r>
              <w:rPr>
                <w:lang w:eastAsia="ru-RU"/>
              </w:rPr>
            </w:r>
            <w:r/>
          </w:p>
        </w:tc>
      </w:tr>
      <w:tr>
        <w:trPr/>
        <w:tc>
          <w:tcPr>
            <w:shd w:val="clear" w:color="ffffff" w:fill="ffffff"/>
            <w:tcBorders>
              <w:top w:val="single" w:color="000000" w:sz="6" w:space="0"/>
              <w:left w:val="single" w:color="000000" w:sz="6" w:space="0"/>
              <w:bottom w:val="single" w:color="000000" w:sz="6" w:space="0"/>
              <w:right w:val="single" w:color="000000" w:sz="6" w:space="0"/>
            </w:tcBorders>
            <w:tcW w:w="6946" w:type="dxa"/>
            <w:textDirection w:val="lrTb"/>
            <w:noWrap w:val="false"/>
          </w:tcPr>
          <w:p>
            <w:pPr>
              <w:ind w:left="127"/>
              <w:widowControl/>
              <w:rPr>
                <w:lang w:eastAsia="ru-RU"/>
              </w:rPr>
            </w:pPr>
            <w:r>
              <w:rPr>
                <w:lang w:eastAsia="ru-RU"/>
              </w:rPr>
              <w:t xml:space="preserve">Больницы</w:t>
            </w:r>
            <w:r>
              <w:rPr>
                <w:lang w:eastAsia="ru-RU"/>
              </w:rPr>
            </w:r>
            <w:r/>
          </w:p>
        </w:tc>
        <w:tc>
          <w:tcPr>
            <w:gridSpan w:val="2"/>
            <w:shd w:val="clear" w:color="ffffff" w:fill="ffffff"/>
            <w:tcBorders>
              <w:top w:val="single" w:color="000000" w:sz="6" w:space="0"/>
              <w:left w:val="single" w:color="000000" w:sz="6" w:space="0"/>
              <w:bottom w:val="single" w:color="000000" w:sz="6" w:space="0"/>
              <w:right w:val="single" w:color="000000" w:sz="6" w:space="0"/>
            </w:tcBorders>
            <w:tcW w:w="8080" w:type="dxa"/>
            <w:textDirection w:val="lrTb"/>
            <w:noWrap w:val="false"/>
          </w:tcPr>
          <w:p>
            <w:pPr>
              <w:ind w:firstLine="567"/>
              <w:jc w:val="center"/>
              <w:widowControl/>
              <w:rPr>
                <w:lang w:eastAsia="ru-RU"/>
              </w:rPr>
            </w:pPr>
            <w:r>
              <w:rPr>
                <w:lang w:eastAsia="ru-RU"/>
              </w:rPr>
              <w:t xml:space="preserve">Принимать в соответствии с заданием на проектирование</w:t>
            </w:r>
            <w:r>
              <w:rPr>
                <w:lang w:eastAsia="ru-RU"/>
              </w:rPr>
            </w:r>
            <w:r/>
          </w:p>
        </w:tc>
      </w:tr>
      <w:tr>
        <w:trPr/>
        <w:tc>
          <w:tcPr>
            <w:shd w:val="clear" w:color="ffffff" w:fill="ffffff"/>
            <w:tcBorders>
              <w:top w:val="single" w:color="000000" w:sz="6" w:space="0"/>
              <w:left w:val="single" w:color="000000" w:sz="6" w:space="0"/>
              <w:bottom w:val="single" w:color="000000" w:sz="6" w:space="0"/>
              <w:right w:val="single" w:color="000000" w:sz="6" w:space="0"/>
            </w:tcBorders>
            <w:tcW w:w="6946" w:type="dxa"/>
            <w:textDirection w:val="lrTb"/>
            <w:noWrap w:val="false"/>
          </w:tcPr>
          <w:p>
            <w:pPr>
              <w:ind w:left="127"/>
              <w:widowControl/>
              <w:rPr>
                <w:lang w:eastAsia="ru-RU"/>
              </w:rPr>
            </w:pPr>
            <w:r>
              <w:rPr>
                <w:lang w:eastAsia="ru-RU"/>
              </w:rPr>
              <w:t xml:space="preserve">Поликлиники</w:t>
            </w:r>
            <w:r>
              <w:rPr>
                <w:lang w:eastAsia="ru-RU"/>
              </w:rPr>
            </w:r>
            <w:r/>
          </w:p>
        </w:tc>
        <w:tc>
          <w:tcPr>
            <w:gridSpan w:val="2"/>
            <w:shd w:val="clear" w:color="ffffff" w:fill="ffffff"/>
            <w:tcBorders>
              <w:top w:val="single" w:color="000000" w:sz="6" w:space="0"/>
              <w:left w:val="single" w:color="000000" w:sz="6" w:space="0"/>
              <w:bottom w:val="single" w:color="000000" w:sz="6" w:space="0"/>
              <w:right w:val="single" w:color="000000" w:sz="6" w:space="0"/>
            </w:tcBorders>
            <w:tcW w:w="8080" w:type="dxa"/>
            <w:textDirection w:val="lrTb"/>
            <w:noWrap w:val="false"/>
          </w:tcPr>
          <w:p>
            <w:pPr>
              <w:ind w:firstLine="567"/>
              <w:jc w:val="center"/>
              <w:widowControl/>
              <w:rPr>
                <w:lang w:eastAsia="ru-RU"/>
              </w:rPr>
            </w:pPr>
            <w:r>
              <w:rPr>
                <w:lang w:eastAsia="ru-RU"/>
              </w:rPr>
              <w:t xml:space="preserve">Принимать в соответствии с заданием на проектирование</w:t>
            </w:r>
            <w:r>
              <w:rPr>
                <w:lang w:eastAsia="ru-RU"/>
              </w:rPr>
            </w:r>
            <w:r/>
          </w:p>
        </w:tc>
      </w:tr>
      <w:tr>
        <w:trPr/>
        <w:tc>
          <w:tcPr>
            <w:gridSpan w:val="3"/>
            <w:shd w:val="clear" w:color="ffffff" w:fill="dbdbdb" w:themeFill="accent3" w:themeFillTint="66"/>
            <w:tcBorders>
              <w:top w:val="single" w:color="000000" w:sz="6" w:space="0"/>
              <w:left w:val="single" w:color="000000" w:sz="6" w:space="0"/>
              <w:bottom w:val="single" w:color="000000" w:sz="6" w:space="0"/>
              <w:right w:val="single" w:color="000000" w:sz="6" w:space="0"/>
            </w:tcBorders>
            <w:tcW w:w="15026" w:type="dxa"/>
            <w:textDirection w:val="lrTb"/>
            <w:noWrap w:val="false"/>
          </w:tcPr>
          <w:p>
            <w:pPr>
              <w:ind w:left="126"/>
              <w:jc w:val="center"/>
              <w:widowControl/>
              <w:rPr>
                <w:lang w:eastAsia="ru-RU"/>
              </w:rPr>
            </w:pPr>
            <w:r>
              <w:rPr>
                <w:lang w:eastAsia="ru-RU"/>
              </w:rPr>
              <w:t xml:space="preserve">Спортивные объекты</w:t>
            </w:r>
            <w:r>
              <w:rPr>
                <w:lang w:eastAsia="ru-RU"/>
              </w:rPr>
            </w:r>
            <w:r/>
          </w:p>
        </w:tc>
      </w:tr>
      <w:tr>
        <w:trPr>
          <w:trHeight w:val="442"/>
        </w:trPr>
        <w:tc>
          <w:tcPr>
            <w:shd w:val="clear" w:color="ffffff" w:fill="ffffff"/>
            <w:tcBorders>
              <w:top w:val="single" w:color="000000" w:sz="6" w:space="0"/>
              <w:left w:val="single" w:color="000000" w:sz="6" w:space="0"/>
              <w:right w:val="single" w:color="000000" w:sz="6" w:space="0"/>
            </w:tcBorders>
            <w:tcW w:w="6946" w:type="dxa"/>
            <w:textDirection w:val="lrTb"/>
            <w:noWrap w:val="false"/>
          </w:tcPr>
          <w:p>
            <w:pPr>
              <w:ind w:left="127"/>
              <w:widowControl/>
            </w:pPr>
            <w:r>
              <w:rPr>
                <w:lang w:eastAsia="ru-RU"/>
              </w:rPr>
              <w:t xml:space="preserve">Спортивные объекты с местами для зрителей</w:t>
            </w:r>
            <w:r>
              <w:rPr>
                <w:lang w:eastAsia="ru-RU"/>
              </w:rPr>
            </w:r>
            <w:r/>
          </w:p>
          <w:p>
            <w:pPr>
              <w:ind w:left="127"/>
              <w:widowControl/>
              <w:rPr>
                <w:lang w:eastAsia="ru-RU"/>
              </w:rPr>
            </w:pPr>
            <w:r>
              <w:rPr>
                <w:lang w:eastAsia="ru-RU"/>
              </w:rPr>
              <w:t xml:space="preserve"> </w:t>
            </w:r>
            <w:r>
              <w:rPr>
                <w:lang w:eastAsia="ru-RU"/>
              </w:rPr>
            </w:r>
            <w:r/>
          </w:p>
        </w:tc>
        <w:tc>
          <w:tcPr>
            <w:shd w:val="clear" w:color="ffffff" w:fill="ffffff"/>
            <w:tcBorders>
              <w:top w:val="single" w:color="000000" w:sz="6" w:space="0"/>
              <w:left w:val="single" w:color="000000" w:sz="6" w:space="0"/>
              <w:right w:val="single" w:color="000000" w:sz="6" w:space="0"/>
            </w:tcBorders>
            <w:tcW w:w="3544" w:type="dxa"/>
            <w:textDirection w:val="lrTb"/>
            <w:noWrap w:val="false"/>
          </w:tcPr>
          <w:p>
            <w:pPr>
              <w:ind w:firstLine="567"/>
              <w:widowControl/>
            </w:pPr>
            <w:r>
              <w:rPr>
                <w:lang w:eastAsia="ru-RU"/>
              </w:rPr>
              <w:t xml:space="preserve">25 мест для зрителей</w:t>
            </w:r>
            <w:r>
              <w:rPr>
                <w:lang w:eastAsia="ru-RU"/>
              </w:rPr>
            </w:r>
            <w:r/>
          </w:p>
          <w:p>
            <w:pPr>
              <w:ind w:firstLine="567"/>
              <w:widowControl/>
              <w:rPr>
                <w:lang w:eastAsia="ru-RU"/>
              </w:rPr>
            </w:pPr>
            <w:r>
              <w:rPr>
                <w:lang w:eastAsia="ru-RU"/>
              </w:rPr>
              <w:t xml:space="preserve"> </w:t>
            </w:r>
            <w:r>
              <w:rPr>
                <w:lang w:eastAsia="ru-RU"/>
              </w:rPr>
            </w:r>
            <w:r/>
          </w:p>
        </w:tc>
        <w:tc>
          <w:tcPr>
            <w:shd w:val="clear" w:color="ffffff" w:fill="ffffff"/>
            <w:tcBorders>
              <w:top w:val="single" w:color="000000" w:sz="6" w:space="0"/>
              <w:left w:val="single" w:color="000000" w:sz="6" w:space="0"/>
              <w:right w:val="single" w:color="000000" w:sz="6" w:space="0"/>
            </w:tcBorders>
            <w:tcW w:w="4536" w:type="dxa"/>
            <w:textDirection w:val="lrTb"/>
            <w:noWrap w:val="false"/>
          </w:tcPr>
          <w:p>
            <w:pPr>
              <w:ind w:left="126"/>
              <w:jc w:val="center"/>
              <w:widowControl/>
            </w:pPr>
            <w:r>
              <w:rPr>
                <w:lang w:eastAsia="ru-RU"/>
              </w:rPr>
              <w:t xml:space="preserve">1</w:t>
            </w:r>
            <w:r>
              <w:rPr>
                <w:lang w:eastAsia="ru-RU"/>
              </w:rPr>
            </w:r>
            <w:r/>
          </w:p>
          <w:p>
            <w:pPr>
              <w:ind w:left="126"/>
              <w:jc w:val="center"/>
              <w:widowControl/>
              <w:rPr>
                <w:lang w:eastAsia="ru-RU"/>
              </w:rPr>
            </w:pPr>
            <w:r>
              <w:rPr>
                <w:lang w:eastAsia="ru-RU"/>
              </w:rPr>
              <w:t xml:space="preserve">+25 машино-мест на 100работающих</w:t>
            </w:r>
            <w:r>
              <w:rPr>
                <w:lang w:eastAsia="ru-RU"/>
              </w:rPr>
            </w:r>
            <w:r/>
          </w:p>
        </w:tc>
      </w:tr>
      <w:tr>
        <w:trPr/>
        <w:tc>
          <w:tcPr>
            <w:shd w:val="clear" w:color="ffffff" w:fill="ffffff"/>
            <w:tcBorders>
              <w:top w:val="single" w:color="000000" w:sz="6" w:space="0"/>
              <w:left w:val="single" w:color="000000" w:sz="6" w:space="0"/>
              <w:bottom w:val="single" w:color="000000" w:sz="6" w:space="0"/>
              <w:right w:val="single" w:color="000000" w:sz="6" w:space="0"/>
            </w:tcBorders>
            <w:tcW w:w="6946" w:type="dxa"/>
            <w:textDirection w:val="lrTb"/>
            <w:noWrap w:val="false"/>
          </w:tcPr>
          <w:p>
            <w:pPr>
              <w:ind w:left="127"/>
              <w:widowControl/>
              <w:rPr>
                <w:lang w:eastAsia="ru-RU"/>
              </w:rPr>
            </w:pPr>
            <w:r>
              <w:rPr>
                <w:lang w:eastAsia="ru-RU"/>
              </w:rPr>
              <w:t xml:space="preserve">Спортивные тренировочные залы, спортклубы, спорткомплексы (теннис, конный спорт, горнолыжные центры)</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3544" w:type="dxa"/>
            <w:textDirection w:val="lrTb"/>
            <w:noWrap w:val="false"/>
          </w:tcPr>
          <w:p>
            <w:pPr>
              <w:ind w:left="127"/>
              <w:widowControl/>
            </w:pPr>
            <w:r>
              <w:rPr>
                <w:lang w:eastAsia="ru-RU"/>
              </w:rPr>
              <w:t xml:space="preserve">35 м</w:t>
            </w:r>
            <w:r>
              <w:rPr>
                <w:vertAlign w:val="superscript"/>
                <w:lang w:eastAsia="ru-RU"/>
              </w:rPr>
              <w:t xml:space="preserve">2</w:t>
            </w:r>
            <w:r>
              <w:rPr>
                <w:lang w:eastAsia="ru-RU"/>
              </w:rPr>
              <w:t xml:space="preserve"> общей площади до 1000 м</w:t>
            </w:r>
            <w:r>
              <w:rPr>
                <w:vertAlign w:val="superscript"/>
                <w:lang w:eastAsia="ru-RU"/>
              </w:rPr>
              <w:t xml:space="preserve">2</w:t>
            </w:r>
            <w:r>
              <w:rPr>
                <w:lang w:eastAsia="ru-RU"/>
              </w:rPr>
              <w:t xml:space="preserve">/</w:t>
            </w:r>
            <w:r>
              <w:rPr>
                <w:lang w:eastAsia="ru-RU"/>
              </w:rPr>
            </w:r>
            <w:r/>
          </w:p>
          <w:p>
            <w:pPr>
              <w:ind w:left="127"/>
              <w:widowControl/>
              <w:rPr>
                <w:lang w:eastAsia="ru-RU"/>
              </w:rPr>
            </w:pPr>
            <w:r>
              <w:rPr>
                <w:lang w:eastAsia="ru-RU"/>
              </w:rPr>
              <w:t xml:space="preserve">50 м</w:t>
            </w:r>
            <w:r>
              <w:rPr>
                <w:vertAlign w:val="superscript"/>
                <w:lang w:eastAsia="ru-RU"/>
              </w:rPr>
              <w:t xml:space="preserve">2</w:t>
            </w:r>
            <w:r>
              <w:rPr>
                <w:lang w:eastAsia="ru-RU"/>
              </w:rPr>
              <w:t xml:space="preserve"> общей площади более 1000 м</w:t>
            </w:r>
            <w:r>
              <w:rPr>
                <w:vertAlign w:val="superscript"/>
                <w:lang w:eastAsia="ru-RU"/>
              </w:rPr>
              <w:t xml:space="preserve">2</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4536" w:type="dxa"/>
            <w:textDirection w:val="lrTb"/>
            <w:noWrap w:val="false"/>
          </w:tcPr>
          <w:p>
            <w:pPr>
              <w:ind w:left="126"/>
              <w:jc w:val="center"/>
              <w:widowControl/>
            </w:pPr>
            <w:r>
              <w:rPr>
                <w:lang w:eastAsia="ru-RU"/>
              </w:rPr>
              <w:t xml:space="preserve">1</w:t>
            </w:r>
            <w:r>
              <w:rPr>
                <w:lang w:eastAsia="ru-RU"/>
              </w:rPr>
            </w:r>
            <w:r/>
          </w:p>
          <w:p>
            <w:pPr>
              <w:ind w:left="126"/>
              <w:jc w:val="center"/>
              <w:widowControl/>
            </w:pPr>
            <w:r>
              <w:rPr>
                <w:lang w:eastAsia="ru-RU"/>
              </w:rPr>
              <w:t xml:space="preserve">Но не менее 25</w:t>
            </w:r>
            <w:r>
              <w:rPr>
                <w:lang w:eastAsia="ru-RU"/>
              </w:rPr>
            </w:r>
            <w:r/>
          </w:p>
          <w:p>
            <w:pPr>
              <w:ind w:left="126"/>
              <w:jc w:val="center"/>
              <w:widowControl/>
              <w:rPr>
                <w:lang w:eastAsia="ru-RU"/>
              </w:rPr>
            </w:pPr>
            <w:r>
              <w:rPr>
                <w:lang w:eastAsia="ru-RU"/>
              </w:rPr>
              <w:t xml:space="preserve">машино-мест на объект</w:t>
            </w:r>
            <w:r>
              <w:rPr>
                <w:lang w:eastAsia="ru-RU"/>
              </w:rPr>
            </w:r>
            <w:r/>
          </w:p>
        </w:tc>
      </w:tr>
      <w:tr>
        <w:trPr/>
        <w:tc>
          <w:tcPr>
            <w:gridSpan w:val="3"/>
            <w:shd w:val="clear" w:color="ffffff" w:fill="dbdbdb" w:themeFill="accent3" w:themeFillTint="66"/>
            <w:tcBorders>
              <w:top w:val="single" w:color="000000" w:sz="6" w:space="0"/>
              <w:left w:val="single" w:color="000000" w:sz="6" w:space="0"/>
              <w:bottom w:val="single" w:color="000000" w:sz="6" w:space="0"/>
              <w:right w:val="single" w:color="000000" w:sz="6" w:space="0"/>
            </w:tcBorders>
            <w:tcW w:w="15026" w:type="dxa"/>
            <w:textDirection w:val="lrTb"/>
            <w:noWrap w:val="false"/>
          </w:tcPr>
          <w:p>
            <w:pPr>
              <w:ind w:left="126"/>
              <w:jc w:val="center"/>
              <w:widowControl/>
              <w:rPr>
                <w:lang w:eastAsia="ru-RU"/>
              </w:rPr>
            </w:pPr>
            <w:r>
              <w:rPr>
                <w:lang w:eastAsia="ru-RU"/>
              </w:rPr>
              <w:t xml:space="preserve">Учреждения культуры</w:t>
            </w:r>
            <w:r>
              <w:rPr>
                <w:lang w:eastAsia="ru-RU"/>
              </w:rPr>
            </w:r>
            <w:r/>
          </w:p>
        </w:tc>
      </w:tr>
      <w:tr>
        <w:trPr/>
        <w:tc>
          <w:tcPr>
            <w:shd w:val="clear" w:color="ffffff" w:fill="ffffff"/>
            <w:tcBorders>
              <w:top w:val="single" w:color="000000" w:sz="6" w:space="0"/>
              <w:left w:val="single" w:color="000000" w:sz="6" w:space="0"/>
              <w:bottom w:val="single" w:color="000000" w:sz="6" w:space="0"/>
              <w:right w:val="single" w:color="000000" w:sz="6" w:space="0"/>
            </w:tcBorders>
            <w:tcW w:w="6946" w:type="dxa"/>
            <w:textDirection w:val="lrTb"/>
            <w:noWrap w:val="false"/>
          </w:tcPr>
          <w:p>
            <w:pPr>
              <w:ind w:left="127"/>
              <w:widowControl/>
              <w:rPr>
                <w:lang w:eastAsia="ru-RU"/>
              </w:rPr>
            </w:pPr>
            <w:r>
              <w:rPr>
                <w:lang w:eastAsia="ru-RU"/>
              </w:rPr>
              <w:t xml:space="preserve">Театры, цирки, кинотеатры, концертные залы, музеи, выставки</w:t>
            </w:r>
            <w:r>
              <w:rPr>
                <w:lang w:eastAsia="ru-RU"/>
              </w:rPr>
            </w:r>
            <w:r/>
          </w:p>
        </w:tc>
        <w:tc>
          <w:tcPr>
            <w:gridSpan w:val="2"/>
            <w:shd w:val="clear" w:color="ffffff" w:fill="ffffff"/>
            <w:tcBorders>
              <w:top w:val="single" w:color="000000" w:sz="6" w:space="0"/>
              <w:left w:val="single" w:color="000000" w:sz="6" w:space="0"/>
              <w:bottom w:val="single" w:color="000000" w:sz="6" w:space="0"/>
              <w:right w:val="single" w:color="000000" w:sz="6" w:space="0"/>
            </w:tcBorders>
            <w:tcW w:w="8080" w:type="dxa"/>
            <w:textDirection w:val="lrTb"/>
            <w:noWrap w:val="false"/>
          </w:tcPr>
          <w:p>
            <w:pPr>
              <w:ind w:firstLine="567"/>
              <w:jc w:val="center"/>
              <w:widowControl/>
              <w:rPr>
                <w:lang w:eastAsia="ru-RU"/>
              </w:rPr>
            </w:pPr>
            <w:r>
              <w:rPr>
                <w:lang w:eastAsia="ru-RU"/>
              </w:rPr>
              <w:t xml:space="preserve">Принимать в соответствии с заданием на проектирование</w:t>
            </w:r>
            <w:r>
              <w:rPr>
                <w:lang w:eastAsia="ru-RU"/>
              </w:rPr>
            </w:r>
            <w:r/>
          </w:p>
        </w:tc>
      </w:tr>
      <w:tr>
        <w:trPr/>
        <w:tc>
          <w:tcPr>
            <w:shd w:val="clear" w:color="ffffff" w:fill="ffffff"/>
            <w:tcBorders>
              <w:top w:val="single" w:color="000000" w:sz="6" w:space="0"/>
              <w:left w:val="single" w:color="000000" w:sz="6" w:space="0"/>
              <w:bottom w:val="single" w:color="000000" w:sz="6" w:space="0"/>
              <w:right w:val="single" w:color="000000" w:sz="6" w:space="0"/>
            </w:tcBorders>
            <w:tcW w:w="6946" w:type="dxa"/>
            <w:textDirection w:val="lrTb"/>
            <w:noWrap w:val="false"/>
          </w:tcPr>
          <w:p>
            <w:pPr>
              <w:ind w:left="127"/>
              <w:widowControl/>
              <w:rPr>
                <w:lang w:eastAsia="ru-RU"/>
              </w:rPr>
            </w:pPr>
            <w:r>
              <w:rPr>
                <w:lang w:eastAsia="ru-RU"/>
              </w:rPr>
              <w:t xml:space="preserve">Дома культуры, клубы, танцевальные залы</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3544" w:type="dxa"/>
            <w:textDirection w:val="lrTb"/>
            <w:noWrap w:val="false"/>
          </w:tcPr>
          <w:p>
            <w:pPr>
              <w:ind w:firstLine="567"/>
              <w:widowControl/>
              <w:rPr>
                <w:lang w:eastAsia="ru-RU"/>
              </w:rPr>
            </w:pPr>
            <w:r>
              <w:rPr>
                <w:lang w:eastAsia="ru-RU"/>
              </w:rPr>
              <w:t xml:space="preserve">6 единовременных посетителей</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4536" w:type="dxa"/>
            <w:textDirection w:val="lrTb"/>
            <w:noWrap w:val="false"/>
          </w:tcPr>
          <w:p>
            <w:pPr>
              <w:ind w:left="126"/>
              <w:jc w:val="center"/>
              <w:widowControl/>
              <w:rPr>
                <w:lang w:eastAsia="ru-RU"/>
              </w:rPr>
            </w:pPr>
            <w:r>
              <w:rPr>
                <w:lang w:eastAsia="ru-RU"/>
              </w:rPr>
              <w:t xml:space="preserve">1</w:t>
            </w:r>
            <w:r>
              <w:rPr>
                <w:lang w:eastAsia="ru-RU"/>
              </w:rPr>
            </w:r>
            <w:r/>
          </w:p>
        </w:tc>
      </w:tr>
      <w:tr>
        <w:trPr/>
        <w:tc>
          <w:tcPr>
            <w:shd w:val="clear" w:color="ffffff" w:fill="ffffff"/>
            <w:tcBorders>
              <w:top w:val="single" w:color="000000" w:sz="6" w:space="0"/>
              <w:left w:val="single" w:color="000000" w:sz="6" w:space="0"/>
              <w:bottom w:val="single" w:color="000000" w:sz="6" w:space="0"/>
              <w:right w:val="single" w:color="000000" w:sz="6" w:space="0"/>
            </w:tcBorders>
            <w:tcW w:w="6946" w:type="dxa"/>
            <w:textDirection w:val="lrTb"/>
            <w:noWrap w:val="false"/>
          </w:tcPr>
          <w:p>
            <w:pPr>
              <w:ind w:left="127"/>
              <w:widowControl/>
              <w:rPr>
                <w:lang w:eastAsia="ru-RU"/>
              </w:rPr>
            </w:pPr>
            <w:r>
              <w:rPr>
                <w:lang w:eastAsia="ru-RU"/>
              </w:rPr>
              <w:t xml:space="preserve">Парки культуры и отдыха</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3544" w:type="dxa"/>
            <w:textDirection w:val="lrTb"/>
            <w:noWrap w:val="false"/>
          </w:tcPr>
          <w:p>
            <w:pPr>
              <w:ind w:left="127"/>
              <w:widowControl/>
              <w:rPr>
                <w:lang w:eastAsia="ru-RU"/>
              </w:rPr>
            </w:pPr>
            <w:r>
              <w:rPr>
                <w:lang w:eastAsia="ru-RU"/>
              </w:rPr>
              <w:t xml:space="preserve">100 единовременных посетителей</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4536" w:type="dxa"/>
            <w:textDirection w:val="lrTb"/>
            <w:noWrap w:val="false"/>
          </w:tcPr>
          <w:p>
            <w:pPr>
              <w:ind w:left="126"/>
              <w:jc w:val="center"/>
              <w:widowControl/>
              <w:rPr>
                <w:lang w:eastAsia="ru-RU"/>
              </w:rPr>
            </w:pPr>
            <w:r>
              <w:rPr>
                <w:lang w:eastAsia="ru-RU"/>
              </w:rPr>
              <w:t xml:space="preserve">20</w:t>
            </w:r>
            <w:r>
              <w:rPr>
                <w:lang w:eastAsia="ru-RU"/>
              </w:rPr>
            </w:r>
            <w:r/>
          </w:p>
        </w:tc>
      </w:tr>
      <w:tr>
        <w:trPr/>
        <w:tc>
          <w:tcPr>
            <w:gridSpan w:val="3"/>
            <w:shd w:val="clear" w:color="ffffff" w:fill="dbdbdb" w:themeFill="accent3" w:themeFillTint="66"/>
            <w:tcBorders>
              <w:top w:val="single" w:color="000000" w:sz="6" w:space="0"/>
              <w:left w:val="single" w:color="000000" w:sz="6" w:space="0"/>
              <w:bottom w:val="single" w:color="000000" w:sz="6" w:space="0"/>
              <w:right w:val="single" w:color="000000" w:sz="6" w:space="0"/>
            </w:tcBorders>
            <w:tcW w:w="15026" w:type="dxa"/>
            <w:textDirection w:val="lrTb"/>
            <w:noWrap w:val="false"/>
          </w:tcPr>
          <w:p>
            <w:pPr>
              <w:ind w:left="126"/>
              <w:jc w:val="center"/>
              <w:widowControl/>
              <w:rPr>
                <w:lang w:eastAsia="ru-RU"/>
              </w:rPr>
            </w:pPr>
            <w:r>
              <w:rPr>
                <w:lang w:eastAsia="ru-RU"/>
              </w:rPr>
              <w:t xml:space="preserve">Торговые объекты</w:t>
            </w:r>
            <w:r>
              <w:rPr>
                <w:lang w:eastAsia="ru-RU"/>
              </w:rPr>
            </w:r>
            <w:r/>
          </w:p>
        </w:tc>
      </w:tr>
      <w:tr>
        <w:trPr/>
        <w:tc>
          <w:tcPr>
            <w:shd w:val="clear" w:color="ffffff" w:fill="ffffff"/>
            <w:tcBorders>
              <w:top w:val="single" w:color="000000" w:sz="6" w:space="0"/>
              <w:left w:val="single" w:color="000000" w:sz="6" w:space="0"/>
              <w:bottom w:val="single" w:color="000000" w:sz="6" w:space="0"/>
              <w:right w:val="single" w:color="000000" w:sz="6" w:space="0"/>
            </w:tcBorders>
            <w:tcW w:w="6946" w:type="dxa"/>
            <w:textDirection w:val="lrTb"/>
            <w:noWrap w:val="false"/>
          </w:tcPr>
          <w:p>
            <w:pPr>
              <w:ind w:left="127"/>
              <w:widowControl/>
              <w:rPr>
                <w:lang w:eastAsia="ru-RU"/>
              </w:rPr>
            </w:pPr>
            <w:r>
              <w:rPr>
                <w:lang w:eastAsia="ru-RU"/>
              </w:rPr>
              <w:t xml:space="preserve">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магазины-с</w:t>
            </w:r>
            <w:r>
              <w:rPr>
                <w:lang w:eastAsia="ru-RU"/>
              </w:rPr>
              <w:t xml:space="preserve">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3544" w:type="dxa"/>
            <w:textDirection w:val="lrTb"/>
            <w:noWrap w:val="false"/>
          </w:tcPr>
          <w:p>
            <w:pPr>
              <w:ind w:firstLine="567"/>
              <w:widowControl/>
              <w:rPr>
                <w:lang w:eastAsia="ru-RU"/>
              </w:rPr>
            </w:pPr>
            <w:r>
              <w:rPr>
                <w:lang w:eastAsia="ru-RU"/>
              </w:rPr>
              <w:t xml:space="preserve">50 м</w:t>
            </w:r>
            <w:r>
              <w:rPr>
                <w:vertAlign w:val="superscript"/>
                <w:lang w:eastAsia="ru-RU"/>
              </w:rPr>
              <w:t xml:space="preserve">2</w:t>
            </w:r>
            <w:r>
              <w:rPr>
                <w:lang w:eastAsia="ru-RU"/>
              </w:rPr>
              <w:t xml:space="preserve"> общей площади</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4536" w:type="dxa"/>
            <w:textDirection w:val="lrTb"/>
            <w:noWrap w:val="false"/>
          </w:tcPr>
          <w:p>
            <w:pPr>
              <w:ind w:left="126"/>
              <w:jc w:val="center"/>
              <w:widowControl/>
              <w:rPr>
                <w:lang w:eastAsia="ru-RU"/>
              </w:rPr>
            </w:pPr>
            <w:r>
              <w:rPr>
                <w:lang w:eastAsia="ru-RU"/>
              </w:rPr>
              <w:t xml:space="preserve">1</w:t>
            </w:r>
            <w:r>
              <w:rPr>
                <w:lang w:eastAsia="ru-RU"/>
              </w:rPr>
            </w:r>
            <w:r/>
          </w:p>
        </w:tc>
      </w:tr>
      <w:tr>
        <w:trPr/>
        <w:tc>
          <w:tcPr>
            <w:gridSpan w:val="3"/>
            <w:shd w:val="clear" w:color="ffffff" w:fill="dbdbdb" w:themeFill="accent3" w:themeFillTint="66"/>
            <w:tcBorders>
              <w:top w:val="single" w:color="000000" w:sz="6" w:space="0"/>
              <w:left w:val="single" w:color="000000" w:sz="6" w:space="0"/>
              <w:bottom w:val="single" w:color="000000" w:sz="6" w:space="0"/>
              <w:right w:val="single" w:color="000000" w:sz="6" w:space="0"/>
            </w:tcBorders>
            <w:tcW w:w="15026" w:type="dxa"/>
            <w:textDirection w:val="lrTb"/>
            <w:noWrap w:val="false"/>
          </w:tcPr>
          <w:p>
            <w:pPr>
              <w:ind w:left="126"/>
              <w:jc w:val="center"/>
              <w:widowControl/>
              <w:rPr>
                <w:lang w:eastAsia="ru-RU"/>
              </w:rPr>
            </w:pPr>
            <w:r>
              <w:rPr>
                <w:lang w:eastAsia="ru-RU"/>
              </w:rPr>
              <w:t xml:space="preserve">Объекты общественного питания</w:t>
            </w:r>
            <w:r>
              <w:rPr>
                <w:lang w:eastAsia="ru-RU"/>
              </w:rPr>
            </w:r>
            <w:r/>
          </w:p>
        </w:tc>
      </w:tr>
      <w:tr>
        <w:trPr/>
        <w:tc>
          <w:tcPr>
            <w:shd w:val="clear" w:color="ffffff" w:fill="ffffff"/>
            <w:tcBorders>
              <w:top w:val="single" w:color="000000" w:sz="6" w:space="0"/>
              <w:left w:val="single" w:color="000000" w:sz="6" w:space="0"/>
              <w:bottom w:val="single" w:color="000000" w:sz="6" w:space="0"/>
              <w:right w:val="single" w:color="000000" w:sz="6" w:space="0"/>
            </w:tcBorders>
            <w:tcW w:w="6946" w:type="dxa"/>
            <w:textDirection w:val="lrTb"/>
            <w:noWrap w:val="false"/>
          </w:tcPr>
          <w:p>
            <w:pPr>
              <w:ind w:left="127"/>
              <w:widowControl/>
              <w:rPr>
                <w:lang w:eastAsia="ru-RU"/>
              </w:rPr>
            </w:pPr>
            <w:r>
              <w:rPr>
                <w:lang w:eastAsia="ru-RU"/>
              </w:rPr>
              <w:t xml:space="preserve">Рестораны и кафе, клубы</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3544" w:type="dxa"/>
            <w:textDirection w:val="lrTb"/>
            <w:noWrap w:val="false"/>
          </w:tcPr>
          <w:p>
            <w:pPr>
              <w:ind w:firstLine="567"/>
              <w:widowControl/>
              <w:rPr>
                <w:lang w:eastAsia="ru-RU"/>
              </w:rPr>
            </w:pPr>
            <w:r>
              <w:rPr>
                <w:lang w:eastAsia="ru-RU"/>
              </w:rPr>
              <w:t xml:space="preserve">5 посадочных места</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4536" w:type="dxa"/>
            <w:textDirection w:val="lrTb"/>
            <w:noWrap w:val="false"/>
          </w:tcPr>
          <w:p>
            <w:pPr>
              <w:ind w:left="126"/>
              <w:jc w:val="center"/>
              <w:widowControl/>
              <w:rPr>
                <w:lang w:eastAsia="ru-RU"/>
              </w:rPr>
            </w:pPr>
            <w:r>
              <w:rPr>
                <w:lang w:eastAsia="ru-RU"/>
              </w:rPr>
              <w:t xml:space="preserve">1</w:t>
            </w:r>
            <w:r>
              <w:rPr>
                <w:lang w:eastAsia="ru-RU"/>
              </w:rPr>
            </w:r>
            <w:r/>
          </w:p>
        </w:tc>
      </w:tr>
      <w:tr>
        <w:trPr/>
        <w:tc>
          <w:tcPr>
            <w:gridSpan w:val="3"/>
            <w:shd w:val="clear" w:color="ffffff" w:fill="dbdbdb" w:themeFill="accent3" w:themeFillTint="66"/>
            <w:tcBorders>
              <w:top w:val="single" w:color="000000" w:sz="6" w:space="0"/>
              <w:left w:val="single" w:color="000000" w:sz="6" w:space="0"/>
              <w:bottom w:val="single" w:color="000000" w:sz="6" w:space="0"/>
              <w:right w:val="single" w:color="000000" w:sz="6" w:space="0"/>
            </w:tcBorders>
            <w:tcW w:w="15026" w:type="dxa"/>
            <w:textDirection w:val="lrTb"/>
            <w:noWrap w:val="false"/>
          </w:tcPr>
          <w:p>
            <w:pPr>
              <w:ind w:left="126"/>
              <w:jc w:val="center"/>
              <w:widowControl/>
              <w:rPr>
                <w:lang w:eastAsia="ru-RU"/>
              </w:rPr>
            </w:pPr>
            <w:r>
              <w:rPr>
                <w:lang w:eastAsia="ru-RU"/>
              </w:rPr>
              <w:t xml:space="preserve">Средства размещения (объекты гостиничного обслуживания и объекты отдыха)</w:t>
            </w:r>
            <w:r>
              <w:rPr>
                <w:lang w:eastAsia="ru-RU"/>
              </w:rPr>
            </w:r>
            <w:r/>
          </w:p>
        </w:tc>
      </w:tr>
      <w:tr>
        <w:trPr/>
        <w:tc>
          <w:tcPr>
            <w:shd w:val="clear" w:color="ffffff" w:fill="ffffff"/>
            <w:tcBorders>
              <w:top w:val="single" w:color="000000" w:sz="6" w:space="0"/>
              <w:left w:val="single" w:color="000000" w:sz="6" w:space="0"/>
              <w:bottom w:val="single" w:color="000000" w:sz="6" w:space="0"/>
              <w:right w:val="single" w:color="000000" w:sz="6" w:space="0"/>
            </w:tcBorders>
            <w:tcW w:w="6946" w:type="dxa"/>
            <w:textDirection w:val="lrTb"/>
            <w:noWrap w:val="false"/>
          </w:tcPr>
          <w:p>
            <w:pPr>
              <w:ind w:left="127"/>
              <w:widowControl/>
              <w:rPr>
                <w:lang w:eastAsia="ru-RU"/>
              </w:rPr>
            </w:pPr>
            <w:r>
              <w:rPr>
                <w:lang w:eastAsia="ru-RU"/>
              </w:rPr>
              <w:t xml:space="preserve">Объекты средств размещения общей площадью до 1500 м</w:t>
            </w:r>
            <w:r>
              <w:rPr>
                <w:vertAlign w:val="superscript"/>
                <w:lang w:eastAsia="ru-RU"/>
              </w:rPr>
              <w:t xml:space="preserve">2</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3544" w:type="dxa"/>
            <w:textDirection w:val="lrTb"/>
            <w:noWrap w:val="false"/>
          </w:tcPr>
          <w:p>
            <w:pPr>
              <w:ind w:firstLine="567"/>
              <w:widowControl/>
              <w:rPr>
                <w:lang w:eastAsia="ru-RU"/>
              </w:rPr>
            </w:pPr>
            <w:r>
              <w:rPr>
                <w:lang w:eastAsia="ru-RU"/>
              </w:rPr>
              <w:t xml:space="preserve">150 м</w:t>
            </w:r>
            <w:r>
              <w:rPr>
                <w:vertAlign w:val="superscript"/>
                <w:lang w:eastAsia="ru-RU"/>
              </w:rPr>
              <w:t xml:space="preserve">2</w:t>
            </w:r>
            <w:r>
              <w:rPr>
                <w:lang w:eastAsia="ru-RU"/>
              </w:rPr>
              <w:t xml:space="preserve"> общей площади</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4536" w:type="dxa"/>
            <w:textDirection w:val="lrTb"/>
            <w:noWrap w:val="false"/>
          </w:tcPr>
          <w:p>
            <w:pPr>
              <w:ind w:left="126"/>
              <w:jc w:val="center"/>
              <w:widowControl/>
              <w:rPr>
                <w:lang w:eastAsia="ru-RU"/>
              </w:rPr>
            </w:pPr>
            <w:r>
              <w:rPr>
                <w:lang w:eastAsia="ru-RU"/>
              </w:rPr>
              <w:t xml:space="preserve">1 но не менее 3 на 10 номеров</w:t>
            </w:r>
            <w:r>
              <w:rPr>
                <w:lang w:eastAsia="ru-RU"/>
              </w:rPr>
            </w:r>
            <w:r/>
          </w:p>
        </w:tc>
      </w:tr>
      <w:tr>
        <w:trPr/>
        <w:tc>
          <w:tcPr>
            <w:shd w:val="clear" w:color="ffffff" w:fill="ffffff"/>
            <w:tcBorders>
              <w:top w:val="single" w:color="000000" w:sz="6" w:space="0"/>
              <w:left w:val="single" w:color="000000" w:sz="6" w:space="0"/>
              <w:bottom w:val="single" w:color="000000" w:sz="6" w:space="0"/>
              <w:right w:val="single" w:color="000000" w:sz="6" w:space="0"/>
            </w:tcBorders>
            <w:tcW w:w="6946" w:type="dxa"/>
            <w:textDirection w:val="lrTb"/>
            <w:noWrap w:val="false"/>
          </w:tcPr>
          <w:p>
            <w:pPr>
              <w:ind w:left="127"/>
              <w:widowControl/>
              <w:rPr>
                <w:lang w:eastAsia="ru-RU"/>
              </w:rPr>
            </w:pPr>
            <w:r>
              <w:rPr>
                <w:lang w:eastAsia="ru-RU"/>
              </w:rPr>
              <w:t xml:space="preserve">Объекты средств размещения общей площадью от 1500 м</w:t>
            </w:r>
            <w:r>
              <w:rPr>
                <w:vertAlign w:val="superscript"/>
                <w:lang w:eastAsia="ru-RU"/>
              </w:rPr>
              <w:t xml:space="preserve">2</w:t>
            </w:r>
            <w:r>
              <w:rPr>
                <w:lang w:eastAsia="ru-RU"/>
              </w:rPr>
              <w:t xml:space="preserve"> до 5000 м</w:t>
            </w:r>
            <w:r>
              <w:rPr>
                <w:vertAlign w:val="superscript"/>
                <w:lang w:eastAsia="ru-RU"/>
              </w:rPr>
              <w:t xml:space="preserve">2</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3544" w:type="dxa"/>
            <w:textDirection w:val="lrTb"/>
            <w:noWrap w:val="false"/>
          </w:tcPr>
          <w:p>
            <w:pPr>
              <w:ind w:firstLine="567"/>
              <w:widowControl/>
              <w:rPr>
                <w:lang w:eastAsia="ru-RU"/>
              </w:rPr>
            </w:pPr>
            <w:r>
              <w:rPr>
                <w:lang w:eastAsia="ru-RU"/>
              </w:rPr>
              <w:t xml:space="preserve">250 м</w:t>
            </w:r>
            <w:r>
              <w:rPr>
                <w:vertAlign w:val="superscript"/>
                <w:lang w:eastAsia="ru-RU"/>
              </w:rPr>
              <w:t xml:space="preserve">2</w:t>
            </w:r>
            <w:r>
              <w:rPr>
                <w:lang w:eastAsia="ru-RU"/>
              </w:rPr>
              <w:t xml:space="preserve"> общей площади</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4536" w:type="dxa"/>
            <w:textDirection w:val="lrTb"/>
            <w:noWrap w:val="false"/>
          </w:tcPr>
          <w:p>
            <w:pPr>
              <w:ind w:left="126"/>
              <w:jc w:val="center"/>
              <w:widowControl/>
              <w:rPr>
                <w:lang w:eastAsia="ru-RU"/>
              </w:rPr>
            </w:pPr>
            <w:r>
              <w:rPr>
                <w:lang w:eastAsia="ru-RU"/>
              </w:rPr>
              <w:t xml:space="preserve">1 но не менее 10</w:t>
            </w:r>
            <w:r>
              <w:rPr>
                <w:lang w:eastAsia="ru-RU"/>
              </w:rPr>
            </w:r>
            <w:r/>
          </w:p>
        </w:tc>
      </w:tr>
      <w:tr>
        <w:trPr/>
        <w:tc>
          <w:tcPr>
            <w:shd w:val="clear" w:color="ffffff" w:fill="ffffff"/>
            <w:tcBorders>
              <w:top w:val="single" w:color="000000" w:sz="6" w:space="0"/>
              <w:left w:val="single" w:color="000000" w:sz="6" w:space="0"/>
              <w:bottom w:val="single" w:color="000000" w:sz="6" w:space="0"/>
              <w:right w:val="single" w:color="000000" w:sz="6" w:space="0"/>
            </w:tcBorders>
            <w:tcW w:w="6946" w:type="dxa"/>
            <w:textDirection w:val="lrTb"/>
            <w:noWrap w:val="false"/>
          </w:tcPr>
          <w:p>
            <w:pPr>
              <w:ind w:left="127"/>
              <w:widowControl/>
              <w:rPr>
                <w:lang w:eastAsia="ru-RU"/>
              </w:rPr>
            </w:pPr>
            <w:r>
              <w:rPr>
                <w:lang w:eastAsia="ru-RU"/>
              </w:rPr>
              <w:t xml:space="preserve">Объекты средств размещения общей площадью 5000 м</w:t>
            </w:r>
            <w:r>
              <w:rPr>
                <w:vertAlign w:val="superscript"/>
                <w:lang w:eastAsia="ru-RU"/>
              </w:rPr>
              <w:t xml:space="preserve">2</w:t>
            </w:r>
            <w:r>
              <w:rPr>
                <w:lang w:eastAsia="ru-RU"/>
              </w:rPr>
              <w:t xml:space="preserve">и более</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3544" w:type="dxa"/>
            <w:textDirection w:val="lrTb"/>
            <w:noWrap w:val="false"/>
          </w:tcPr>
          <w:p>
            <w:pPr>
              <w:ind w:firstLine="567"/>
              <w:widowControl/>
              <w:rPr>
                <w:lang w:eastAsia="ru-RU"/>
              </w:rPr>
            </w:pPr>
            <w:r>
              <w:rPr>
                <w:lang w:eastAsia="ru-RU"/>
              </w:rPr>
              <w:t xml:space="preserve">300 м</w:t>
            </w:r>
            <w:r>
              <w:rPr>
                <w:vertAlign w:val="superscript"/>
                <w:lang w:eastAsia="ru-RU"/>
              </w:rPr>
              <w:t xml:space="preserve">2</w:t>
            </w:r>
            <w:r>
              <w:rPr>
                <w:lang w:eastAsia="ru-RU"/>
              </w:rPr>
              <w:t xml:space="preserve"> общей площади</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4536" w:type="dxa"/>
            <w:textDirection w:val="lrTb"/>
            <w:noWrap w:val="false"/>
          </w:tcPr>
          <w:p>
            <w:pPr>
              <w:ind w:left="126"/>
              <w:jc w:val="center"/>
              <w:widowControl/>
              <w:rPr>
                <w:lang w:eastAsia="ru-RU"/>
              </w:rPr>
            </w:pPr>
            <w:r>
              <w:rPr>
                <w:lang w:eastAsia="ru-RU"/>
              </w:rPr>
              <w:t xml:space="preserve">1 но не менее 20</w:t>
            </w:r>
            <w:r>
              <w:rPr>
                <w:lang w:eastAsia="ru-RU"/>
              </w:rPr>
            </w:r>
            <w:r/>
          </w:p>
        </w:tc>
      </w:tr>
      <w:tr>
        <w:trPr/>
        <w:tc>
          <w:tcPr>
            <w:shd w:val="clear" w:color="ffffff" w:fill="ffffff"/>
            <w:tcBorders>
              <w:top w:val="single" w:color="000000" w:sz="6" w:space="0"/>
              <w:left w:val="single" w:color="000000" w:sz="6" w:space="0"/>
              <w:bottom w:val="single" w:color="000000" w:sz="6" w:space="0"/>
              <w:right w:val="single" w:color="000000" w:sz="6" w:space="0"/>
            </w:tcBorders>
            <w:tcW w:w="6946" w:type="dxa"/>
            <w:textDirection w:val="lrTb"/>
            <w:noWrap w:val="false"/>
          </w:tcPr>
          <w:p>
            <w:pPr>
              <w:ind w:left="127"/>
              <w:widowControl/>
              <w:rPr>
                <w:lang w:eastAsia="ru-RU"/>
              </w:rPr>
            </w:pPr>
            <w:r>
              <w:rPr>
                <w:lang w:eastAsia="ru-RU"/>
              </w:rPr>
              <w:t xml:space="preserve">Объекты средств размещения общей площадью 5000 м</w:t>
            </w:r>
            <w:r>
              <w:rPr>
                <w:vertAlign w:val="superscript"/>
                <w:lang w:eastAsia="ru-RU"/>
              </w:rPr>
              <w:t xml:space="preserve">2</w:t>
            </w:r>
            <w:r>
              <w:rPr>
                <w:lang w:eastAsia="ru-RU"/>
              </w:rPr>
              <w:t xml:space="preserve"> и более (категории 4 и 5 звезд)</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3544" w:type="dxa"/>
            <w:textDirection w:val="lrTb"/>
            <w:noWrap w:val="false"/>
          </w:tcPr>
          <w:p>
            <w:pPr>
              <w:ind w:firstLine="567"/>
              <w:widowControl/>
              <w:rPr>
                <w:lang w:eastAsia="ru-RU"/>
              </w:rPr>
            </w:pPr>
            <w:r>
              <w:rPr>
                <w:lang w:eastAsia="ru-RU"/>
              </w:rPr>
              <w:t xml:space="preserve">350 м</w:t>
            </w:r>
            <w:r>
              <w:rPr>
                <w:vertAlign w:val="superscript"/>
                <w:lang w:eastAsia="ru-RU"/>
              </w:rPr>
              <w:t xml:space="preserve">2</w:t>
            </w:r>
            <w:r>
              <w:rPr>
                <w:lang w:eastAsia="ru-RU"/>
              </w:rPr>
              <w:t xml:space="preserve"> общей площади</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4536" w:type="dxa"/>
            <w:textDirection w:val="lrTb"/>
            <w:noWrap w:val="false"/>
          </w:tcPr>
          <w:p>
            <w:pPr>
              <w:ind w:left="126"/>
              <w:jc w:val="center"/>
              <w:widowControl/>
              <w:rPr>
                <w:lang w:eastAsia="ru-RU"/>
              </w:rPr>
            </w:pPr>
            <w:r>
              <w:rPr>
                <w:lang w:eastAsia="ru-RU"/>
              </w:rPr>
              <w:t xml:space="preserve">1 но не менее 20</w:t>
            </w:r>
            <w:r>
              <w:rPr>
                <w:lang w:eastAsia="ru-RU"/>
              </w:rPr>
            </w:r>
            <w:r/>
          </w:p>
        </w:tc>
      </w:tr>
      <w:tr>
        <w:trPr/>
        <w:tc>
          <w:tcPr>
            <w:gridSpan w:val="3"/>
            <w:shd w:val="clear" w:color="ffffff" w:fill="dbdbdb" w:themeFill="accent3" w:themeFillTint="66"/>
            <w:tcBorders>
              <w:top w:val="single" w:color="000000" w:sz="6" w:space="0"/>
              <w:left w:val="single" w:color="000000" w:sz="6" w:space="0"/>
              <w:bottom w:val="single" w:color="000000" w:sz="6" w:space="0"/>
              <w:right w:val="single" w:color="000000" w:sz="6" w:space="0"/>
            </w:tcBorders>
            <w:tcW w:w="15026" w:type="dxa"/>
            <w:textDirection w:val="lrTb"/>
            <w:noWrap w:val="false"/>
          </w:tcPr>
          <w:p>
            <w:pPr>
              <w:ind w:left="126"/>
              <w:jc w:val="center"/>
              <w:widowControl/>
              <w:rPr>
                <w:lang w:eastAsia="ru-RU"/>
              </w:rPr>
            </w:pPr>
            <w:r>
              <w:rPr>
                <w:lang w:eastAsia="ru-RU"/>
              </w:rPr>
              <w:t xml:space="preserve">Объекты коммунально-бытового обслуживания</w:t>
            </w:r>
            <w:r>
              <w:rPr>
                <w:lang w:eastAsia="ru-RU"/>
              </w:rPr>
            </w:r>
            <w:r/>
          </w:p>
        </w:tc>
      </w:tr>
      <w:tr>
        <w:trPr/>
        <w:tc>
          <w:tcPr>
            <w:shd w:val="clear" w:color="ffffff" w:fill="ffffff"/>
            <w:tcBorders>
              <w:top w:val="single" w:color="000000" w:sz="6" w:space="0"/>
              <w:left w:val="single" w:color="000000" w:sz="6" w:space="0"/>
              <w:bottom w:val="single" w:color="000000" w:sz="6" w:space="0"/>
              <w:right w:val="single" w:color="000000" w:sz="6" w:space="0"/>
            </w:tcBorders>
            <w:tcW w:w="6946" w:type="dxa"/>
            <w:textDirection w:val="lrTb"/>
            <w:noWrap w:val="false"/>
          </w:tcPr>
          <w:p>
            <w:pPr>
              <w:ind w:left="127"/>
              <w:widowControl/>
              <w:rPr>
                <w:lang w:eastAsia="ru-RU"/>
              </w:rPr>
            </w:pPr>
            <w:r>
              <w:rPr>
                <w:lang w:eastAsia="ru-RU"/>
              </w:rPr>
              <w:t xml:space="preserve">Объекты бытового обслуживания, (ателье, химчистки, прачечные, мастерские)</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3544" w:type="dxa"/>
            <w:textDirection w:val="lrTb"/>
            <w:noWrap w:val="false"/>
          </w:tcPr>
          <w:p>
            <w:pPr>
              <w:ind w:firstLine="567"/>
              <w:widowControl/>
              <w:rPr>
                <w:lang w:eastAsia="ru-RU"/>
              </w:rPr>
            </w:pPr>
            <w:r>
              <w:rPr>
                <w:lang w:eastAsia="ru-RU"/>
              </w:rPr>
              <w:t xml:space="preserve">30 м</w:t>
            </w:r>
            <w:r>
              <w:rPr>
                <w:vertAlign w:val="superscript"/>
                <w:lang w:eastAsia="ru-RU"/>
              </w:rPr>
              <w:t xml:space="preserve">2</w:t>
            </w:r>
            <w:r>
              <w:rPr>
                <w:lang w:eastAsia="ru-RU"/>
              </w:rPr>
              <w:t xml:space="preserve"> общей площади</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4536" w:type="dxa"/>
            <w:textDirection w:val="lrTb"/>
            <w:noWrap w:val="false"/>
          </w:tcPr>
          <w:p>
            <w:pPr>
              <w:ind w:left="126"/>
              <w:jc w:val="center"/>
              <w:widowControl/>
              <w:rPr>
                <w:lang w:eastAsia="ru-RU"/>
              </w:rPr>
            </w:pPr>
            <w:r>
              <w:rPr>
                <w:lang w:eastAsia="ru-RU"/>
              </w:rPr>
              <w:t xml:space="preserve">1</w:t>
            </w:r>
            <w:r>
              <w:rPr>
                <w:lang w:eastAsia="ru-RU"/>
              </w:rPr>
              <w:t xml:space="preserve"> н</w:t>
            </w:r>
            <w:r>
              <w:rPr>
                <w:lang w:eastAsia="ru-RU"/>
              </w:rPr>
              <w:t xml:space="preserve">о не менее 1</w:t>
            </w:r>
            <w:r>
              <w:rPr>
                <w:lang w:eastAsia="ru-RU"/>
              </w:rPr>
            </w:r>
            <w:r/>
          </w:p>
        </w:tc>
      </w:tr>
      <w:tr>
        <w:trPr/>
        <w:tc>
          <w:tcPr>
            <w:gridSpan w:val="3"/>
            <w:shd w:val="clear" w:color="ffffff" w:fill="dbdbdb" w:themeFill="accent3" w:themeFillTint="66"/>
            <w:tcBorders>
              <w:top w:val="single" w:color="000000" w:sz="6" w:space="0"/>
              <w:left w:val="single" w:color="000000" w:sz="6" w:space="0"/>
              <w:bottom w:val="single" w:color="000000" w:sz="6" w:space="0"/>
              <w:right w:val="single" w:color="000000" w:sz="6" w:space="0"/>
            </w:tcBorders>
            <w:tcW w:w="15026" w:type="dxa"/>
            <w:textDirection w:val="lrTb"/>
            <w:noWrap w:val="false"/>
          </w:tcPr>
          <w:p>
            <w:pPr>
              <w:ind w:left="126"/>
              <w:jc w:val="center"/>
              <w:widowControl/>
              <w:rPr>
                <w:lang w:eastAsia="ru-RU"/>
              </w:rPr>
            </w:pPr>
            <w:r>
              <w:rPr>
                <w:lang w:eastAsia="ru-RU"/>
              </w:rPr>
              <w:t xml:space="preserve">Вокзалы</w:t>
            </w:r>
            <w:r>
              <w:rPr>
                <w:lang w:eastAsia="ru-RU"/>
              </w:rPr>
            </w:r>
            <w:r/>
          </w:p>
        </w:tc>
      </w:tr>
      <w:tr>
        <w:trPr/>
        <w:tc>
          <w:tcPr>
            <w:shd w:val="clear" w:color="ffffff" w:fill="ffffff"/>
            <w:tcBorders>
              <w:top w:val="single" w:color="000000" w:sz="6" w:space="0"/>
              <w:left w:val="single" w:color="000000" w:sz="6" w:space="0"/>
              <w:bottom w:val="single" w:color="000000" w:sz="6" w:space="0"/>
              <w:right w:val="single" w:color="000000" w:sz="6" w:space="0"/>
            </w:tcBorders>
            <w:tcW w:w="6946" w:type="dxa"/>
            <w:textDirection w:val="lrTb"/>
            <w:noWrap w:val="false"/>
          </w:tcPr>
          <w:p>
            <w:pPr>
              <w:ind w:left="127"/>
              <w:widowControl/>
              <w:rPr>
                <w:lang w:eastAsia="ru-RU"/>
              </w:rPr>
            </w:pPr>
            <w:r>
              <w:rPr>
                <w:lang w:eastAsia="ru-RU"/>
              </w:rPr>
              <w:t xml:space="preserve">Вокзалы всех видов транспорта, в том числе аэропорты, речные вокзалы</w:t>
            </w:r>
            <w:r>
              <w:rPr>
                <w:lang w:eastAsia="ru-RU"/>
              </w:rPr>
            </w:r>
            <w:r/>
          </w:p>
        </w:tc>
        <w:tc>
          <w:tcPr>
            <w:gridSpan w:val="2"/>
            <w:shd w:val="clear" w:color="ffffff" w:fill="ffffff"/>
            <w:tcBorders>
              <w:top w:val="single" w:color="000000" w:sz="6" w:space="0"/>
              <w:left w:val="single" w:color="000000" w:sz="6" w:space="0"/>
              <w:bottom w:val="single" w:color="000000" w:sz="6" w:space="0"/>
              <w:right w:val="single" w:color="000000" w:sz="6" w:space="0"/>
            </w:tcBorders>
            <w:tcW w:w="8080" w:type="dxa"/>
            <w:textDirection w:val="lrTb"/>
            <w:noWrap w:val="false"/>
          </w:tcPr>
          <w:p>
            <w:pPr>
              <w:ind w:firstLine="567"/>
              <w:jc w:val="center"/>
              <w:widowControl/>
              <w:rPr>
                <w:lang w:eastAsia="ru-RU"/>
              </w:rPr>
            </w:pPr>
            <w:r>
              <w:rPr>
                <w:lang w:eastAsia="ru-RU"/>
              </w:rPr>
              <w:t xml:space="preserve">Принимать в соответствии с заданием на проектирование</w:t>
            </w:r>
            <w:r>
              <w:rPr>
                <w:lang w:eastAsia="ru-RU"/>
              </w:rPr>
            </w:r>
            <w:r/>
          </w:p>
        </w:tc>
      </w:tr>
      <w:tr>
        <w:trPr/>
        <w:tc>
          <w:tcPr>
            <w:shd w:val="clear" w:color="ffffff" w:fill="ffffff"/>
            <w:tcBorders>
              <w:top w:val="single" w:color="000000" w:sz="6" w:space="0"/>
              <w:left w:val="single" w:color="000000" w:sz="6" w:space="0"/>
              <w:bottom w:val="single" w:color="000000" w:sz="6" w:space="0"/>
              <w:right w:val="single" w:color="000000" w:sz="6" w:space="0"/>
            </w:tcBorders>
            <w:tcW w:w="6946" w:type="dxa"/>
            <w:textDirection w:val="lrTb"/>
            <w:noWrap w:val="false"/>
          </w:tcPr>
          <w:p>
            <w:pPr>
              <w:ind w:left="127"/>
              <w:widowControl/>
              <w:rPr>
                <w:lang w:eastAsia="ru-RU"/>
              </w:rPr>
            </w:pPr>
            <w:r>
              <w:rPr>
                <w:lang w:eastAsia="ru-RU"/>
              </w:rPr>
              <w:t xml:space="preserve">Станции технического обслуживания, автомойки</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3544" w:type="dxa"/>
            <w:textDirection w:val="lrTb"/>
            <w:noWrap w:val="false"/>
          </w:tcPr>
          <w:p>
            <w:pPr>
              <w:ind w:left="127"/>
              <w:jc w:val="center"/>
              <w:widowControl/>
              <w:rPr>
                <w:lang w:eastAsia="ru-RU"/>
              </w:rPr>
            </w:pPr>
            <w:r>
              <w:rPr>
                <w:lang w:eastAsia="ru-RU"/>
              </w:rPr>
              <w:t xml:space="preserve">1 бокс</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4536" w:type="dxa"/>
            <w:textDirection w:val="lrTb"/>
            <w:noWrap w:val="false"/>
          </w:tcPr>
          <w:p>
            <w:pPr>
              <w:ind w:firstLine="567"/>
              <w:jc w:val="center"/>
              <w:widowControl/>
              <w:rPr>
                <w:lang w:eastAsia="ru-RU"/>
              </w:rPr>
            </w:pPr>
            <w:r>
              <w:rPr>
                <w:lang w:eastAsia="ru-RU"/>
              </w:rPr>
              <w:t xml:space="preserve">1</w:t>
            </w:r>
            <w:r>
              <w:rPr>
                <w:lang w:eastAsia="ru-RU"/>
              </w:rPr>
            </w:r>
            <w:r/>
          </w:p>
        </w:tc>
      </w:tr>
      <w:tr>
        <w:trPr/>
        <w:tc>
          <w:tcPr>
            <w:gridSpan w:val="3"/>
            <w:shd w:val="clear" w:color="ffffff" w:fill="dbdbdb" w:themeFill="accent3" w:themeFillTint="66"/>
            <w:tcBorders>
              <w:top w:val="single" w:color="000000" w:sz="6" w:space="0"/>
              <w:left w:val="single" w:color="000000" w:sz="6" w:space="0"/>
              <w:bottom w:val="single" w:color="000000" w:sz="6" w:space="0"/>
              <w:right w:val="single" w:color="000000" w:sz="6" w:space="0"/>
            </w:tcBorders>
            <w:tcW w:w="15026" w:type="dxa"/>
            <w:textDirection w:val="lrTb"/>
            <w:noWrap w:val="false"/>
          </w:tcPr>
          <w:p>
            <w:pPr>
              <w:ind w:left="127"/>
              <w:jc w:val="center"/>
              <w:widowControl/>
              <w:rPr>
                <w:lang w:eastAsia="ru-RU"/>
              </w:rPr>
            </w:pPr>
            <w:r>
              <w:rPr>
                <w:lang w:eastAsia="ru-RU"/>
              </w:rPr>
              <w:t xml:space="preserve">Объекты отдыха</w:t>
            </w:r>
            <w:r>
              <w:rPr>
                <w:lang w:eastAsia="ru-RU"/>
              </w:rPr>
            </w:r>
            <w:r/>
          </w:p>
        </w:tc>
      </w:tr>
      <w:tr>
        <w:trPr/>
        <w:tc>
          <w:tcPr>
            <w:shd w:val="clear" w:color="ffffff" w:fill="ffffff"/>
            <w:tcBorders>
              <w:top w:val="single" w:color="000000" w:sz="6" w:space="0"/>
              <w:left w:val="single" w:color="000000" w:sz="6" w:space="0"/>
              <w:bottom w:val="single" w:color="000000" w:sz="6" w:space="0"/>
              <w:right w:val="single" w:color="000000" w:sz="6" w:space="0"/>
            </w:tcBorders>
            <w:tcW w:w="6946" w:type="dxa"/>
            <w:textDirection w:val="lrTb"/>
            <w:noWrap w:val="false"/>
          </w:tcPr>
          <w:p>
            <w:pPr>
              <w:ind w:left="127"/>
              <w:widowControl/>
              <w:rPr>
                <w:lang w:eastAsia="ru-RU"/>
              </w:rPr>
            </w:pPr>
            <w:r>
              <w:rPr>
                <w:lang w:eastAsia="ru-RU"/>
              </w:rPr>
              <w:t xml:space="preserve">Дома отдыха и санатории, санатории профилактики, базы отдыха предприятий и туристические базы</w:t>
            </w:r>
            <w:r>
              <w:rPr>
                <w:lang w:eastAsia="ru-RU"/>
              </w:rPr>
            </w:r>
            <w:r/>
          </w:p>
        </w:tc>
        <w:tc>
          <w:tcPr>
            <w:shd w:val="clear" w:color="ffffff" w:fill="ffffff"/>
            <w:tcBorders>
              <w:top w:val="single" w:color="000000" w:sz="6" w:space="0"/>
              <w:left w:val="single" w:color="000000" w:sz="6" w:space="0"/>
              <w:bottom w:val="single" w:color="000000" w:sz="6" w:space="0"/>
            </w:tcBorders>
            <w:tcW w:w="3544" w:type="dxa"/>
            <w:textDirection w:val="lrTb"/>
            <w:noWrap w:val="false"/>
          </w:tcPr>
          <w:p>
            <w:pPr>
              <w:ind w:left="127"/>
              <w:jc w:val="center"/>
              <w:widowControl/>
              <w:rPr>
                <w:lang w:eastAsia="ru-RU"/>
              </w:rPr>
            </w:pPr>
            <w:r>
              <w:rPr>
                <w:lang w:eastAsia="ru-RU"/>
              </w:rPr>
              <w:t xml:space="preserve">100 отдыхающих и обслуживающего персонала</w:t>
            </w:r>
            <w:r>
              <w:rPr>
                <w:lang w:eastAsia="ru-RU"/>
              </w:rPr>
            </w:r>
            <w:r/>
          </w:p>
        </w:tc>
        <w:tc>
          <w:tcPr>
            <w:shd w:val="clear" w:color="ffffff" w:fill="ffffff"/>
            <w:tcBorders>
              <w:top w:val="single" w:color="000000" w:sz="6" w:space="0"/>
              <w:left w:val="single" w:color="000000" w:sz="6" w:space="0"/>
              <w:bottom w:val="single" w:color="000000" w:sz="6" w:space="0"/>
              <w:right w:val="single" w:color="000000" w:sz="6" w:space="0"/>
            </w:tcBorders>
            <w:tcW w:w="4536" w:type="dxa"/>
            <w:textDirection w:val="lrTb"/>
            <w:noWrap w:val="false"/>
          </w:tcPr>
          <w:p>
            <w:pPr>
              <w:ind w:firstLine="567"/>
              <w:jc w:val="center"/>
              <w:widowControl/>
              <w:rPr>
                <w:lang w:eastAsia="ru-RU"/>
              </w:rPr>
            </w:pPr>
            <w:r>
              <w:rPr>
                <w:lang w:eastAsia="ru-RU"/>
              </w:rPr>
              <w:t xml:space="preserve">10</w:t>
            </w:r>
            <w:r>
              <w:rPr>
                <w:lang w:eastAsia="ru-RU"/>
              </w:rPr>
            </w:r>
            <w:r/>
          </w:p>
        </w:tc>
      </w:tr>
    </w:tbl>
    <w:p>
      <w:pPr>
        <w:ind w:firstLine="567"/>
        <w:jc w:val="both"/>
        <w:shd w:val="clear" w:color="auto" w:fill="ffffff"/>
        <w:widowControl/>
      </w:pPr>
      <w:r>
        <w:rPr>
          <w:sz w:val="24"/>
          <w:szCs w:val="24"/>
          <w:lang w:eastAsia="ru-RU"/>
        </w:rPr>
        <w:t xml:space="preserve"> </w:t>
      </w:r>
      <w:r>
        <w:rPr>
          <w:bCs/>
          <w:sz w:val="24"/>
          <w:szCs w:val="24"/>
          <w:lang w:eastAsia="ru-RU"/>
        </w:rPr>
        <w:t xml:space="preserve">Примечания:</w:t>
      </w:r>
      <w:r>
        <w:rPr>
          <w:sz w:val="24"/>
          <w:szCs w:val="24"/>
          <w:lang w:eastAsia="ru-RU"/>
        </w:rPr>
      </w:r>
      <w:r/>
    </w:p>
    <w:p>
      <w:pPr>
        <w:ind w:firstLine="567"/>
        <w:jc w:val="both"/>
        <w:shd w:val="clear" w:color="auto" w:fill="ffffff"/>
        <w:widowControl/>
      </w:pPr>
      <w:r>
        <w:rPr>
          <w:sz w:val="24"/>
          <w:szCs w:val="24"/>
          <w:lang w:eastAsia="ru-RU"/>
        </w:rPr>
        <w:t xml:space="preserve">1) Рядом с</w:t>
      </w:r>
      <w:r>
        <w:rPr>
          <w:sz w:val="24"/>
          <w:szCs w:val="24"/>
          <w:lang w:eastAsia="ru-RU"/>
        </w:rPr>
        <w:t xml:space="preserve">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r>
        <w:rPr>
          <w:sz w:val="24"/>
          <w:szCs w:val="24"/>
          <w:lang w:eastAsia="ru-RU"/>
        </w:rPr>
      </w:r>
      <w:r/>
    </w:p>
    <w:p>
      <w:pPr>
        <w:ind w:firstLine="567"/>
        <w:jc w:val="both"/>
        <w:shd w:val="clear" w:color="auto" w:fill="ffffff"/>
        <w:widowControl/>
      </w:pPr>
      <w:r>
        <w:rPr>
          <w:sz w:val="24"/>
          <w:szCs w:val="24"/>
          <w:lang w:eastAsia="ru-RU"/>
        </w:rPr>
        <w:t xml:space="preserve">2) Длина пешеходных подходов от стоянок для временного хранения легковых автомобилей до объектов в зонах массового отдыха не должна превышать 1000 м.</w:t>
      </w:r>
      <w:r>
        <w:rPr>
          <w:sz w:val="24"/>
          <w:szCs w:val="24"/>
          <w:lang w:eastAsia="ru-RU"/>
        </w:rPr>
      </w:r>
      <w:r/>
    </w:p>
    <w:p>
      <w:pPr>
        <w:ind w:firstLine="567"/>
        <w:jc w:val="both"/>
        <w:shd w:val="clear" w:color="auto" w:fill="ffffff"/>
        <w:widowControl/>
      </w:pPr>
      <w:r>
        <w:rPr>
          <w:sz w:val="24"/>
          <w:szCs w:val="24"/>
          <w:lang w:eastAsia="ru-RU"/>
        </w:rPr>
        <w:t xml:space="preserve">3</w:t>
      </w:r>
      <w:r>
        <w:rPr>
          <w:sz w:val="24"/>
          <w:szCs w:val="24"/>
          <w:lang w:eastAsia="ru-RU"/>
        </w:rPr>
        <w:t xml:space="preserve">)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w:t>
      </w:r>
      <w:r>
        <w:rPr>
          <w:sz w:val="24"/>
          <w:szCs w:val="24"/>
          <w:lang w:eastAsia="ru-RU"/>
        </w:rPr>
        <w:t xml:space="preserve">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r>
        <w:rPr>
          <w:sz w:val="24"/>
          <w:szCs w:val="24"/>
          <w:lang w:eastAsia="ru-RU"/>
        </w:rPr>
      </w:r>
      <w:r/>
    </w:p>
    <w:p>
      <w:pPr>
        <w:ind w:firstLine="567"/>
        <w:jc w:val="both"/>
        <w:shd w:val="clear" w:color="auto" w:fill="ffffff"/>
        <w:widowControl/>
      </w:pPr>
      <w:r>
        <w:rPr>
          <w:sz w:val="24"/>
          <w:szCs w:val="24"/>
          <w:lang w:eastAsia="ru-RU"/>
        </w:rPr>
        <w:t xml:space="preserve">4</w:t>
      </w:r>
      <w:r>
        <w:rPr>
          <w:sz w:val="24"/>
          <w:szCs w:val="24"/>
          <w:lang w:eastAsia="ru-RU"/>
        </w:rPr>
        <w:t xml:space="preserve">) При размещении параллельных пар</w:t>
      </w:r>
      <w:r>
        <w:rPr>
          <w:sz w:val="24"/>
          <w:szCs w:val="24"/>
          <w:lang w:eastAsia="ru-RU"/>
        </w:rPr>
        <w:t xml:space="preserve">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r>
        <w:rPr>
          <w:sz w:val="24"/>
          <w:szCs w:val="24"/>
          <w:lang w:eastAsia="ru-RU"/>
        </w:rPr>
      </w:r>
      <w:r/>
    </w:p>
    <w:p>
      <w:pPr>
        <w:ind w:firstLine="567"/>
        <w:jc w:val="both"/>
        <w:shd w:val="clear" w:color="auto" w:fill="ffffff"/>
        <w:widowControl/>
      </w:pPr>
      <w:r>
        <w:rPr>
          <w:sz w:val="24"/>
          <w:szCs w:val="24"/>
          <w:lang w:eastAsia="ru-RU"/>
        </w:rPr>
        <w:t xml:space="preserve">5</w:t>
      </w:r>
      <w:r>
        <w:rPr>
          <w:sz w:val="24"/>
          <w:szCs w:val="24"/>
          <w:lang w:eastAsia="ru-RU"/>
        </w:rPr>
        <w:t xml:space="preserve">)</w:t>
      </w:r>
      <w:r>
        <w:rPr>
          <w:sz w:val="24"/>
          <w:szCs w:val="24"/>
          <w:lang w:eastAsia="ru-RU"/>
        </w:rPr>
        <w:t xml:space="preserve"> Показатель минимальной обеспеченности машино</w:t>
      </w:r>
      <w:r>
        <w:rPr>
          <w:sz w:val="24"/>
          <w:szCs w:val="24"/>
          <w:lang w:eastAsia="ru-RU"/>
        </w:rPr>
        <w:t xml:space="preserve">-</w:t>
      </w:r>
      <w:r>
        <w:rPr>
          <w:sz w:val="24"/>
          <w:szCs w:val="24"/>
          <w:lang w:eastAsia="ru-RU"/>
        </w:rPr>
        <w:t xml:space="preserve">местами для постоянного хранения личных автомобилей в пределах </w:t>
      </w:r>
      <w:r>
        <w:rPr>
          <w:sz w:val="24"/>
          <w:szCs w:val="24"/>
          <w:lang w:eastAsia="ru-RU"/>
        </w:rPr>
        <w:t xml:space="preserve">кварталов </w:t>
      </w:r>
      <w:r>
        <w:rPr>
          <w:sz w:val="24"/>
          <w:szCs w:val="24"/>
          <w:lang w:eastAsia="ru-RU"/>
        </w:rPr>
        <w:t xml:space="preserve">многоквартирной застройки определяется в соответствии с пунктом 5.5.138 НГП КК по формуле, приведенной ниже:</w:t>
      </w:r>
      <w:r>
        <w:rPr>
          <w:sz w:val="24"/>
          <w:szCs w:val="24"/>
          <w:lang w:eastAsia="ru-RU"/>
        </w:rPr>
      </w:r>
      <w:r/>
    </w:p>
    <w:p>
      <w:pPr>
        <w:ind w:firstLine="567"/>
        <w:jc w:val="both"/>
        <w:shd w:val="clear" w:color="auto" w:fill="ffffff"/>
        <w:widowControl/>
      </w:pPr>
      <w:r>
        <w:rPr>
          <w:sz w:val="24"/>
          <w:szCs w:val="24"/>
          <w:lang w:eastAsia="ru-RU"/>
        </w:rPr>
        <w:t xml:space="preserve">ММ  =  Р</w:t>
      </w:r>
      <w:r>
        <w:rPr>
          <w:sz w:val="24"/>
          <w:szCs w:val="24"/>
          <w:vertAlign w:val="subscript"/>
          <w:lang w:eastAsia="ru-RU"/>
        </w:rPr>
        <w:t xml:space="preserve">оромсу</w:t>
      </w:r>
      <w:r>
        <w:rPr>
          <w:sz w:val="24"/>
          <w:szCs w:val="24"/>
          <w:lang w:eastAsia="ru-RU"/>
        </w:rPr>
        <w:t xml:space="preserve">х  </w:t>
      </w:r>
      <w:r>
        <w:rPr>
          <w:sz w:val="24"/>
          <w:szCs w:val="24"/>
          <w:lang w:val="en-US" w:eastAsia="ru-RU"/>
        </w:rPr>
        <w:t xml:space="preserve">k</w:t>
      </w:r>
      <w:r>
        <w:rPr>
          <w:sz w:val="24"/>
          <w:szCs w:val="24"/>
          <w:vertAlign w:val="subscript"/>
          <w:lang w:eastAsia="ru-RU"/>
        </w:rPr>
        <w:t xml:space="preserve">1  </w:t>
      </w:r>
      <w:r>
        <w:rPr>
          <w:sz w:val="24"/>
          <w:szCs w:val="24"/>
          <w:lang w:eastAsia="ru-RU"/>
        </w:rPr>
        <w:t xml:space="preserve">- </w:t>
      </w:r>
      <w:r>
        <w:rPr>
          <w:sz w:val="24"/>
          <w:szCs w:val="24"/>
          <w:lang w:val="en-US" w:eastAsia="ru-RU"/>
        </w:rPr>
        <w:t xml:space="preserve">MM</w:t>
      </w:r>
      <w:r>
        <w:rPr>
          <w:sz w:val="24"/>
          <w:szCs w:val="24"/>
          <w:vertAlign w:val="subscript"/>
          <w:lang w:val="en-US" w:eastAsia="ru-RU"/>
        </w:rPr>
        <w:t xml:space="preserve">str</w:t>
      </w:r>
      <w:r>
        <w:rPr>
          <w:sz w:val="24"/>
          <w:szCs w:val="24"/>
          <w:lang w:eastAsia="ru-RU"/>
        </w:rPr>
        <w:t xml:space="preserve">х  </w:t>
      </w:r>
      <w:r>
        <w:rPr>
          <w:sz w:val="24"/>
          <w:szCs w:val="24"/>
          <w:lang w:val="en-US" w:eastAsia="ru-RU"/>
        </w:rPr>
        <w:t xml:space="preserve">k</w:t>
      </w:r>
      <w:r>
        <w:rPr>
          <w:sz w:val="24"/>
          <w:szCs w:val="24"/>
          <w:vertAlign w:val="subscript"/>
          <w:lang w:eastAsia="ru-RU"/>
        </w:rPr>
        <w:t xml:space="preserve">2 </w:t>
      </w:r>
      <w:r>
        <w:rPr>
          <w:sz w:val="24"/>
          <w:szCs w:val="24"/>
          <w:lang w:eastAsia="ru-RU"/>
        </w:rPr>
        <w:t xml:space="preserve"> –  </w:t>
      </w:r>
      <w:r>
        <w:rPr>
          <w:sz w:val="24"/>
          <w:szCs w:val="24"/>
          <w:lang w:val="en-US" w:eastAsia="ru-RU"/>
        </w:rPr>
        <w:t xml:space="preserve">N</w:t>
      </w:r>
      <w:r>
        <w:rPr>
          <w:sz w:val="24"/>
          <w:szCs w:val="24"/>
          <w:vertAlign w:val="subscript"/>
          <w:lang w:eastAsia="ru-RU"/>
        </w:rPr>
        <w:t xml:space="preserve">ИЖС</w:t>
      </w:r>
      <w:r>
        <w:rPr>
          <w:sz w:val="24"/>
          <w:szCs w:val="24"/>
          <w:lang w:eastAsia="ru-RU"/>
        </w:rPr>
        <w:t xml:space="preserve">,   где</w:t>
      </w:r>
      <w:r>
        <w:rPr>
          <w:sz w:val="24"/>
          <w:szCs w:val="24"/>
          <w:lang w:eastAsia="ru-RU"/>
        </w:rPr>
      </w:r>
      <w:r/>
    </w:p>
    <w:p>
      <w:pPr>
        <w:ind w:firstLine="567"/>
        <w:jc w:val="both"/>
        <w:shd w:val="clear" w:color="auto" w:fill="ffffff"/>
        <w:widowControl/>
      </w:pPr>
      <w:r>
        <w:rPr>
          <w:sz w:val="24"/>
          <w:szCs w:val="24"/>
          <w:lang w:eastAsia="ru-RU"/>
        </w:rPr>
        <w:t xml:space="preserve">Р</w:t>
      </w:r>
      <w:r>
        <w:rPr>
          <w:sz w:val="24"/>
          <w:szCs w:val="24"/>
          <w:vertAlign w:val="subscript"/>
          <w:lang w:eastAsia="ru-RU"/>
        </w:rPr>
        <w:t xml:space="preserve">оромсу</w:t>
      </w:r>
      <w:r>
        <w:rPr>
          <w:sz w:val="24"/>
          <w:szCs w:val="24"/>
          <w:lang w:eastAsia="ru-RU"/>
        </w:rPr>
        <w:t xml:space="preserve"> - планируемая численность населения в границах разрабатываемого проекта планировки территории;</w:t>
      </w:r>
      <w:r>
        <w:rPr>
          <w:sz w:val="24"/>
          <w:szCs w:val="24"/>
          <w:lang w:eastAsia="ru-RU"/>
        </w:rPr>
      </w:r>
      <w:r/>
    </w:p>
    <w:p>
      <w:pPr>
        <w:ind w:firstLine="567"/>
        <w:jc w:val="both"/>
        <w:shd w:val="clear" w:color="auto" w:fill="ffffff"/>
        <w:widowControl/>
      </w:pPr>
      <w:r>
        <w:rPr>
          <w:sz w:val="24"/>
          <w:szCs w:val="24"/>
          <w:lang w:val="en-US" w:eastAsia="ru-RU"/>
        </w:rPr>
        <w:t xml:space="preserve">k</w:t>
      </w:r>
      <w:r>
        <w:rPr>
          <w:sz w:val="24"/>
          <w:szCs w:val="24"/>
          <w:vertAlign w:val="subscript"/>
          <w:lang w:eastAsia="ru-RU"/>
        </w:rPr>
        <w:t xml:space="preserve">1</w:t>
      </w:r>
      <w:hyperlink r:id="rId51" w:tooltip="https://internet.garant.ru/#/document/36978113/entry/1381" w:anchor="/document/36978113/entry/1381" w:history="1">
        <w:r>
          <w:rPr>
            <w:sz w:val="24"/>
            <w:szCs w:val="24"/>
            <w:lang w:eastAsia="ru-RU"/>
          </w:rPr>
          <w:t xml:space="preserve">*</w:t>
        </w:r>
      </w:hyperlink>
      <w:r>
        <w:rPr>
          <w:sz w:val="24"/>
          <w:szCs w:val="24"/>
          <w:lang w:eastAsia="ru-RU"/>
        </w:rPr>
        <w:t xml:space="preserve">  - обеспеченность населения личными легковыми автомобилями, находящимися в собственности у физических лиц, в авто на тыс. человек. Согласно информации аналитического агентства "Автостат" по состоянию за год, предшествующий расчетному;</w:t>
      </w:r>
      <w:r>
        <w:rPr>
          <w:sz w:val="24"/>
          <w:szCs w:val="24"/>
          <w:lang w:eastAsia="ru-RU"/>
        </w:rPr>
      </w:r>
      <w:r/>
    </w:p>
    <w:p>
      <w:pPr>
        <w:ind w:firstLine="567"/>
        <w:jc w:val="both"/>
        <w:shd w:val="clear" w:color="auto" w:fill="ffffff"/>
        <w:widowControl/>
      </w:pPr>
      <w:r>
        <w:rPr>
          <w:sz w:val="24"/>
          <w:szCs w:val="24"/>
          <w:lang w:val="en-US" w:eastAsia="ru-RU"/>
        </w:rPr>
        <w:t xml:space="preserve">MM</w:t>
      </w:r>
      <w:r>
        <w:rPr>
          <w:sz w:val="24"/>
          <w:szCs w:val="24"/>
          <w:vertAlign w:val="subscript"/>
          <w:lang w:val="en-US" w:eastAsia="ru-RU"/>
        </w:rPr>
        <w:t xml:space="preserve">str</w:t>
      </w:r>
      <w:r>
        <w:rPr>
          <w:sz w:val="24"/>
          <w:szCs w:val="24"/>
          <w:lang w:eastAsia="ru-RU"/>
        </w:rPr>
        <w:t xml:space="preserve"> - общее число парковочных мест в пределах уличной сети в границах разрабатываемого проекта планировки территории;</w:t>
      </w:r>
      <w:r>
        <w:rPr>
          <w:sz w:val="24"/>
          <w:szCs w:val="24"/>
          <w:lang w:eastAsia="ru-RU"/>
        </w:rPr>
      </w:r>
      <w:r/>
    </w:p>
    <w:p>
      <w:pPr>
        <w:ind w:firstLine="567"/>
        <w:jc w:val="both"/>
        <w:shd w:val="clear" w:color="auto" w:fill="ffffff"/>
        <w:widowControl/>
      </w:pPr>
      <w:r>
        <w:rPr>
          <w:sz w:val="24"/>
          <w:szCs w:val="24"/>
          <w:lang w:val="en-US" w:eastAsia="ru-RU"/>
        </w:rPr>
        <w:t xml:space="preserve">k</w:t>
      </w:r>
      <w:r>
        <w:rPr>
          <w:sz w:val="24"/>
          <w:szCs w:val="24"/>
          <w:vertAlign w:val="subscript"/>
          <w:lang w:eastAsia="ru-RU"/>
        </w:rPr>
        <w:t xml:space="preserve">2 </w:t>
      </w:r>
      <w:r>
        <w:rPr>
          <w:sz w:val="24"/>
          <w:szCs w:val="24"/>
          <w:lang w:eastAsia="ru-RU"/>
        </w:rPr>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r>
        <w:rPr>
          <w:sz w:val="24"/>
          <w:szCs w:val="24"/>
          <w:lang w:eastAsia="ru-RU"/>
        </w:rPr>
      </w:r>
      <w:r/>
    </w:p>
    <w:p>
      <w:pPr>
        <w:ind w:firstLine="567"/>
        <w:jc w:val="both"/>
        <w:shd w:val="clear" w:color="auto" w:fill="ffffff"/>
        <w:widowControl/>
      </w:pPr>
      <w:r>
        <w:rPr>
          <w:sz w:val="24"/>
          <w:szCs w:val="24"/>
          <w:lang w:val="en-US" w:eastAsia="ru-RU"/>
        </w:rPr>
        <w:t xml:space="preserve">N</w:t>
      </w:r>
      <w:r>
        <w:rPr>
          <w:sz w:val="24"/>
          <w:szCs w:val="24"/>
          <w:vertAlign w:val="subscript"/>
          <w:lang w:eastAsia="ru-RU"/>
        </w:rPr>
        <w:t xml:space="preserve">ИЖС </w:t>
      </w:r>
      <w:r>
        <w:rPr>
          <w:sz w:val="24"/>
          <w:szCs w:val="24"/>
          <w:lang w:eastAsia="ru-RU"/>
        </w:rPr>
        <w:t xml:space="preserve"> - количество участков ИЖС в границах разрабатываемого проекта планировки территории.</w:t>
      </w:r>
      <w:r>
        <w:rPr>
          <w:sz w:val="24"/>
          <w:szCs w:val="24"/>
          <w:lang w:eastAsia="ru-RU"/>
        </w:rPr>
      </w:r>
      <w:r/>
    </w:p>
    <w:p>
      <w:pPr>
        <w:ind w:firstLine="567"/>
        <w:jc w:val="both"/>
        <w:shd w:val="clear" w:color="auto" w:fill="ffffff"/>
        <w:widowControl/>
      </w:pPr>
      <w:r>
        <w:rPr>
          <w:sz w:val="24"/>
          <w:szCs w:val="24"/>
          <w:lang w:eastAsia="ru-RU"/>
        </w:rPr>
        <w:t xml:space="preserve">* показатель </w:t>
      </w:r>
      <w:r>
        <w:rPr>
          <w:rFonts w:eastAsia="Calibri"/>
          <w:sz w:val="24"/>
          <w:szCs w:val="24"/>
          <w:lang w:eastAsia="ru-RU"/>
        </w:rPr>
        <mc:AlternateContent>
          <mc:Choice Requires="wpg">
            <w:drawing>
              <wp:inline xmlns:wp="http://schemas.openxmlformats.org/drawingml/2006/wordprocessingDrawing" distT="0" distB="0" distL="0" distR="0">
                <wp:extent cx="160020" cy="228600"/>
                <wp:effectExtent l="0" t="0" r="0" b="0"/>
                <wp:docPr id="1" name=""/>
                <wp:cNvGraphicFramePr/>
                <a:graphic xmlns:a="http://schemas.openxmlformats.org/drawingml/2006/main">
                  <a:graphicData uri="http://schemas.microsoft.com/office/word/2010/wordprocessingShape">
                    <wps:wsp>
                      <wps:cNvPr id="0" name=""/>
                      <wps:cNvSpPr/>
                      <wps:spPr bwMode="auto">
                        <a:xfrm>
                          <a:off x="0" y="0"/>
                          <a:ext cx="160020" cy="228600"/>
                        </a:xfrm>
                        <a:prstGeom prst="rect">
                          <a:avLst/>
                        </a:prstGeom>
                        <a:noFill/>
                        <a:ln>
                          <a:noFill/>
                        </a:ln>
                      </wps:spPr>
                      <wps:bodyPr rot="0">
                        <a:prstTxWarp prst="textNoShape">
                          <a:avLst/>
                        </a:prstTxWarp>
                        <a:noAutofit/>
                      </wps:bodyPr>
                    </wps:wsp>
                  </a:graphicData>
                </a:graphic>
              </wp:inline>
            </w:drawing>
          </mc:Choice>
          <mc:Fallback>
            <w:pict>
              <v:shape id="shape 0" o:spid="_x0000_s0" o:spt="1" type="#_x0000_t1" style="width:12.6pt;height:18.0pt;mso-wrap-distance-left:0.0pt;mso-wrap-distance-top:0.0pt;mso-wrap-distance-right:0.0pt;mso-wrap-distance-bottom:0.0pt;visibility:visible;" filled="f" stroked="f"/>
            </w:pict>
          </mc:Fallback>
        </mc:AlternateContent>
      </w:r>
      <w:r>
        <w:rPr>
          <w:sz w:val="24"/>
          <w:szCs w:val="24"/>
          <w:lang w:eastAsia="ru-RU"/>
        </w:rPr>
        <w:t xml:space="preserve"> определяется каждый год приказом департамента по архитектуре и градостроительству Краснодарского  края.</w:t>
      </w:r>
      <w:r>
        <w:rPr>
          <w:sz w:val="24"/>
          <w:szCs w:val="24"/>
          <w:lang w:eastAsia="ru-RU"/>
        </w:rPr>
      </w:r>
      <w:r/>
    </w:p>
    <w:p>
      <w:pPr>
        <w:ind w:firstLine="567"/>
        <w:jc w:val="both"/>
        <w:keepNext/>
      </w:pPr>
      <w:r>
        <w:rPr>
          <w:sz w:val="24"/>
          <w:szCs w:val="24"/>
          <w:shd w:val="clear" w:color="auto" w:fill="ffffff"/>
          <w:lang w:eastAsia="ru-RU"/>
        </w:rPr>
        <w:t xml:space="preserve">6) Предоставление земельных участков для р</w:t>
      </w:r>
      <w:r>
        <w:rPr>
          <w:sz w:val="24"/>
          <w:szCs w:val="24"/>
          <w:shd w:val="clear" w:color="auto" w:fill="ffffff"/>
          <w:lang w:eastAsia="ru-RU"/>
        </w:rPr>
        <w:t xml:space="preserve">азмещени</w:t>
      </w:r>
      <w:r>
        <w:rPr>
          <w:sz w:val="24"/>
          <w:szCs w:val="24"/>
          <w:shd w:val="clear" w:color="auto" w:fill="ffffff"/>
          <w:lang w:eastAsia="ru-RU"/>
        </w:rPr>
        <w:t xml:space="preserve">я</w:t>
      </w:r>
      <w:r>
        <w:rPr>
          <w:sz w:val="24"/>
          <w:szCs w:val="24"/>
          <w:shd w:val="clear" w:color="auto" w:fill="ffffff"/>
          <w:lang w:eastAsia="ru-RU"/>
        </w:rPr>
        <w:t xml:space="preserve"> </w:t>
      </w:r>
      <w:r>
        <w:rPr>
          <w:sz w:val="24"/>
          <w:szCs w:val="24"/>
          <w:lang w:eastAsia="ru-RU"/>
        </w:rPr>
        <w:t xml:space="preserve">парковок (парковочных мест)</w:t>
      </w:r>
      <w:r>
        <w:rPr>
          <w:sz w:val="24"/>
          <w:szCs w:val="24"/>
          <w:lang w:eastAsia="ru-RU"/>
        </w:rPr>
        <w:t xml:space="preserve"> </w:t>
      </w:r>
      <w:r>
        <w:rPr>
          <w:sz w:val="24"/>
          <w:szCs w:val="24"/>
          <w:shd w:val="clear" w:color="auto" w:fill="ffffff"/>
          <w:lang w:eastAsia="ru-RU"/>
        </w:rPr>
        <w:t xml:space="preserve">в границах полосы отвода автомобильной дороги должно осуществляться в соответствии с документацией по планировке территории и требованиями технических регламентов (ст. 22 ФЗ № 257).</w:t>
      </w:r>
      <w:r>
        <w:rPr>
          <w:sz w:val="24"/>
          <w:szCs w:val="24"/>
          <w:shd w:val="clear" w:color="auto" w:fill="ffffff"/>
          <w:lang w:eastAsia="ru-RU"/>
        </w:rPr>
        <w:t xml:space="preserve"> </w:t>
      </w:r>
      <w:r>
        <w:rPr>
          <w:sz w:val="24"/>
          <w:szCs w:val="24"/>
          <w:lang w:eastAsia="ru-RU"/>
        </w:rPr>
        <w:t xml:space="preserve">П</w:t>
      </w:r>
      <w:r>
        <w:rPr>
          <w:sz w:val="24"/>
          <w:szCs w:val="24"/>
          <w:lang w:eastAsia="ru-RU"/>
        </w:rPr>
        <w:t xml:space="preserve">оряд</w:t>
      </w:r>
      <w:r>
        <w:rPr>
          <w:sz w:val="24"/>
          <w:szCs w:val="24"/>
          <w:lang w:eastAsia="ru-RU"/>
        </w:rPr>
        <w:t xml:space="preserve">ок</w:t>
      </w:r>
      <w:r>
        <w:rPr>
          <w:sz w:val="24"/>
          <w:szCs w:val="24"/>
          <w:lang w:eastAsia="ru-RU"/>
        </w:rPr>
        <w:t xml:space="preserve">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w:t>
      </w:r>
      <w:r>
        <w:rPr>
          <w:sz w:val="24"/>
          <w:szCs w:val="24"/>
          <w:lang w:eastAsia="ru-RU"/>
        </w:rPr>
        <w:t xml:space="preserve"> устанавливается ОМС (ст.17 настоящих Правил).</w:t>
      </w:r>
      <w:r>
        <w:rPr>
          <w:sz w:val="24"/>
          <w:szCs w:val="24"/>
          <w:lang w:eastAsia="ru-RU"/>
        </w:rPr>
      </w:r>
      <w:r/>
    </w:p>
    <w:p>
      <w:pPr>
        <w:ind w:firstLine="567"/>
        <w:jc w:val="both"/>
        <w:keepNext/>
      </w:pPr>
      <w:r>
        <w:rPr>
          <w:rFonts w:eastAsia="Arial"/>
          <w:sz w:val="24"/>
          <w:szCs w:val="24"/>
        </w:rPr>
        <w:t xml:space="preserve">7)  Расстояние от гаражей и открытых стоянок при числе легковых автомобилей принимать в соответствии с таблицей</w:t>
      </w:r>
      <w:r>
        <w:rPr>
          <w:sz w:val="24"/>
          <w:szCs w:val="24"/>
          <w:lang w:eastAsia="ru-RU"/>
        </w:rPr>
      </w:r>
      <w:r/>
    </w:p>
    <w:tbl>
      <w:tblPr>
        <w:tblW w:w="0" w:type="auto"/>
        <w:tblInd w:w="6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62" w:type="dxa"/>
          <w:top w:w="102" w:type="dxa"/>
          <w:right w:w="62" w:type="dxa"/>
          <w:bottom w:w="102" w:type="dxa"/>
        </w:tblCellMar>
        <w:tblLook w:val="0000" w:firstRow="0" w:lastRow="0" w:firstColumn="0" w:lastColumn="0" w:noHBand="0" w:noVBand="0"/>
      </w:tblPr>
      <w:tblGrid>
        <w:gridCol w:w="3259"/>
        <w:gridCol w:w="2678"/>
        <w:gridCol w:w="1559"/>
        <w:gridCol w:w="2126"/>
        <w:gridCol w:w="1701"/>
        <w:gridCol w:w="1985"/>
        <w:gridCol w:w="1860"/>
      </w:tblGrid>
      <w:tr>
        <w:trPr/>
        <w:tc>
          <w:tcPr>
            <w:tcW w:w="3259" w:type="dxa"/>
            <w:vMerge w:val="restart"/>
            <w:textDirection w:val="lrTb"/>
            <w:noWrap w:val="false"/>
          </w:tcPr>
          <w:p>
            <w:pPr>
              <w:ind w:firstLine="567"/>
              <w:jc w:val="center"/>
              <w:widowControl/>
              <w:rPr>
                <w:rFonts w:eastAsia="Arial"/>
              </w:rPr>
            </w:pPr>
            <w:r>
              <w:rPr>
                <w:rFonts w:eastAsia="Arial"/>
              </w:rPr>
              <w:t xml:space="preserve">Здания, до которых определяется расстояние</w:t>
            </w:r>
            <w:r>
              <w:rPr>
                <w:rFonts w:eastAsia="Arial"/>
              </w:rPr>
            </w:r>
            <w:r/>
          </w:p>
        </w:tc>
        <w:tc>
          <w:tcPr>
            <w:gridSpan w:val="6"/>
            <w:tcW w:w="11909" w:type="dxa"/>
            <w:textDirection w:val="lrTb"/>
            <w:noWrap w:val="false"/>
          </w:tcPr>
          <w:p>
            <w:pPr>
              <w:ind w:firstLine="567"/>
              <w:jc w:val="center"/>
              <w:widowControl/>
              <w:rPr>
                <w:rFonts w:eastAsia="Arial"/>
              </w:rPr>
            </w:pPr>
            <w:r>
              <w:rPr>
                <w:rFonts w:eastAsia="Arial"/>
              </w:rPr>
              <w:t xml:space="preserve">Расстояние, метров</w:t>
            </w:r>
            <w:r>
              <w:rPr>
                <w:rFonts w:eastAsia="Arial"/>
              </w:rPr>
            </w:r>
            <w:r/>
          </w:p>
        </w:tc>
      </w:tr>
      <w:tr>
        <w:trPr/>
        <w:tc>
          <w:tcPr>
            <w:tcW w:w="3259" w:type="dxa"/>
            <w:vMerge w:val="continue"/>
            <w:textDirection w:val="lrTb"/>
            <w:noWrap w:val="false"/>
          </w:tcPr>
          <w:p>
            <w:pPr>
              <w:ind w:firstLine="567"/>
            </w:pPr>
            <w:r/>
            <w:r/>
          </w:p>
        </w:tc>
        <w:tc>
          <w:tcPr>
            <w:gridSpan w:val="4"/>
            <w:tcW w:w="8064" w:type="dxa"/>
            <w:textDirection w:val="lrTb"/>
            <w:noWrap w:val="false"/>
          </w:tcPr>
          <w:p>
            <w:pPr>
              <w:ind w:firstLine="567"/>
              <w:jc w:val="center"/>
              <w:widowControl/>
              <w:rPr>
                <w:rFonts w:eastAsia="Arial"/>
              </w:rPr>
            </w:pPr>
            <w:r>
              <w:rPr>
                <w:rFonts w:eastAsia="Arial"/>
              </w:rPr>
              <w:t xml:space="preserve">от гаражей и открытых стоянок при числе легковых автомобилей</w:t>
            </w:r>
            <w:r>
              <w:rPr>
                <w:rFonts w:eastAsia="Arial"/>
              </w:rPr>
            </w:r>
            <w:r/>
          </w:p>
        </w:tc>
        <w:tc>
          <w:tcPr>
            <w:gridSpan w:val="2"/>
            <w:tcW w:w="3845" w:type="dxa"/>
            <w:textDirection w:val="lrTb"/>
            <w:noWrap w:val="false"/>
          </w:tcPr>
          <w:p>
            <w:pPr>
              <w:ind w:firstLine="567"/>
              <w:jc w:val="center"/>
              <w:widowControl/>
              <w:rPr>
                <w:rFonts w:eastAsia="Arial"/>
              </w:rPr>
            </w:pPr>
            <w:r>
              <w:rPr>
                <w:rFonts w:eastAsia="Arial"/>
              </w:rPr>
              <w:t xml:space="preserve">от станций технического обслуживания при числе постов</w:t>
            </w:r>
            <w:r>
              <w:rPr>
                <w:rFonts w:eastAsia="Arial"/>
              </w:rPr>
            </w:r>
            <w:r/>
          </w:p>
        </w:tc>
      </w:tr>
      <w:tr>
        <w:trPr/>
        <w:tc>
          <w:tcPr>
            <w:tcW w:w="3259" w:type="dxa"/>
            <w:vMerge w:val="continue"/>
            <w:textDirection w:val="lrTb"/>
            <w:noWrap w:val="false"/>
          </w:tcPr>
          <w:p>
            <w:pPr>
              <w:ind w:firstLine="567"/>
            </w:pPr>
            <w:r/>
            <w:r/>
          </w:p>
        </w:tc>
        <w:tc>
          <w:tcPr>
            <w:tcW w:w="2678" w:type="dxa"/>
            <w:textDirection w:val="lrTb"/>
            <w:noWrap w:val="false"/>
          </w:tcPr>
          <w:p>
            <w:pPr>
              <w:ind w:firstLine="567"/>
              <w:jc w:val="center"/>
              <w:widowControl/>
              <w:rPr>
                <w:rFonts w:eastAsia="Arial"/>
              </w:rPr>
            </w:pPr>
            <w:r>
              <w:rPr>
                <w:rFonts w:eastAsia="Arial"/>
              </w:rPr>
              <w:t xml:space="preserve">10 и менее</w:t>
            </w:r>
            <w:r>
              <w:rPr>
                <w:rFonts w:eastAsia="Arial"/>
              </w:rPr>
            </w:r>
            <w:r/>
          </w:p>
        </w:tc>
        <w:tc>
          <w:tcPr>
            <w:tcW w:w="1559" w:type="dxa"/>
            <w:textDirection w:val="lrTb"/>
            <w:noWrap w:val="false"/>
          </w:tcPr>
          <w:p>
            <w:pPr>
              <w:ind w:firstLine="567"/>
              <w:jc w:val="center"/>
              <w:widowControl/>
              <w:rPr>
                <w:rFonts w:eastAsia="Arial"/>
              </w:rPr>
            </w:pPr>
            <w:r>
              <w:rPr>
                <w:rFonts w:eastAsia="Arial"/>
              </w:rPr>
              <w:t xml:space="preserve">11 - 50</w:t>
            </w:r>
            <w:r>
              <w:rPr>
                <w:rFonts w:eastAsia="Arial"/>
              </w:rPr>
            </w:r>
            <w:r/>
          </w:p>
        </w:tc>
        <w:tc>
          <w:tcPr>
            <w:tcW w:w="2126" w:type="dxa"/>
            <w:textDirection w:val="lrTb"/>
            <w:noWrap w:val="false"/>
          </w:tcPr>
          <w:p>
            <w:pPr>
              <w:ind w:firstLine="567"/>
              <w:jc w:val="center"/>
              <w:widowControl/>
              <w:rPr>
                <w:rFonts w:eastAsia="Arial"/>
              </w:rPr>
            </w:pPr>
            <w:r>
              <w:rPr>
                <w:rFonts w:eastAsia="Arial"/>
              </w:rPr>
              <w:t xml:space="preserve">51 - 100</w:t>
            </w:r>
            <w:r>
              <w:rPr>
                <w:rFonts w:eastAsia="Arial"/>
              </w:rPr>
            </w:r>
            <w:r/>
          </w:p>
        </w:tc>
        <w:tc>
          <w:tcPr>
            <w:tcW w:w="1701" w:type="dxa"/>
            <w:textDirection w:val="lrTb"/>
            <w:noWrap w:val="false"/>
          </w:tcPr>
          <w:p>
            <w:pPr>
              <w:ind w:firstLine="567"/>
              <w:jc w:val="center"/>
              <w:widowControl/>
              <w:rPr>
                <w:rFonts w:eastAsia="Arial"/>
              </w:rPr>
            </w:pPr>
            <w:r>
              <w:rPr>
                <w:rFonts w:eastAsia="Arial"/>
              </w:rPr>
              <w:t xml:space="preserve">101 - 300</w:t>
            </w:r>
            <w:r>
              <w:rPr>
                <w:rFonts w:eastAsia="Arial"/>
              </w:rPr>
            </w:r>
            <w:r/>
          </w:p>
        </w:tc>
        <w:tc>
          <w:tcPr>
            <w:tcW w:w="1985" w:type="dxa"/>
            <w:textDirection w:val="lrTb"/>
            <w:noWrap w:val="false"/>
          </w:tcPr>
          <w:p>
            <w:pPr>
              <w:ind w:firstLine="567"/>
              <w:jc w:val="center"/>
              <w:widowControl/>
              <w:rPr>
                <w:rFonts w:eastAsia="Arial"/>
              </w:rPr>
            </w:pPr>
            <w:r>
              <w:rPr>
                <w:rFonts w:eastAsia="Arial"/>
              </w:rPr>
              <w:t xml:space="preserve">10 и менее</w:t>
            </w:r>
            <w:r>
              <w:rPr>
                <w:rFonts w:eastAsia="Arial"/>
              </w:rPr>
            </w:r>
            <w:r/>
          </w:p>
        </w:tc>
        <w:tc>
          <w:tcPr>
            <w:tcW w:w="1860" w:type="dxa"/>
            <w:textDirection w:val="lrTb"/>
            <w:noWrap w:val="false"/>
          </w:tcPr>
          <w:p>
            <w:pPr>
              <w:ind w:firstLine="567"/>
              <w:jc w:val="center"/>
              <w:widowControl/>
              <w:rPr>
                <w:rFonts w:eastAsia="Arial"/>
              </w:rPr>
            </w:pPr>
            <w:r>
              <w:rPr>
                <w:rFonts w:eastAsia="Arial"/>
              </w:rPr>
              <w:t xml:space="preserve">11 - 30</w:t>
            </w:r>
            <w:r>
              <w:rPr>
                <w:rFonts w:eastAsia="Arial"/>
              </w:rPr>
            </w:r>
            <w:r/>
          </w:p>
        </w:tc>
      </w:tr>
      <w:tr>
        <w:trPr/>
        <w:tc>
          <w:tcPr>
            <w:tcW w:w="3259" w:type="dxa"/>
            <w:textDirection w:val="lrTb"/>
            <w:noWrap w:val="false"/>
          </w:tcPr>
          <w:p>
            <w:pPr>
              <w:ind w:firstLine="567"/>
              <w:widowControl/>
              <w:rPr>
                <w:rFonts w:eastAsia="Arial"/>
              </w:rPr>
            </w:pPr>
            <w:r>
              <w:rPr>
                <w:rFonts w:eastAsia="Arial"/>
              </w:rPr>
              <w:t xml:space="preserve">Жилые дома</w:t>
            </w:r>
            <w:r>
              <w:rPr>
                <w:rFonts w:eastAsia="Arial"/>
              </w:rPr>
            </w:r>
            <w:r/>
          </w:p>
        </w:tc>
        <w:tc>
          <w:tcPr>
            <w:tcW w:w="2678" w:type="dxa"/>
            <w:textDirection w:val="lrTb"/>
            <w:noWrap w:val="false"/>
          </w:tcPr>
          <w:p>
            <w:pPr>
              <w:ind w:firstLine="567"/>
              <w:jc w:val="center"/>
              <w:widowControl/>
              <w:rPr>
                <w:rFonts w:eastAsia="Arial"/>
              </w:rPr>
            </w:pPr>
            <w:r>
              <w:rPr>
                <w:rFonts w:eastAsia="Arial"/>
              </w:rPr>
              <w:t xml:space="preserve">10 </w:t>
            </w:r>
            <w:hyperlink w:tooltip="#P13210" w:anchor="P13210" w:history="1">
              <w:r>
                <w:rPr>
                  <w:rFonts w:eastAsia="Arial"/>
                </w:rPr>
                <w:t xml:space="preserve">&lt;**&gt;</w:t>
              </w:r>
            </w:hyperlink>
            <w:r>
              <w:rPr>
                <w:rFonts w:eastAsia="Arial"/>
              </w:rPr>
            </w:r>
            <w:r/>
          </w:p>
        </w:tc>
        <w:tc>
          <w:tcPr>
            <w:tcW w:w="1559" w:type="dxa"/>
            <w:textDirection w:val="lrTb"/>
            <w:noWrap w:val="false"/>
          </w:tcPr>
          <w:p>
            <w:pPr>
              <w:ind w:firstLine="567"/>
              <w:jc w:val="center"/>
              <w:widowControl/>
              <w:rPr>
                <w:rFonts w:eastAsia="Arial"/>
              </w:rPr>
            </w:pPr>
            <w:r>
              <w:rPr>
                <w:rFonts w:eastAsia="Arial"/>
              </w:rPr>
              <w:t xml:space="preserve">15</w:t>
            </w:r>
            <w:r>
              <w:rPr>
                <w:rFonts w:eastAsia="Arial"/>
              </w:rPr>
            </w:r>
            <w:r/>
          </w:p>
        </w:tc>
        <w:tc>
          <w:tcPr>
            <w:tcW w:w="2126" w:type="dxa"/>
            <w:textDirection w:val="lrTb"/>
            <w:noWrap w:val="false"/>
          </w:tcPr>
          <w:p>
            <w:pPr>
              <w:ind w:firstLine="567"/>
              <w:jc w:val="center"/>
              <w:widowControl/>
              <w:rPr>
                <w:rFonts w:eastAsia="Arial"/>
              </w:rPr>
            </w:pPr>
            <w:r>
              <w:rPr>
                <w:rFonts w:eastAsia="Arial"/>
              </w:rPr>
              <w:t xml:space="preserve">25</w:t>
            </w:r>
            <w:r>
              <w:rPr>
                <w:rFonts w:eastAsia="Arial"/>
              </w:rPr>
            </w:r>
            <w:r/>
          </w:p>
        </w:tc>
        <w:tc>
          <w:tcPr>
            <w:tcW w:w="1701" w:type="dxa"/>
            <w:textDirection w:val="lrTb"/>
            <w:noWrap w:val="false"/>
          </w:tcPr>
          <w:p>
            <w:pPr>
              <w:ind w:firstLine="567"/>
              <w:jc w:val="center"/>
              <w:widowControl/>
              <w:rPr>
                <w:rFonts w:eastAsia="Arial"/>
              </w:rPr>
            </w:pPr>
            <w:r>
              <w:rPr>
                <w:rFonts w:eastAsia="Arial"/>
              </w:rPr>
              <w:t xml:space="preserve">35</w:t>
            </w:r>
            <w:r>
              <w:rPr>
                <w:rFonts w:eastAsia="Arial"/>
              </w:rPr>
            </w:r>
            <w:r/>
          </w:p>
        </w:tc>
        <w:tc>
          <w:tcPr>
            <w:tcW w:w="1985" w:type="dxa"/>
            <w:textDirection w:val="lrTb"/>
            <w:noWrap w:val="false"/>
          </w:tcPr>
          <w:p>
            <w:pPr>
              <w:ind w:firstLine="567"/>
              <w:jc w:val="center"/>
              <w:widowControl/>
              <w:rPr>
                <w:rFonts w:eastAsia="Arial"/>
              </w:rPr>
            </w:pPr>
            <w:r>
              <w:rPr>
                <w:rFonts w:eastAsia="Arial"/>
              </w:rPr>
              <w:t xml:space="preserve">15</w:t>
            </w:r>
            <w:r>
              <w:rPr>
                <w:rFonts w:eastAsia="Arial"/>
              </w:rPr>
            </w:r>
            <w:r/>
          </w:p>
        </w:tc>
        <w:tc>
          <w:tcPr>
            <w:tcW w:w="1860" w:type="dxa"/>
            <w:textDirection w:val="lrTb"/>
            <w:noWrap w:val="false"/>
          </w:tcPr>
          <w:p>
            <w:pPr>
              <w:ind w:firstLine="567"/>
              <w:jc w:val="center"/>
              <w:widowControl/>
              <w:rPr>
                <w:rFonts w:eastAsia="Arial"/>
              </w:rPr>
            </w:pPr>
            <w:r>
              <w:rPr>
                <w:rFonts w:eastAsia="Arial"/>
              </w:rPr>
              <w:t xml:space="preserve">25</w:t>
            </w:r>
            <w:r>
              <w:rPr>
                <w:rFonts w:eastAsia="Arial"/>
              </w:rPr>
            </w:r>
            <w:r/>
          </w:p>
        </w:tc>
      </w:tr>
      <w:tr>
        <w:trPr/>
        <w:tc>
          <w:tcPr>
            <w:tcW w:w="3259" w:type="dxa"/>
            <w:textDirection w:val="lrTb"/>
            <w:noWrap w:val="false"/>
          </w:tcPr>
          <w:p>
            <w:pPr>
              <w:ind w:firstLine="567"/>
              <w:widowControl/>
              <w:rPr>
                <w:rFonts w:eastAsia="Arial"/>
              </w:rPr>
            </w:pPr>
            <w:r>
              <w:rPr>
                <w:rFonts w:eastAsia="Arial"/>
              </w:rPr>
              <w:t xml:space="preserve">В том числе торцы жилых домов без окон</w:t>
            </w:r>
            <w:r>
              <w:rPr>
                <w:rFonts w:eastAsia="Arial"/>
              </w:rPr>
            </w:r>
            <w:r/>
          </w:p>
        </w:tc>
        <w:tc>
          <w:tcPr>
            <w:tcW w:w="2678" w:type="dxa"/>
            <w:textDirection w:val="lrTb"/>
            <w:noWrap w:val="false"/>
          </w:tcPr>
          <w:p>
            <w:pPr>
              <w:ind w:firstLine="567"/>
              <w:jc w:val="center"/>
              <w:widowControl/>
              <w:rPr>
                <w:rFonts w:eastAsia="Arial"/>
              </w:rPr>
            </w:pPr>
            <w:r>
              <w:rPr>
                <w:rFonts w:eastAsia="Arial"/>
              </w:rPr>
              <w:t xml:space="preserve">10 </w:t>
            </w:r>
            <w:hyperlink w:tooltip="#P13210" w:anchor="P13210" w:history="1">
              <w:r>
                <w:rPr>
                  <w:rFonts w:eastAsia="Arial"/>
                </w:rPr>
                <w:t xml:space="preserve">&lt;**&gt;</w:t>
              </w:r>
            </w:hyperlink>
            <w:r>
              <w:rPr>
                <w:rFonts w:eastAsia="Arial"/>
              </w:rPr>
            </w:r>
            <w:r/>
          </w:p>
        </w:tc>
        <w:tc>
          <w:tcPr>
            <w:tcW w:w="1559" w:type="dxa"/>
            <w:textDirection w:val="lrTb"/>
            <w:noWrap w:val="false"/>
          </w:tcPr>
          <w:p>
            <w:pPr>
              <w:ind w:firstLine="567"/>
              <w:jc w:val="center"/>
              <w:widowControl/>
              <w:rPr>
                <w:rFonts w:eastAsia="Arial"/>
              </w:rPr>
            </w:pPr>
            <w:r>
              <w:rPr>
                <w:rFonts w:eastAsia="Arial"/>
              </w:rPr>
              <w:t xml:space="preserve">10 </w:t>
            </w:r>
            <w:hyperlink w:tooltip="#P13210" w:anchor="P13210" w:history="1">
              <w:r>
                <w:rPr>
                  <w:rFonts w:eastAsia="Arial"/>
                </w:rPr>
                <w:t xml:space="preserve">&lt;**&gt;</w:t>
              </w:r>
            </w:hyperlink>
            <w:r>
              <w:rPr>
                <w:rFonts w:eastAsia="Arial"/>
              </w:rPr>
            </w:r>
            <w:r/>
          </w:p>
        </w:tc>
        <w:tc>
          <w:tcPr>
            <w:tcW w:w="2126" w:type="dxa"/>
            <w:textDirection w:val="lrTb"/>
            <w:noWrap w:val="false"/>
          </w:tcPr>
          <w:p>
            <w:pPr>
              <w:ind w:firstLine="567"/>
              <w:jc w:val="center"/>
              <w:widowControl/>
              <w:rPr>
                <w:rFonts w:eastAsia="Arial"/>
              </w:rPr>
            </w:pPr>
            <w:r>
              <w:rPr>
                <w:rFonts w:eastAsia="Arial"/>
              </w:rPr>
              <w:t xml:space="preserve">15</w:t>
            </w:r>
            <w:r>
              <w:rPr>
                <w:rFonts w:eastAsia="Arial"/>
              </w:rPr>
            </w:r>
            <w:r/>
          </w:p>
        </w:tc>
        <w:tc>
          <w:tcPr>
            <w:tcW w:w="1701" w:type="dxa"/>
            <w:textDirection w:val="lrTb"/>
            <w:noWrap w:val="false"/>
          </w:tcPr>
          <w:p>
            <w:pPr>
              <w:ind w:firstLine="567"/>
              <w:jc w:val="center"/>
              <w:widowControl/>
              <w:rPr>
                <w:rFonts w:eastAsia="Arial"/>
              </w:rPr>
            </w:pPr>
            <w:r>
              <w:rPr>
                <w:rFonts w:eastAsia="Arial"/>
              </w:rPr>
              <w:t xml:space="preserve">25</w:t>
            </w:r>
            <w:r>
              <w:rPr>
                <w:rFonts w:eastAsia="Arial"/>
              </w:rPr>
            </w:r>
            <w:r/>
          </w:p>
        </w:tc>
        <w:tc>
          <w:tcPr>
            <w:tcW w:w="1985" w:type="dxa"/>
            <w:textDirection w:val="lrTb"/>
            <w:noWrap w:val="false"/>
          </w:tcPr>
          <w:p>
            <w:pPr>
              <w:ind w:firstLine="567"/>
              <w:jc w:val="center"/>
              <w:widowControl/>
              <w:rPr>
                <w:rFonts w:eastAsia="Arial"/>
              </w:rPr>
            </w:pPr>
            <w:r>
              <w:rPr>
                <w:rFonts w:eastAsia="Arial"/>
              </w:rPr>
              <w:t xml:space="preserve">15</w:t>
            </w:r>
            <w:r>
              <w:rPr>
                <w:rFonts w:eastAsia="Arial"/>
              </w:rPr>
            </w:r>
            <w:r/>
          </w:p>
        </w:tc>
        <w:tc>
          <w:tcPr>
            <w:tcW w:w="1860" w:type="dxa"/>
            <w:textDirection w:val="lrTb"/>
            <w:noWrap w:val="false"/>
          </w:tcPr>
          <w:p>
            <w:pPr>
              <w:ind w:firstLine="567"/>
              <w:jc w:val="center"/>
              <w:widowControl/>
              <w:rPr>
                <w:rFonts w:eastAsia="Arial"/>
              </w:rPr>
            </w:pPr>
            <w:r>
              <w:rPr>
                <w:rFonts w:eastAsia="Arial"/>
              </w:rPr>
              <w:t xml:space="preserve">25</w:t>
            </w:r>
            <w:r>
              <w:rPr>
                <w:rFonts w:eastAsia="Arial"/>
              </w:rPr>
            </w:r>
            <w:r/>
          </w:p>
        </w:tc>
      </w:tr>
      <w:tr>
        <w:trPr/>
        <w:tc>
          <w:tcPr>
            <w:tcW w:w="3259" w:type="dxa"/>
            <w:textDirection w:val="lrTb"/>
            <w:noWrap w:val="false"/>
          </w:tcPr>
          <w:p>
            <w:pPr>
              <w:ind w:firstLine="567"/>
              <w:widowControl/>
              <w:rPr>
                <w:rFonts w:eastAsia="Arial"/>
              </w:rPr>
            </w:pPr>
            <w:r>
              <w:rPr>
                <w:rFonts w:eastAsia="Arial"/>
              </w:rPr>
              <w:t xml:space="preserve">Общественные здания</w:t>
            </w:r>
            <w:r>
              <w:rPr>
                <w:rFonts w:eastAsia="Arial"/>
              </w:rPr>
            </w:r>
            <w:r/>
          </w:p>
        </w:tc>
        <w:tc>
          <w:tcPr>
            <w:tcW w:w="2678" w:type="dxa"/>
            <w:textDirection w:val="lrTb"/>
            <w:noWrap w:val="false"/>
          </w:tcPr>
          <w:p>
            <w:pPr>
              <w:ind w:firstLine="567"/>
              <w:jc w:val="center"/>
              <w:widowControl/>
              <w:rPr>
                <w:rFonts w:eastAsia="Arial"/>
              </w:rPr>
            </w:pPr>
            <w:r>
              <w:rPr>
                <w:rFonts w:eastAsia="Arial"/>
              </w:rPr>
              <w:t xml:space="preserve">10 </w:t>
            </w:r>
            <w:hyperlink w:tooltip="#P13210" w:anchor="P13210" w:history="1">
              <w:r>
                <w:rPr>
                  <w:rFonts w:eastAsia="Arial"/>
                </w:rPr>
                <w:t xml:space="preserve">&lt;**&gt;</w:t>
              </w:r>
            </w:hyperlink>
            <w:r>
              <w:rPr>
                <w:rFonts w:eastAsia="Arial"/>
              </w:rPr>
            </w:r>
            <w:r/>
          </w:p>
        </w:tc>
        <w:tc>
          <w:tcPr>
            <w:tcW w:w="1559" w:type="dxa"/>
            <w:textDirection w:val="lrTb"/>
            <w:noWrap w:val="false"/>
          </w:tcPr>
          <w:p>
            <w:pPr>
              <w:ind w:firstLine="567"/>
              <w:jc w:val="center"/>
              <w:widowControl/>
              <w:rPr>
                <w:rFonts w:eastAsia="Arial"/>
              </w:rPr>
            </w:pPr>
            <w:r>
              <w:rPr>
                <w:rFonts w:eastAsia="Arial"/>
              </w:rPr>
              <w:t xml:space="preserve">10 </w:t>
            </w:r>
            <w:hyperlink w:tooltip="#P13210" w:anchor="P13210" w:history="1">
              <w:r>
                <w:rPr>
                  <w:rFonts w:eastAsia="Arial"/>
                </w:rPr>
                <w:t xml:space="preserve">&lt;**&gt;</w:t>
              </w:r>
            </w:hyperlink>
            <w:r>
              <w:rPr>
                <w:rFonts w:eastAsia="Arial"/>
              </w:rPr>
            </w:r>
            <w:r/>
          </w:p>
        </w:tc>
        <w:tc>
          <w:tcPr>
            <w:tcW w:w="2126" w:type="dxa"/>
            <w:textDirection w:val="lrTb"/>
            <w:noWrap w:val="false"/>
          </w:tcPr>
          <w:p>
            <w:pPr>
              <w:ind w:firstLine="567"/>
              <w:jc w:val="center"/>
              <w:widowControl/>
              <w:rPr>
                <w:rFonts w:eastAsia="Arial"/>
              </w:rPr>
            </w:pPr>
            <w:r>
              <w:rPr>
                <w:rFonts w:eastAsia="Arial"/>
              </w:rPr>
              <w:t xml:space="preserve">15</w:t>
            </w:r>
            <w:r>
              <w:rPr>
                <w:rFonts w:eastAsia="Arial"/>
              </w:rPr>
            </w:r>
            <w:r/>
          </w:p>
        </w:tc>
        <w:tc>
          <w:tcPr>
            <w:tcW w:w="1701" w:type="dxa"/>
            <w:textDirection w:val="lrTb"/>
            <w:noWrap w:val="false"/>
          </w:tcPr>
          <w:p>
            <w:pPr>
              <w:ind w:firstLine="567"/>
              <w:jc w:val="center"/>
              <w:widowControl/>
              <w:rPr>
                <w:rFonts w:eastAsia="Arial"/>
              </w:rPr>
            </w:pPr>
            <w:r>
              <w:rPr>
                <w:rFonts w:eastAsia="Arial"/>
              </w:rPr>
              <w:t xml:space="preserve">25</w:t>
            </w:r>
            <w:r>
              <w:rPr>
                <w:rFonts w:eastAsia="Arial"/>
              </w:rPr>
            </w:r>
            <w:r/>
          </w:p>
        </w:tc>
        <w:tc>
          <w:tcPr>
            <w:tcW w:w="1985" w:type="dxa"/>
            <w:textDirection w:val="lrTb"/>
            <w:noWrap w:val="false"/>
          </w:tcPr>
          <w:p>
            <w:pPr>
              <w:ind w:firstLine="567"/>
              <w:jc w:val="center"/>
              <w:widowControl/>
              <w:rPr>
                <w:rFonts w:eastAsia="Arial"/>
              </w:rPr>
            </w:pPr>
            <w:r>
              <w:rPr>
                <w:rFonts w:eastAsia="Arial"/>
              </w:rPr>
              <w:t xml:space="preserve">15</w:t>
            </w:r>
            <w:r>
              <w:rPr>
                <w:rFonts w:eastAsia="Arial"/>
              </w:rPr>
            </w:r>
            <w:r/>
          </w:p>
        </w:tc>
        <w:tc>
          <w:tcPr>
            <w:tcW w:w="1860" w:type="dxa"/>
            <w:textDirection w:val="lrTb"/>
            <w:noWrap w:val="false"/>
          </w:tcPr>
          <w:p>
            <w:pPr>
              <w:ind w:firstLine="567"/>
              <w:jc w:val="center"/>
              <w:widowControl/>
              <w:rPr>
                <w:rFonts w:eastAsia="Arial"/>
              </w:rPr>
            </w:pPr>
            <w:r>
              <w:rPr>
                <w:rFonts w:eastAsia="Arial"/>
              </w:rPr>
              <w:t xml:space="preserve">20</w:t>
            </w:r>
            <w:r>
              <w:rPr>
                <w:rFonts w:eastAsia="Arial"/>
              </w:rPr>
            </w:r>
            <w:r/>
          </w:p>
        </w:tc>
      </w:tr>
      <w:tr>
        <w:trPr>
          <w:trHeight w:val="23"/>
        </w:trPr>
        <w:tc>
          <w:tcPr>
            <w:tcW w:w="3259" w:type="dxa"/>
            <w:textDirection w:val="lrTb"/>
            <w:noWrap w:val="false"/>
          </w:tcPr>
          <w:p>
            <w:pPr>
              <w:ind w:firstLine="567"/>
              <w:widowControl/>
              <w:rPr>
                <w:rFonts w:eastAsia="Arial"/>
              </w:rPr>
            </w:pPr>
            <w:r>
              <w:rPr>
                <w:rFonts w:eastAsia="Arial"/>
              </w:rPr>
              <w:t xml:space="preserve">Общеобразовательные </w:t>
            </w:r>
            <w:r>
              <w:rPr>
                <w:rFonts w:eastAsia="Arial"/>
              </w:rPr>
              <w:t xml:space="preserve">школы и детские дошкольные учреждения</w:t>
            </w:r>
            <w:r>
              <w:rPr>
                <w:rFonts w:eastAsia="Arial"/>
              </w:rPr>
            </w:r>
            <w:r/>
          </w:p>
        </w:tc>
        <w:tc>
          <w:tcPr>
            <w:tcW w:w="2678" w:type="dxa"/>
            <w:textDirection w:val="lrTb"/>
            <w:noWrap w:val="false"/>
          </w:tcPr>
          <w:p>
            <w:pPr>
              <w:ind w:firstLine="567"/>
              <w:jc w:val="center"/>
              <w:widowControl/>
              <w:rPr>
                <w:rFonts w:eastAsia="Arial"/>
              </w:rPr>
            </w:pPr>
            <w:r>
              <w:rPr>
                <w:rFonts w:eastAsia="Arial"/>
              </w:rPr>
              <w:t xml:space="preserve">15</w:t>
            </w:r>
            <w:r>
              <w:rPr>
                <w:rFonts w:eastAsia="Arial"/>
              </w:rPr>
            </w:r>
            <w:r/>
          </w:p>
        </w:tc>
        <w:tc>
          <w:tcPr>
            <w:tcW w:w="1559" w:type="dxa"/>
            <w:textDirection w:val="lrTb"/>
            <w:noWrap w:val="false"/>
          </w:tcPr>
          <w:p>
            <w:pPr>
              <w:ind w:firstLine="567"/>
              <w:jc w:val="center"/>
              <w:widowControl/>
              <w:rPr>
                <w:rFonts w:eastAsia="Arial"/>
              </w:rPr>
            </w:pPr>
            <w:r>
              <w:rPr>
                <w:rFonts w:eastAsia="Arial"/>
              </w:rPr>
              <w:t xml:space="preserve">25</w:t>
            </w:r>
            <w:r>
              <w:rPr>
                <w:rFonts w:eastAsia="Arial"/>
              </w:rPr>
            </w:r>
            <w:r/>
          </w:p>
        </w:tc>
        <w:tc>
          <w:tcPr>
            <w:tcW w:w="2126" w:type="dxa"/>
            <w:textDirection w:val="lrTb"/>
            <w:noWrap w:val="false"/>
          </w:tcPr>
          <w:p>
            <w:pPr>
              <w:ind w:firstLine="567"/>
              <w:jc w:val="center"/>
              <w:widowControl/>
              <w:rPr>
                <w:rFonts w:eastAsia="Arial"/>
              </w:rPr>
            </w:pPr>
            <w:r>
              <w:rPr>
                <w:rFonts w:eastAsia="Arial"/>
              </w:rPr>
              <w:t xml:space="preserve">25</w:t>
            </w:r>
            <w:r>
              <w:rPr>
                <w:rFonts w:eastAsia="Arial"/>
              </w:rPr>
            </w:r>
            <w:r/>
          </w:p>
        </w:tc>
        <w:tc>
          <w:tcPr>
            <w:tcW w:w="1701" w:type="dxa"/>
            <w:textDirection w:val="lrTb"/>
            <w:noWrap w:val="false"/>
          </w:tcPr>
          <w:p>
            <w:pPr>
              <w:ind w:firstLine="567"/>
              <w:jc w:val="center"/>
              <w:widowControl/>
              <w:rPr>
                <w:rFonts w:eastAsia="Arial"/>
              </w:rPr>
            </w:pPr>
            <w:r>
              <w:rPr>
                <w:rFonts w:eastAsia="Arial"/>
              </w:rPr>
              <w:t xml:space="preserve">50</w:t>
            </w:r>
            <w:r>
              <w:rPr>
                <w:rFonts w:eastAsia="Arial"/>
              </w:rPr>
            </w:r>
            <w:r/>
          </w:p>
        </w:tc>
        <w:tc>
          <w:tcPr>
            <w:tcW w:w="1985" w:type="dxa"/>
            <w:textDirection w:val="lrTb"/>
            <w:noWrap w:val="false"/>
          </w:tcPr>
          <w:p>
            <w:pPr>
              <w:ind w:firstLine="567"/>
              <w:jc w:val="center"/>
              <w:widowControl/>
              <w:rPr>
                <w:rFonts w:eastAsia="Arial"/>
              </w:rPr>
            </w:pPr>
            <w:r>
              <w:rPr>
                <w:rFonts w:eastAsia="Arial"/>
              </w:rPr>
              <w:t xml:space="preserve">50</w:t>
            </w:r>
            <w:r>
              <w:rPr>
                <w:rFonts w:eastAsia="Arial"/>
              </w:rPr>
            </w:r>
            <w:r/>
          </w:p>
        </w:tc>
        <w:tc>
          <w:tcPr>
            <w:tcW w:w="1860" w:type="dxa"/>
            <w:textDirection w:val="lrTb"/>
            <w:noWrap w:val="false"/>
          </w:tcPr>
          <w:p>
            <w:pPr>
              <w:ind w:firstLine="567"/>
              <w:jc w:val="center"/>
              <w:widowControl/>
              <w:rPr>
                <w:rFonts w:eastAsia="Arial"/>
              </w:rPr>
            </w:pPr>
            <w:r/>
            <w:hyperlink w:tooltip="#P13209" w:anchor="P13209" w:history="1">
              <w:r>
                <w:rPr>
                  <w:rFonts w:eastAsia="Arial"/>
                </w:rPr>
                <w:t xml:space="preserve">&lt;*&gt;</w:t>
              </w:r>
            </w:hyperlink>
            <w:r>
              <w:rPr>
                <w:rFonts w:eastAsia="Arial"/>
              </w:rPr>
            </w:r>
            <w:r/>
          </w:p>
        </w:tc>
      </w:tr>
      <w:tr>
        <w:trPr/>
        <w:tc>
          <w:tcPr>
            <w:tcW w:w="3259" w:type="dxa"/>
            <w:textDirection w:val="lrTb"/>
            <w:noWrap w:val="false"/>
          </w:tcPr>
          <w:p>
            <w:pPr>
              <w:ind w:firstLine="567"/>
              <w:widowControl/>
              <w:rPr>
                <w:rFonts w:eastAsia="Arial"/>
              </w:rPr>
            </w:pPr>
            <w:r>
              <w:rPr>
                <w:rFonts w:eastAsia="Arial"/>
              </w:rPr>
              <w:t xml:space="preserve">Лечебные учреждения со стационаром</w:t>
            </w:r>
            <w:r>
              <w:rPr>
                <w:rFonts w:eastAsia="Arial"/>
              </w:rPr>
            </w:r>
            <w:r/>
          </w:p>
        </w:tc>
        <w:tc>
          <w:tcPr>
            <w:tcW w:w="2678" w:type="dxa"/>
            <w:textDirection w:val="lrTb"/>
            <w:noWrap w:val="false"/>
          </w:tcPr>
          <w:p>
            <w:pPr>
              <w:ind w:firstLine="567"/>
              <w:jc w:val="center"/>
              <w:widowControl/>
              <w:rPr>
                <w:rFonts w:eastAsia="Arial"/>
              </w:rPr>
            </w:pPr>
            <w:r>
              <w:rPr>
                <w:rFonts w:eastAsia="Arial"/>
              </w:rPr>
              <w:t xml:space="preserve">25</w:t>
            </w:r>
            <w:r>
              <w:rPr>
                <w:rFonts w:eastAsia="Arial"/>
              </w:rPr>
            </w:r>
            <w:r/>
          </w:p>
        </w:tc>
        <w:tc>
          <w:tcPr>
            <w:tcW w:w="1559" w:type="dxa"/>
            <w:textDirection w:val="lrTb"/>
            <w:noWrap w:val="false"/>
          </w:tcPr>
          <w:p>
            <w:pPr>
              <w:ind w:firstLine="567"/>
              <w:jc w:val="center"/>
              <w:widowControl/>
              <w:rPr>
                <w:rFonts w:eastAsia="Arial"/>
              </w:rPr>
            </w:pPr>
            <w:r>
              <w:rPr>
                <w:rFonts w:eastAsia="Arial"/>
              </w:rPr>
              <w:t xml:space="preserve">50</w:t>
            </w:r>
            <w:r>
              <w:rPr>
                <w:rFonts w:eastAsia="Arial"/>
              </w:rPr>
            </w:r>
            <w:r/>
          </w:p>
        </w:tc>
        <w:tc>
          <w:tcPr>
            <w:tcW w:w="2126" w:type="dxa"/>
            <w:textDirection w:val="lrTb"/>
            <w:noWrap w:val="false"/>
          </w:tcPr>
          <w:p>
            <w:pPr>
              <w:ind w:firstLine="567"/>
              <w:jc w:val="center"/>
              <w:widowControl/>
              <w:rPr>
                <w:rFonts w:eastAsia="Arial"/>
              </w:rPr>
            </w:pPr>
            <w:r/>
            <w:hyperlink w:tooltip="#P13209" w:anchor="P13209" w:history="1">
              <w:r>
                <w:rPr>
                  <w:rFonts w:eastAsia="Arial"/>
                </w:rPr>
                <w:t xml:space="preserve">&lt;*&gt;</w:t>
              </w:r>
            </w:hyperlink>
            <w:r>
              <w:rPr>
                <w:rFonts w:eastAsia="Arial"/>
              </w:rPr>
            </w:r>
            <w:r/>
          </w:p>
        </w:tc>
        <w:tc>
          <w:tcPr>
            <w:tcW w:w="1701" w:type="dxa"/>
            <w:textDirection w:val="lrTb"/>
            <w:noWrap w:val="false"/>
          </w:tcPr>
          <w:p>
            <w:pPr>
              <w:ind w:firstLine="567"/>
              <w:jc w:val="center"/>
              <w:widowControl/>
              <w:rPr>
                <w:rFonts w:eastAsia="Arial"/>
              </w:rPr>
            </w:pPr>
            <w:r/>
            <w:hyperlink w:tooltip="#P13209" w:anchor="P13209" w:history="1">
              <w:r>
                <w:rPr>
                  <w:rFonts w:eastAsia="Arial"/>
                </w:rPr>
                <w:t xml:space="preserve">&lt;*&gt;</w:t>
              </w:r>
            </w:hyperlink>
            <w:r>
              <w:rPr>
                <w:rFonts w:eastAsia="Arial"/>
              </w:rPr>
            </w:r>
            <w:r/>
          </w:p>
        </w:tc>
        <w:tc>
          <w:tcPr>
            <w:tcW w:w="1985" w:type="dxa"/>
            <w:textDirection w:val="lrTb"/>
            <w:noWrap w:val="false"/>
          </w:tcPr>
          <w:p>
            <w:pPr>
              <w:ind w:firstLine="567"/>
              <w:jc w:val="center"/>
              <w:widowControl/>
              <w:rPr>
                <w:rFonts w:eastAsia="Arial"/>
              </w:rPr>
            </w:pPr>
            <w:r>
              <w:rPr>
                <w:rFonts w:eastAsia="Arial"/>
              </w:rPr>
              <w:t xml:space="preserve">50</w:t>
            </w:r>
            <w:r>
              <w:rPr>
                <w:rFonts w:eastAsia="Arial"/>
              </w:rPr>
            </w:r>
            <w:r/>
          </w:p>
        </w:tc>
        <w:tc>
          <w:tcPr>
            <w:tcW w:w="1860" w:type="dxa"/>
            <w:textDirection w:val="lrTb"/>
            <w:noWrap w:val="false"/>
          </w:tcPr>
          <w:p>
            <w:pPr>
              <w:ind w:firstLine="567"/>
              <w:jc w:val="center"/>
              <w:widowControl/>
              <w:rPr>
                <w:rFonts w:eastAsia="Arial"/>
              </w:rPr>
            </w:pPr>
            <w:r/>
            <w:hyperlink w:tooltip="#P13209" w:anchor="P13209" w:history="1">
              <w:r>
                <w:rPr>
                  <w:rFonts w:eastAsia="Arial"/>
                </w:rPr>
                <w:t xml:space="preserve">&lt;*&gt;</w:t>
              </w:r>
            </w:hyperlink>
            <w:r>
              <w:rPr>
                <w:rFonts w:eastAsia="Arial"/>
              </w:rPr>
            </w:r>
            <w:r/>
          </w:p>
        </w:tc>
      </w:tr>
    </w:tbl>
    <w:p>
      <w:pPr>
        <w:ind w:firstLine="567"/>
        <w:jc w:val="both"/>
      </w:pPr>
      <w:r>
        <w:rPr>
          <w:sz w:val="24"/>
          <w:szCs w:val="24"/>
          <w:lang w:eastAsia="ru-RU"/>
        </w:rPr>
      </w:r>
      <w:r>
        <w:rPr>
          <w:sz w:val="24"/>
          <w:szCs w:val="24"/>
          <w:lang w:eastAsia="ru-RU"/>
        </w:rPr>
      </w:r>
      <w:r/>
    </w:p>
    <w:p>
      <w:pPr>
        <w:ind w:firstLine="567"/>
        <w:jc w:val="both"/>
      </w:pPr>
      <w:r>
        <w:rPr>
          <w:sz w:val="24"/>
          <w:szCs w:val="24"/>
          <w:lang w:eastAsia="ru-RU"/>
        </w:rPr>
        <w:t xml:space="preserve">Примечания.</w:t>
      </w:r>
      <w:r>
        <w:rPr>
          <w:sz w:val="24"/>
          <w:szCs w:val="24"/>
          <w:lang w:eastAsia="ru-RU"/>
        </w:rPr>
      </w:r>
      <w:r/>
    </w:p>
    <w:p>
      <w:pPr>
        <w:ind w:firstLine="567"/>
        <w:jc w:val="both"/>
      </w:pPr>
      <w:r>
        <w:rPr>
          <w:sz w:val="24"/>
          <w:szCs w:val="24"/>
          <w:lang w:eastAsia="ru-RU"/>
        </w:rPr>
        <w:t xml:space="preserve">1. Расстояния следует определять от окон жилых и общественных зданий и от границ 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r>
        <w:rPr>
          <w:sz w:val="24"/>
          <w:szCs w:val="24"/>
          <w:lang w:eastAsia="ru-RU"/>
        </w:rPr>
      </w:r>
      <w:r/>
    </w:p>
    <w:p>
      <w:pPr>
        <w:ind w:firstLine="567"/>
        <w:jc w:val="both"/>
      </w:pPr>
      <w:r>
        <w:rPr>
          <w:sz w:val="24"/>
          <w:szCs w:val="24"/>
          <w:lang w:eastAsia="ru-RU"/>
        </w:rPr>
        <w:t xml:space="preserve">2. Расстояние от секционных жилых домов до открытых площадок вместимостью 101 - 300 машин, размещаемых вдоль продольных фасадов, следует принимать не менее 50 м.</w:t>
      </w:r>
      <w:r>
        <w:rPr>
          <w:sz w:val="24"/>
          <w:szCs w:val="24"/>
          <w:lang w:eastAsia="ru-RU"/>
        </w:rPr>
      </w:r>
      <w:r/>
    </w:p>
    <w:p>
      <w:pPr>
        <w:ind w:firstLine="567"/>
        <w:jc w:val="both"/>
      </w:pPr>
      <w:r>
        <w:rPr>
          <w:sz w:val="24"/>
          <w:szCs w:val="24"/>
          <w:lang w:eastAsia="ru-RU"/>
        </w:rPr>
        <w:t xml:space="preserve">3. Для гаражей I - II степеней огнестойкости указанные в </w:t>
      </w:r>
      <w:hyperlink w:tooltip="#P3098" w:anchor="P3098" w:history="1">
        <w:r>
          <w:rPr>
            <w:sz w:val="24"/>
            <w:szCs w:val="24"/>
            <w:lang w:eastAsia="ru-RU"/>
          </w:rPr>
          <w:t xml:space="preserve">таблице 10</w:t>
        </w:r>
      </w:hyperlink>
      <w:r>
        <w:rPr>
          <w:sz w:val="24"/>
          <w:szCs w:val="24"/>
          <w:lang w:eastAsia="ru-RU"/>
        </w:rPr>
        <w:t xml:space="preserve"> расстояния допускается сокращать на 25 процентов при отсутствии в гаражах открывающихся окон, а также въездов, ориентированных в сторону жилых и общественных зданий.</w:t>
      </w:r>
      <w:r>
        <w:rPr>
          <w:sz w:val="24"/>
          <w:szCs w:val="24"/>
          <w:lang w:eastAsia="ru-RU"/>
        </w:rPr>
      </w:r>
      <w:r/>
    </w:p>
    <w:p>
      <w:pPr>
        <w:ind w:firstLine="567"/>
        <w:jc w:val="both"/>
      </w:pPr>
      <w:r>
        <w:rPr>
          <w:sz w:val="24"/>
          <w:szCs w:val="24"/>
          <w:lang w:eastAsia="ru-RU"/>
        </w:rPr>
        <w:t xml:space="preserve">4. Гаражи и от</w:t>
      </w:r>
      <w:r>
        <w:rPr>
          <w:sz w:val="24"/>
          <w:szCs w:val="24"/>
          <w:lang w:eastAsia="ru-RU"/>
        </w:rPr>
        <w:t xml:space="preserve">крытые стоянки для хранения легковых автомобилей вместимостью более 300 машино-мест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w:t>
      </w:r>
      <w:r>
        <w:rPr>
          <w:sz w:val="24"/>
          <w:szCs w:val="24"/>
          <w:lang w:eastAsia="ru-RU"/>
        </w:rPr>
      </w:r>
      <w:r/>
    </w:p>
    <w:p>
      <w:pPr>
        <w:ind w:firstLine="567"/>
        <w:jc w:val="both"/>
      </w:pPr>
      <w:r>
        <w:rPr>
          <w:sz w:val="24"/>
          <w:szCs w:val="24"/>
          <w:lang w:eastAsia="ru-RU"/>
        </w:rPr>
        <w:t xml:space="preserve">Расстояния определяются по согласованию с органами Государственного санитарно-эпидемиологического надзора.</w:t>
      </w:r>
      <w:r>
        <w:rPr>
          <w:sz w:val="24"/>
          <w:szCs w:val="24"/>
          <w:lang w:eastAsia="ru-RU"/>
        </w:rPr>
      </w:r>
      <w:r/>
    </w:p>
    <w:p>
      <w:pPr>
        <w:ind w:firstLine="567"/>
        <w:jc w:val="both"/>
      </w:pPr>
      <w:r>
        <w:rPr>
          <w:sz w:val="24"/>
          <w:szCs w:val="24"/>
          <w:lang w:eastAsia="ru-RU"/>
        </w:rPr>
        <w:t xml:space="preserve">5. Для гаражей вместимостью более 10 машин указанные в </w:t>
      </w:r>
      <w:hyperlink w:tooltip="#P13160" w:anchor="P13160" w:history="1">
        <w:r>
          <w:rPr>
            <w:sz w:val="24"/>
            <w:szCs w:val="24"/>
            <w:lang w:eastAsia="ru-RU"/>
          </w:rPr>
          <w:t xml:space="preserve">таблице 107</w:t>
        </w:r>
      </w:hyperlink>
      <w:r>
        <w:rPr>
          <w:sz w:val="24"/>
          <w:szCs w:val="24"/>
          <w:lang w:eastAsia="ru-RU"/>
        </w:rPr>
        <w:t xml:space="preserve"> настоящих Нормативов расстояния допускается принимать по интерполяции.</w:t>
      </w:r>
      <w:r>
        <w:rPr>
          <w:sz w:val="24"/>
          <w:szCs w:val="24"/>
          <w:lang w:eastAsia="ru-RU"/>
        </w:rPr>
      </w:r>
      <w:r/>
    </w:p>
    <w:p>
      <w:pPr>
        <w:ind w:firstLine="567"/>
        <w:jc w:val="both"/>
      </w:pPr>
      <w:r>
        <w:rPr>
          <w:sz w:val="24"/>
          <w:szCs w:val="24"/>
          <w:lang w:eastAsia="ru-RU"/>
        </w:rPr>
        <w:t xml:space="preserve">6. В одноэтажных гаражах боксового типа, принадлежащих гражданам, допускается устройство погребов.</w:t>
      </w:r>
      <w:r>
        <w:rPr>
          <w:sz w:val="24"/>
          <w:szCs w:val="24"/>
          <w:lang w:eastAsia="ru-RU"/>
        </w:rPr>
      </w:r>
      <w:r/>
    </w:p>
    <w:p>
      <w:pPr>
        <w:ind w:firstLine="567"/>
        <w:jc w:val="both"/>
      </w:pPr>
      <w:r>
        <w:rPr>
          <w:sz w:val="24"/>
          <w:szCs w:val="24"/>
          <w:shd w:val="clear" w:color="auto" w:fill="ffffff"/>
        </w:rPr>
        <w:t xml:space="preserve">9. Размер санитарно-защитных зон производственных объ</w:t>
      </w:r>
      <w:r>
        <w:rPr>
          <w:sz w:val="24"/>
          <w:szCs w:val="24"/>
          <w:shd w:val="clear" w:color="auto" w:fill="ffffff"/>
        </w:rPr>
        <w:t xml:space="preserve">ектов, размещаемых в общественно-деловых зонах, до жилых и общественных зданий, а также до границ земельных участков дошкольных и общеобразовательных организаций, медицинских организаций и организаций отдыха следует принимать в соответствии с требованиями </w:t>
      </w:r>
      <w:hyperlink r:id="rId52" w:tooltip="https://internet.garant.ru/#/document/12158477/entry/10000" w:anchor="/document/12158477/entry/10000" w:history="1">
        <w:r>
          <w:rPr>
            <w:sz w:val="24"/>
            <w:szCs w:val="24"/>
            <w:shd w:val="clear" w:color="auto" w:fill="ffffff"/>
          </w:rPr>
          <w:t xml:space="preserve">СанПиН 2.2.1/2.1.1.1200</w:t>
        </w:r>
      </w:hyperlink>
      <w:r>
        <w:rPr>
          <w:sz w:val="24"/>
          <w:szCs w:val="24"/>
          <w:shd w:val="clear" w:color="auto" w:fill="ffffff"/>
        </w:rPr>
        <w:t xml:space="preserve"> или по расчету с учетом обеспечения требований, приведенных в </w:t>
      </w:r>
      <w:hyperlink r:id="rId53" w:tooltip="https://internet.garant.ru/#/document/400274954/entry/1000" w:anchor="/document/400274954/entry/1000" w:history="1">
        <w:r>
          <w:rPr>
            <w:sz w:val="24"/>
            <w:szCs w:val="24"/>
            <w:shd w:val="clear" w:color="auto" w:fill="ffffff"/>
          </w:rPr>
          <w:t xml:space="preserve">СанПиН 1.2.3685</w:t>
        </w:r>
      </w:hyperlink>
      <w:r>
        <w:rPr>
          <w:sz w:val="24"/>
          <w:szCs w:val="24"/>
          <w:shd w:val="clear" w:color="auto" w:fill="ffffff"/>
        </w:rPr>
        <w:t xml:space="preserve">, </w:t>
      </w:r>
      <w:hyperlink r:id="rId54" w:tooltip="https://internet.garant.ru/#/document/400289764/entry/1000" w:anchor="/document/400289764/entry/1000" w:history="1">
        <w:r>
          <w:rPr>
            <w:sz w:val="24"/>
            <w:szCs w:val="24"/>
            <w:shd w:val="clear" w:color="auto" w:fill="ffffff"/>
          </w:rPr>
          <w:t xml:space="preserve">СанПиН 2.1.3684</w:t>
        </w:r>
      </w:hyperlink>
      <w:r>
        <w:rPr>
          <w:sz w:val="24"/>
          <w:szCs w:val="24"/>
          <w:shd w:val="clear" w:color="auto" w:fill="ffffff"/>
        </w:rPr>
        <w:t xml:space="preserve">.</w:t>
      </w:r>
      <w:r>
        <w:rPr>
          <w:sz w:val="24"/>
          <w:szCs w:val="24"/>
          <w:lang w:eastAsia="ru-RU"/>
        </w:rPr>
        <w:t xml:space="preserve"> </w:t>
      </w:r>
      <w:r>
        <w:rPr>
          <w:sz w:val="24"/>
          <w:szCs w:val="24"/>
          <w:lang w:eastAsia="ru-RU"/>
        </w:rPr>
      </w:r>
      <w:r/>
    </w:p>
    <w:p>
      <w:pPr>
        <w:ind w:firstLine="567"/>
        <w:jc w:val="both"/>
      </w:pPr>
      <w:r>
        <w:rPr>
          <w:sz w:val="24"/>
          <w:szCs w:val="24"/>
          <w:lang w:eastAsia="ru-RU"/>
        </w:rPr>
        <w:t xml:space="preserve">10</w:t>
      </w:r>
      <w:r>
        <w:rPr>
          <w:sz w:val="24"/>
          <w:szCs w:val="24"/>
          <w:lang w:eastAsia="ru-RU"/>
        </w:rPr>
        <w:t xml:space="preserve">. Для строительства объектов в зоне затопления или подтопления необходимо предусматривать </w:t>
      </w:r>
      <w:r>
        <w:rPr>
          <w:sz w:val="24"/>
          <w:szCs w:val="24"/>
          <w:lang w:eastAsia="ru-RU"/>
        </w:rPr>
        <w:t xml:space="preserve">следующие </w:t>
      </w:r>
      <w:r>
        <w:rPr>
          <w:sz w:val="24"/>
          <w:szCs w:val="24"/>
          <w:lang w:eastAsia="ru-RU"/>
        </w:rPr>
        <w:t xml:space="preserve">мероприятия</w:t>
      </w:r>
      <w:r>
        <w:rPr>
          <w:sz w:val="24"/>
          <w:szCs w:val="24"/>
          <w:lang w:eastAsia="ru-RU"/>
        </w:rPr>
        <w:t xml:space="preserve">:</w:t>
      </w:r>
      <w:r>
        <w:rPr>
          <w:sz w:val="24"/>
          <w:szCs w:val="24"/>
          <w:lang w:eastAsia="ru-RU"/>
        </w:rPr>
      </w:r>
      <w:r/>
    </w:p>
    <w:p>
      <w:pPr>
        <w:ind w:firstLine="567"/>
        <w:jc w:val="both"/>
      </w:pPr>
      <w:r>
        <w:rPr>
          <w:sz w:val="24"/>
          <w:szCs w:val="24"/>
          <w:lang w:eastAsia="ru-RU"/>
        </w:rPr>
        <w:t xml:space="preserve"> Частью 5 статьи 36 </w:t>
      </w:r>
      <w:r>
        <w:rPr>
          <w:sz w:val="24"/>
          <w:szCs w:val="24"/>
          <w:lang w:eastAsia="ru-RU"/>
        </w:rPr>
        <w:t xml:space="preserve">ГрК РФ</w:t>
      </w:r>
      <w:r>
        <w:rPr>
          <w:sz w:val="24"/>
          <w:szCs w:val="24"/>
          <w:lang w:eastAsia="ru-RU"/>
        </w:rPr>
        <w:t xml:space="preserve">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w:t>
      </w:r>
      <w:r>
        <w:rPr>
          <w:sz w:val="24"/>
          <w:szCs w:val="24"/>
          <w:lang w:eastAsia="ru-RU"/>
        </w:rPr>
        <w:t xml:space="preserve">РФ</w:t>
      </w:r>
      <w:r>
        <w:rPr>
          <w:sz w:val="24"/>
          <w:szCs w:val="24"/>
          <w:lang w:eastAsia="ru-RU"/>
        </w:rPr>
        <w:t xml:space="preserve">, в связи с чем в правила землепользования и застройки включаются следующие требования.</w:t>
      </w:r>
      <w:r>
        <w:rPr>
          <w:sz w:val="24"/>
          <w:szCs w:val="24"/>
          <w:lang w:eastAsia="ru-RU"/>
        </w:rPr>
      </w:r>
      <w:r/>
    </w:p>
    <w:p>
      <w:pPr>
        <w:ind w:firstLine="567"/>
        <w:jc w:val="both"/>
      </w:pPr>
      <w:r>
        <w:rPr>
          <w:sz w:val="24"/>
          <w:szCs w:val="24"/>
          <w:lang w:eastAsia="ru-RU"/>
        </w:rPr>
        <w:t xml:space="preserve">1) Получение застройщиком в органе местного самоуправления муниципального района (далее</w:t>
      </w:r>
      <w:r>
        <w:rPr>
          <w:sz w:val="24"/>
          <w:szCs w:val="24"/>
          <w:lang w:eastAsia="ru-RU"/>
        </w:rPr>
        <w:t xml:space="preserve"> -</w:t>
      </w:r>
      <w:r>
        <w:rPr>
          <w:sz w:val="24"/>
          <w:szCs w:val="24"/>
          <w:lang w:eastAsia="ru-RU"/>
        </w:rPr>
        <w:t xml:space="preserve"> уполномоченный орган) исходных </w:t>
      </w:r>
      <w:r>
        <w:rPr>
          <w:sz w:val="24"/>
          <w:szCs w:val="24"/>
          <w:lang w:eastAsia="ru-RU"/>
        </w:rPr>
        <w:t xml:space="preserve">данных -</w:t>
      </w:r>
      <w:r>
        <w:rPr>
          <w:sz w:val="24"/>
          <w:szCs w:val="24"/>
          <w:lang w:eastAsia="ru-RU"/>
        </w:rPr>
        <w:t xml:space="preserve"> о прогнозном уровне воды в зоне затопления и (или) прогнозного уровня грунтовых вод в зоне затопления.</w:t>
      </w:r>
      <w:r>
        <w:rPr>
          <w:sz w:val="24"/>
          <w:szCs w:val="24"/>
          <w:lang w:eastAsia="ru-RU"/>
        </w:rPr>
      </w:r>
      <w:r/>
    </w:p>
    <w:p>
      <w:pPr>
        <w:ind w:firstLine="567"/>
        <w:jc w:val="both"/>
      </w:pPr>
      <w:r>
        <w:rPr>
          <w:sz w:val="24"/>
          <w:szCs w:val="24"/>
          <w:lang w:eastAsia="ru-RU"/>
        </w:rPr>
        <w:t xml:space="preserve">2) Предоставление застройщиком перечня мероприятий по инженерной защите объекта капитального строительства и территории от подтопления, з</w:t>
      </w:r>
      <w:r>
        <w:rPr>
          <w:sz w:val="24"/>
          <w:szCs w:val="24"/>
          <w:lang w:eastAsia="ru-RU"/>
        </w:rPr>
        <w:t xml:space="preserve">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r>
        <w:rPr>
          <w:sz w:val="24"/>
          <w:szCs w:val="24"/>
          <w:lang w:eastAsia="ru-RU"/>
        </w:rPr>
      </w:r>
      <w:r/>
    </w:p>
    <w:p>
      <w:pPr>
        <w:ind w:firstLine="567"/>
        <w:jc w:val="both"/>
      </w:pPr>
      <w:r>
        <w:rPr>
          <w:sz w:val="24"/>
          <w:szCs w:val="24"/>
          <w:lang w:eastAsia="ru-RU"/>
        </w:rPr>
        <w:t xml:space="preserve">3) До подачи застройщиком в уполномоченный орган заявления о выдаче разрешения на строительство, уведомления о планируемом строительств</w:t>
      </w:r>
      <w:r>
        <w:rPr>
          <w:sz w:val="24"/>
          <w:szCs w:val="24"/>
          <w:lang w:eastAsia="ru-RU"/>
        </w:rPr>
        <w:t xml:space="preserve">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w:t>
      </w:r>
      <w:r>
        <w:rPr>
          <w:sz w:val="24"/>
          <w:szCs w:val="24"/>
          <w:lang w:eastAsia="ru-RU"/>
        </w:rPr>
        <w:t xml:space="preserve">строительства от подтопления, затопления, подготовленный лицами, указанными в пункте 2.</w:t>
      </w:r>
      <w:r>
        <w:rPr>
          <w:sz w:val="24"/>
          <w:szCs w:val="24"/>
          <w:lang w:eastAsia="ru-RU"/>
        </w:rPr>
      </w:r>
      <w:r/>
    </w:p>
    <w:p>
      <w:pPr>
        <w:ind w:firstLine="567"/>
        <w:jc w:val="both"/>
        <w:widowControl/>
      </w:pPr>
      <w:r>
        <w:rPr>
          <w:sz w:val="24"/>
          <w:szCs w:val="24"/>
          <w:lang w:eastAsia="ru-RU"/>
        </w:rPr>
        <w:t xml:space="preserve">4) До подачи застройщиком заявления о выдаче разрешения на ввод в эксплуатацию объекта капитального строитель</w:t>
      </w:r>
      <w:r>
        <w:rPr>
          <w:sz w:val="24"/>
          <w:szCs w:val="24"/>
          <w:lang w:eastAsia="ru-RU"/>
        </w:rPr>
        <w:t xml:space="preserve">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w:t>
      </w:r>
      <w:r>
        <w:rPr>
          <w:sz w:val="24"/>
          <w:szCs w:val="24"/>
          <w:lang w:eastAsia="ru-RU"/>
        </w:rPr>
        <w:t xml:space="preserve">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w:t>
      </w:r>
      <w:r>
        <w:rPr>
          <w:sz w:val="24"/>
          <w:szCs w:val="24"/>
          <w:lang w:eastAsia="ru-RU"/>
        </w:rPr>
        <w:t xml:space="preserve">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r>
        <w:rPr>
          <w:sz w:val="24"/>
          <w:szCs w:val="24"/>
          <w:lang w:eastAsia="ru-RU"/>
        </w:rPr>
      </w:r>
      <w:r/>
    </w:p>
    <w:p>
      <w:pPr>
        <w:ind w:firstLine="567"/>
        <w:jc w:val="both"/>
        <w:shd w:val="clear" w:color="auto" w:fill="ffffff"/>
        <w:widowControl/>
      </w:pPr>
      <w:r>
        <w:rPr>
          <w:rFonts w:eastAsia="Calibri"/>
          <w:color w:val="000000"/>
          <w:sz w:val="24"/>
          <w:szCs w:val="24"/>
          <w:lang w:eastAsia="en-US"/>
        </w:rPr>
        <w:t xml:space="preserve">1</w:t>
      </w:r>
      <w:r>
        <w:rPr>
          <w:rFonts w:eastAsia="Calibri"/>
          <w:color w:val="000000"/>
          <w:sz w:val="24"/>
          <w:szCs w:val="24"/>
          <w:lang w:eastAsia="en-US"/>
        </w:rPr>
        <w:t xml:space="preserve">1</w:t>
      </w:r>
      <w:r>
        <w:rPr>
          <w:rFonts w:eastAsia="Calibri"/>
          <w:color w:val="000000"/>
          <w:sz w:val="24"/>
          <w:szCs w:val="24"/>
          <w:lang w:eastAsia="en-US"/>
        </w:rPr>
        <w:t xml:space="preserve">. </w:t>
      </w:r>
      <w:r>
        <w:rPr>
          <w:rFonts w:eastAsia="Calibri"/>
          <w:color w:val="000000"/>
          <w:sz w:val="24"/>
          <w:szCs w:val="24"/>
          <w:lang w:eastAsia="en-US"/>
        </w:rPr>
        <w:t xml:space="preserve">У</w:t>
      </w:r>
      <w:r>
        <w:rPr>
          <w:rFonts w:eastAsia="Calibri"/>
          <w:color w:val="000000"/>
          <w:sz w:val="24"/>
          <w:szCs w:val="24"/>
          <w:lang w:eastAsia="en-US"/>
        </w:rPr>
        <w:t xml:space="preserve">стройств</w:t>
      </w:r>
      <w:r>
        <w:rPr>
          <w:rFonts w:eastAsia="Calibri"/>
          <w:color w:val="000000"/>
          <w:sz w:val="24"/>
          <w:szCs w:val="24"/>
          <w:lang w:eastAsia="en-US"/>
        </w:rPr>
        <w:t xml:space="preserve">а ограждений земельных участков.</w:t>
      </w:r>
      <w:r>
        <w:rPr>
          <w:rFonts w:eastAsia="Calibri"/>
          <w:color w:val="000000"/>
          <w:sz w:val="24"/>
          <w:szCs w:val="24"/>
          <w:lang w:eastAsia="en-US"/>
        </w:rPr>
      </w:r>
      <w:r/>
    </w:p>
    <w:p>
      <w:pPr>
        <w:ind w:firstLine="567"/>
        <w:jc w:val="both"/>
        <w:shd w:val="clear" w:color="auto" w:fill="ffffff"/>
        <w:widowControl/>
      </w:pPr>
      <w:r>
        <w:rPr>
          <w:rFonts w:eastAsia="Calibri"/>
          <w:color w:val="000000"/>
          <w:sz w:val="24"/>
          <w:szCs w:val="24"/>
          <w:lang w:eastAsia="en-US"/>
        </w:rPr>
        <w:t xml:space="preserve">1)</w:t>
      </w:r>
      <w:r>
        <w:rPr>
          <w:rFonts w:eastAsia="Calibri"/>
          <w:color w:val="000000"/>
          <w:sz w:val="24"/>
          <w:szCs w:val="24"/>
          <w:lang w:eastAsia="en-US"/>
        </w:rPr>
        <w:t xml:space="preserve"> Ограждения, проходящие по общей меже двух земельных участков, устраиваются на основании взаимной договорённости между правообладателями таких участков, которая может быть оформлена договором в соответствии с требованиями гражданского законодательства.</w:t>
      </w:r>
      <w:r>
        <w:rPr>
          <w:rFonts w:eastAsia="Calibri"/>
          <w:color w:val="000000"/>
          <w:sz w:val="24"/>
          <w:szCs w:val="24"/>
          <w:lang w:eastAsia="en-US"/>
        </w:rPr>
      </w:r>
      <w:r/>
    </w:p>
    <w:p>
      <w:pPr>
        <w:ind w:firstLine="567"/>
        <w:jc w:val="both"/>
        <w:shd w:val="clear" w:color="auto" w:fill="ffffff"/>
        <w:widowControl/>
      </w:pPr>
      <w:r>
        <w:rPr>
          <w:rFonts w:eastAsia="Calibri"/>
          <w:color w:val="000000"/>
          <w:sz w:val="24"/>
          <w:szCs w:val="24"/>
          <w:lang w:eastAsia="en-US"/>
        </w:rPr>
        <w:t xml:space="preserve">2</w:t>
      </w:r>
      <w:r>
        <w:rPr>
          <w:rFonts w:eastAsia="Calibri"/>
          <w:color w:val="000000"/>
          <w:sz w:val="24"/>
          <w:szCs w:val="24"/>
          <w:lang w:eastAsia="en-US"/>
        </w:rPr>
        <w:t xml:space="preserve">)</w:t>
      </w:r>
      <w:r>
        <w:rPr>
          <w:rFonts w:eastAsia="Calibri"/>
          <w:color w:val="000000"/>
          <w:sz w:val="24"/>
          <w:szCs w:val="24"/>
          <w:lang w:eastAsia="en-US"/>
        </w:rPr>
        <w:t xml:space="preserve"> Любые ограждения земельных участков должны соответствовать следующим условиям:</w:t>
      </w:r>
      <w:r>
        <w:rPr>
          <w:rFonts w:eastAsia="Calibri"/>
          <w:color w:val="000000"/>
          <w:sz w:val="24"/>
          <w:szCs w:val="24"/>
          <w:lang w:eastAsia="en-US"/>
        </w:rPr>
      </w:r>
      <w:r/>
    </w:p>
    <w:p>
      <w:pPr>
        <w:ind w:firstLine="567"/>
        <w:jc w:val="both"/>
        <w:shd w:val="clear" w:color="auto" w:fill="ffffff"/>
        <w:widowControl/>
      </w:pPr>
      <w:r>
        <w:rPr>
          <w:rFonts w:eastAsia="Calibri"/>
          <w:color w:val="000000"/>
          <w:sz w:val="24"/>
          <w:szCs w:val="24"/>
          <w:lang w:eastAsia="en-US"/>
        </w:rPr>
        <w:t xml:space="preserve">ограждение должно быть конструктивно надёжным;</w:t>
      </w:r>
      <w:r>
        <w:rPr>
          <w:rFonts w:eastAsia="Calibri"/>
          <w:color w:val="000000"/>
          <w:sz w:val="24"/>
          <w:szCs w:val="24"/>
          <w:lang w:eastAsia="en-US"/>
        </w:rPr>
      </w:r>
      <w:r/>
    </w:p>
    <w:p>
      <w:pPr>
        <w:ind w:firstLine="567"/>
        <w:jc w:val="both"/>
        <w:shd w:val="clear" w:color="auto" w:fill="ffffff"/>
        <w:widowControl/>
      </w:pPr>
      <w:r>
        <w:rPr>
          <w:rFonts w:eastAsia="Calibri"/>
          <w:color w:val="000000"/>
          <w:sz w:val="24"/>
          <w:szCs w:val="24"/>
          <w:lang w:eastAsia="en-US"/>
        </w:rPr>
        <w:t xml:space="preserve">ограждения, отделяющие земельный участок от территорий общего пользования, должны быть эстетически привлекательными.</w:t>
      </w:r>
      <w:r>
        <w:rPr>
          <w:rFonts w:eastAsia="Calibri"/>
          <w:color w:val="000000"/>
          <w:sz w:val="24"/>
          <w:szCs w:val="24"/>
          <w:lang w:eastAsia="en-US"/>
        </w:rPr>
      </w:r>
      <w:r/>
    </w:p>
    <w:p>
      <w:pPr>
        <w:ind w:firstLine="567"/>
        <w:jc w:val="both"/>
        <w:shd w:val="clear" w:color="auto" w:fill="ffffff"/>
        <w:widowControl/>
      </w:pPr>
      <w:r>
        <w:rPr>
          <w:rFonts w:eastAsia="Calibri"/>
          <w:color w:val="000000"/>
          <w:sz w:val="24"/>
          <w:szCs w:val="24"/>
          <w:lang w:eastAsia="en-US"/>
        </w:rPr>
        <w:t xml:space="preserve">3</w:t>
      </w:r>
      <w:r>
        <w:rPr>
          <w:rFonts w:eastAsia="Calibri"/>
          <w:color w:val="000000"/>
          <w:sz w:val="24"/>
          <w:szCs w:val="24"/>
          <w:lang w:eastAsia="en-US"/>
        </w:rPr>
        <w:t xml:space="preserve">)</w:t>
      </w:r>
      <w:r>
        <w:rPr>
          <w:rFonts w:eastAsia="Calibri"/>
          <w:color w:val="000000"/>
          <w:sz w:val="24"/>
          <w:szCs w:val="24"/>
          <w:lang w:eastAsia="en-US"/>
        </w:rPr>
        <w:t xml:space="preserve"> В случаях, установленных действующим законодательством, </w:t>
      </w:r>
      <w:r>
        <w:rPr>
          <w:rFonts w:eastAsia="Calibri"/>
          <w:sz w:val="24"/>
          <w:szCs w:val="24"/>
          <w:lang w:eastAsia="en-US"/>
        </w:rPr>
        <w:t xml:space="preserve">применяется иная высота ограждений, чем та, которая установлена в градостроительных регламентах. </w:t>
      </w:r>
      <w:r>
        <w:rPr>
          <w:rFonts w:eastAsia="Calibri"/>
          <w:sz w:val="24"/>
          <w:szCs w:val="24"/>
          <w:lang w:eastAsia="en-US"/>
        </w:rPr>
      </w:r>
      <w:r/>
    </w:p>
    <w:p>
      <w:pPr>
        <w:ind w:firstLine="567"/>
        <w:jc w:val="both"/>
      </w:pPr>
      <w:r>
        <w:rPr>
          <w:sz w:val="24"/>
          <w:szCs w:val="24"/>
          <w:lang w:eastAsia="ru-RU"/>
        </w:rPr>
        <w:t xml:space="preserve">1</w:t>
      </w:r>
      <w:r>
        <w:rPr>
          <w:sz w:val="24"/>
          <w:szCs w:val="24"/>
          <w:lang w:eastAsia="ru-RU"/>
        </w:rPr>
        <w:t xml:space="preserve">2</w:t>
      </w:r>
      <w:r>
        <w:rPr>
          <w:sz w:val="24"/>
          <w:szCs w:val="24"/>
          <w:lang w:eastAsia="ru-RU"/>
        </w:rPr>
        <w:t xml:space="preserve">. </w:t>
      </w:r>
      <w:r>
        <w:rPr>
          <w:sz w:val="24"/>
          <w:szCs w:val="24"/>
          <w:lang w:eastAsia="ru-RU"/>
        </w:rPr>
        <w:t xml:space="preserve">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r>
        <w:rPr>
          <w:sz w:val="24"/>
          <w:szCs w:val="24"/>
          <w:lang w:eastAsia="ru-RU"/>
        </w:rPr>
      </w:r>
      <w:r/>
    </w:p>
    <w:p>
      <w:pPr>
        <w:ind w:firstLine="567"/>
        <w:jc w:val="both"/>
        <w:keepNext/>
        <w:widowControl/>
        <w:outlineLvl w:val="2"/>
      </w:pPr>
      <w:r/>
      <w:bookmarkStart w:id="0" w:name="undefined"/>
      <w:r/>
      <w:bookmarkStart w:id="0" w:name="undefined"/>
      <w:r/>
      <w:bookmarkStart w:id="0" w:name="undefined"/>
      <w:r/>
      <w:bookmarkStart w:id="0" w:name="undefined"/>
      <w:r/>
      <w:bookmarkStart w:id="0" w:name="undefined"/>
      <w:r/>
      <w:bookmarkStart w:id="0" w:name="undefined"/>
      <w:r/>
      <w:bookmarkStart w:id="0" w:name="undefined"/>
      <w:r/>
      <w:bookmarkStart w:id="0" w:name="undefined"/>
      <w:r/>
      <w:bookmarkStart w:id="0" w:name="undefined"/>
      <w:r/>
      <w:bookmarkStart w:id="0" w:name="undefined"/>
      <w:r/>
      <w:bookmarkStart w:id="0" w:name="undefined"/>
      <w:r/>
      <w:bookmarkEnd w:id="0"/>
      <w:r>
        <w:rPr>
          <w:b/>
          <w:bCs/>
          <w:sz w:val="24"/>
          <w:szCs w:val="24"/>
        </w:rPr>
        <w:t xml:space="preserve">Статья </w:t>
      </w:r>
      <w:r>
        <w:rPr>
          <w:b/>
          <w:bCs/>
          <w:sz w:val="24"/>
          <w:szCs w:val="24"/>
        </w:rPr>
        <w:t xml:space="preserve">2</w:t>
      </w:r>
      <w:r>
        <w:rPr>
          <w:b/>
          <w:bCs/>
          <w:sz w:val="24"/>
          <w:szCs w:val="24"/>
        </w:rPr>
        <w:t xml:space="preserve">2</w:t>
      </w:r>
      <w:r>
        <w:rPr>
          <w:b/>
          <w:bCs/>
          <w:sz w:val="24"/>
          <w:szCs w:val="24"/>
        </w:rPr>
        <w:t xml:space="preserve">. Вступление в силу настоящих Правил</w:t>
      </w:r>
      <w:r>
        <w:rPr>
          <w:b/>
          <w:bCs/>
          <w:sz w:val="24"/>
          <w:szCs w:val="24"/>
        </w:rPr>
      </w:r>
      <w:r/>
    </w:p>
    <w:p>
      <w:pPr>
        <w:ind w:firstLine="567"/>
        <w:jc w:val="both"/>
        <w:widowControl/>
      </w:pPr>
      <w:r>
        <w:rPr>
          <w:sz w:val="24"/>
          <w:szCs w:val="24"/>
          <w:lang w:bidi="en-US"/>
        </w:rPr>
        <w:t xml:space="preserve">1. Настоящие Правила вступают в силу со дня их официального опубликования.</w:t>
      </w:r>
      <w:r>
        <w:rPr>
          <w:sz w:val="24"/>
          <w:szCs w:val="24"/>
          <w:lang w:bidi="en-US"/>
        </w:rPr>
      </w:r>
      <w:r/>
    </w:p>
    <w:p>
      <w:pPr>
        <w:ind w:firstLine="567"/>
        <w:jc w:val="both"/>
        <w:widowControl/>
      </w:pPr>
      <w:r>
        <w:rPr>
          <w:sz w:val="24"/>
          <w:szCs w:val="24"/>
          <w:lang w:bidi="en-US"/>
        </w:rPr>
        <w:t xml:space="preserve">2. Сведения о градостроительных регламентах и о территориальных зонах после утверждения настоящих Правил подлежат внесению в государственный кадастр </w:t>
      </w:r>
      <w:r>
        <w:rPr>
          <w:sz w:val="24"/>
          <w:szCs w:val="24"/>
          <w:lang w:bidi="en-US"/>
        </w:rPr>
        <w:t xml:space="preserve">объектов недвижимости.</w:t>
      </w:r>
      <w:r>
        <w:rPr>
          <w:sz w:val="24"/>
          <w:szCs w:val="24"/>
          <w:lang w:bidi="en-US"/>
        </w:rPr>
      </w:r>
      <w:r/>
    </w:p>
    <w:p>
      <w:pPr>
        <w:ind w:firstLine="567"/>
        <w:jc w:val="both"/>
        <w:keepNext/>
        <w:widowControl/>
        <w:outlineLvl w:val="2"/>
      </w:pPr>
      <w:r/>
      <w:bookmarkStart w:id="0" w:name="undefined"/>
      <w:r>
        <w:rPr>
          <w:b/>
          <w:bCs/>
          <w:sz w:val="24"/>
          <w:szCs w:val="24"/>
        </w:rPr>
        <w:t xml:space="preserve">Статья </w:t>
      </w:r>
      <w:r>
        <w:rPr>
          <w:b/>
          <w:bCs/>
          <w:sz w:val="24"/>
          <w:szCs w:val="24"/>
        </w:rPr>
        <w:t xml:space="preserve">2</w:t>
      </w:r>
      <w:r>
        <w:rPr>
          <w:b/>
          <w:bCs/>
          <w:sz w:val="24"/>
          <w:szCs w:val="24"/>
        </w:rPr>
        <w:t xml:space="preserve">3</w:t>
      </w:r>
      <w:r>
        <w:rPr>
          <w:b/>
          <w:bCs/>
          <w:sz w:val="24"/>
          <w:szCs w:val="24"/>
        </w:rPr>
        <w:t xml:space="preserve">. Действие настоящих Правил по отношению к ранее возникшим правоотношениям</w:t>
      </w:r>
      <w:bookmarkEnd w:id="0"/>
      <w:r>
        <w:rPr>
          <w:b/>
          <w:bCs/>
          <w:sz w:val="24"/>
          <w:szCs w:val="24"/>
        </w:rPr>
      </w:r>
      <w:r/>
    </w:p>
    <w:p>
      <w:pPr>
        <w:ind w:firstLine="567"/>
        <w:jc w:val="both"/>
        <w:widowControl/>
      </w:pPr>
      <w:r>
        <w:rPr>
          <w:sz w:val="24"/>
          <w:szCs w:val="24"/>
          <w:lang w:bidi="en-US"/>
        </w:rPr>
        <w:t xml:space="preserve">1. Ранее принятые муниципальные правовые акты по вопросам землепользования и застройки применяются в части, не противоречащей настоящим Правилам.</w:t>
      </w:r>
      <w:r>
        <w:rPr>
          <w:sz w:val="24"/>
          <w:szCs w:val="24"/>
          <w:lang w:bidi="en-US"/>
        </w:rPr>
      </w:r>
      <w:r/>
    </w:p>
    <w:p>
      <w:pPr>
        <w:ind w:firstLine="567"/>
        <w:jc w:val="both"/>
        <w:widowControl/>
      </w:pPr>
      <w:r>
        <w:rPr>
          <w:sz w:val="24"/>
          <w:szCs w:val="24"/>
          <w:lang w:bidi="en-US"/>
        </w:rPr>
        <w:t xml:space="preserve">2. Действие настоящих Правил не распространяется на использование земельных учас</w:t>
      </w:r>
      <w:r>
        <w:rPr>
          <w:sz w:val="24"/>
          <w:szCs w:val="24"/>
          <w:lang w:bidi="en-US"/>
        </w:rPr>
        <w:t xml:space="preserve">тков, строительство и реконструкцию зданий и сооружений на их территории, разрешения на строительство и реконструкцию которых выданы до вступления настоящих Правил в силу, при условии, что срок действия разрешения на строительство и реконструкцию не истек.</w:t>
      </w:r>
      <w:r>
        <w:rPr>
          <w:sz w:val="24"/>
          <w:szCs w:val="24"/>
          <w:lang w:bidi="en-US"/>
        </w:rPr>
      </w:r>
      <w:r/>
    </w:p>
    <w:p>
      <w:pPr>
        <w:ind w:firstLine="567"/>
        <w:jc w:val="both"/>
        <w:widowControl/>
      </w:pPr>
      <w:r>
        <w:rPr>
          <w:sz w:val="24"/>
          <w:szCs w:val="24"/>
          <w:lang w:bidi="en-US"/>
        </w:rPr>
        <w:t xml:space="preserve">3. 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 для территориальной зоны.</w:t>
      </w:r>
      <w:r>
        <w:rPr>
          <w:sz w:val="24"/>
          <w:szCs w:val="24"/>
          <w:lang w:bidi="en-US"/>
        </w:rPr>
      </w:r>
      <w:r/>
    </w:p>
    <w:p>
      <w:pPr>
        <w:ind w:firstLine="567"/>
        <w:jc w:val="both"/>
        <w:widowControl/>
      </w:pPr>
      <w:r>
        <w:rPr>
          <w:sz w:val="24"/>
          <w:szCs w:val="24"/>
          <w:lang w:bidi="en-US"/>
        </w:rPr>
        <w:t xml:space="preserve">4. Все изме</w:t>
      </w:r>
      <w:r>
        <w:rPr>
          <w:sz w:val="24"/>
          <w:szCs w:val="24"/>
          <w:lang w:bidi="en-US"/>
        </w:rPr>
        <w:t xml:space="preserve">нения несоответствующих объектов капитального строительства могут производиться только в направлении приведения их в соответствие с настоящими Правилами или путем уменьшения их несоответствия предельным параметрам разрешенного строительства, реконструкции.</w:t>
      </w:r>
      <w:r>
        <w:rPr>
          <w:sz w:val="24"/>
          <w:szCs w:val="24"/>
          <w:lang w:bidi="en-US"/>
        </w:rPr>
      </w:r>
      <w:r/>
    </w:p>
    <w:p>
      <w:pPr>
        <w:ind w:firstLine="567"/>
        <w:jc w:val="both"/>
        <w:widowControl/>
      </w:pPr>
      <w:r>
        <w:rPr>
          <w:sz w:val="24"/>
          <w:szCs w:val="24"/>
          <w:lang w:bidi="en-US"/>
        </w:rPr>
        <w:t xml:space="preserve">Ремонт и содержание объектов капитального строительства, не соответствующих настоящим Правилам, должны осуществляться при условии, что эти действия не увеличивают степень несоответствия этих объектов настоящим Правилам.</w:t>
      </w:r>
      <w:r>
        <w:rPr>
          <w:sz w:val="24"/>
          <w:szCs w:val="24"/>
          <w:lang w:bidi="en-US"/>
        </w:rPr>
      </w:r>
      <w:r/>
    </w:p>
    <w:p>
      <w:pPr>
        <w:ind w:firstLine="567"/>
        <w:jc w:val="both"/>
        <w:widowControl/>
      </w:pPr>
      <w:r>
        <w:rPr>
          <w:sz w:val="24"/>
          <w:szCs w:val="24"/>
          <w:lang w:bidi="en-US"/>
        </w:rPr>
        <w:t xml:space="preserve">5. Реконструкция и расширение существующих объектов капитального строительства, а также строительство новых объектов могут </w:t>
      </w:r>
      <w:r>
        <w:rPr>
          <w:sz w:val="24"/>
          <w:szCs w:val="24"/>
          <w:lang w:bidi="en-US"/>
        </w:rPr>
        <w:t xml:space="preserve">осуществляться только в соответствии с установленными настоящими Правилами градостроительными регламентами.</w:t>
      </w:r>
      <w:r>
        <w:rPr>
          <w:sz w:val="24"/>
          <w:szCs w:val="24"/>
          <w:lang w:bidi="en-US"/>
        </w:rPr>
      </w:r>
      <w:r/>
    </w:p>
    <w:p>
      <w:pPr>
        <w:ind w:firstLine="567"/>
        <w:jc w:val="both"/>
        <w:keepNext/>
        <w:widowControl/>
        <w:outlineLvl w:val="2"/>
      </w:pPr>
      <w:r/>
      <w:bookmarkStart w:id="0" w:name="undefined"/>
      <w:r>
        <w:rPr>
          <w:b/>
          <w:bCs/>
          <w:sz w:val="24"/>
          <w:szCs w:val="24"/>
        </w:rPr>
        <w:t xml:space="preserve">Статья 2</w:t>
      </w:r>
      <w:r>
        <w:rPr>
          <w:b/>
          <w:bCs/>
          <w:sz w:val="24"/>
          <w:szCs w:val="24"/>
        </w:rPr>
        <w:t xml:space="preserve">4</w:t>
      </w:r>
      <w:r>
        <w:rPr>
          <w:b/>
          <w:bCs/>
          <w:sz w:val="24"/>
          <w:szCs w:val="24"/>
        </w:rPr>
        <w:t xml:space="preserve">. Действие настоящих Правил по отношению к градостроительной документации</w:t>
      </w:r>
      <w:bookmarkEnd w:id="0"/>
      <w:r>
        <w:rPr>
          <w:b/>
          <w:bCs/>
          <w:sz w:val="24"/>
          <w:szCs w:val="24"/>
        </w:rPr>
      </w:r>
      <w:r/>
    </w:p>
    <w:p>
      <w:pPr>
        <w:ind w:firstLine="567"/>
        <w:jc w:val="both"/>
        <w:widowControl/>
      </w:pPr>
      <w:r>
        <w:rPr>
          <w:sz w:val="24"/>
          <w:szCs w:val="24"/>
          <w:lang w:bidi="en-US"/>
        </w:rPr>
        <w:t xml:space="preserve">1. После введения в действие настоящих Правил ранее утвержденная градостроительная документация применяется в части, не противоречащей настоящим Правилам.</w:t>
      </w:r>
      <w:r>
        <w:rPr>
          <w:sz w:val="24"/>
          <w:szCs w:val="24"/>
          <w:lang w:bidi="en-US"/>
        </w:rPr>
      </w:r>
      <w:r/>
    </w:p>
    <w:p>
      <w:pPr>
        <w:ind w:firstLine="567"/>
        <w:jc w:val="both"/>
        <w:widowControl/>
      </w:pPr>
      <w:r>
        <w:rPr>
          <w:sz w:val="24"/>
          <w:szCs w:val="24"/>
          <w:lang w:bidi="en-US"/>
        </w:rPr>
        <w:t xml:space="preserve">2. Глава ОМС после введения в действие настоящих Правил может принимать решения о разработке документации по планировке территории.</w:t>
      </w:r>
      <w:r>
        <w:rPr>
          <w:sz w:val="24"/>
          <w:szCs w:val="24"/>
          <w:lang w:bidi="en-US"/>
        </w:rPr>
      </w:r>
      <w:r/>
    </w:p>
    <w:p>
      <w:pPr>
        <w:ind w:firstLine="567"/>
        <w:jc w:val="both"/>
        <w:keepNext/>
        <w:widowControl/>
        <w:outlineLvl w:val="2"/>
      </w:pPr>
      <w:r/>
      <w:bookmarkStart w:id="0" w:name="undefined"/>
      <w:r>
        <w:rPr>
          <w:b/>
          <w:bCs/>
          <w:sz w:val="24"/>
          <w:szCs w:val="24"/>
        </w:rPr>
        <w:t xml:space="preserve">Статья 2</w:t>
      </w:r>
      <w:r>
        <w:rPr>
          <w:b/>
          <w:bCs/>
          <w:sz w:val="24"/>
          <w:szCs w:val="24"/>
        </w:rPr>
        <w:t xml:space="preserve">5</w:t>
      </w:r>
      <w:r>
        <w:rPr>
          <w:b/>
          <w:bCs/>
          <w:sz w:val="24"/>
          <w:szCs w:val="24"/>
        </w:rPr>
        <w:t xml:space="preserve">. Ответственность </w:t>
      </w:r>
      <w:r>
        <w:rPr>
          <w:b/>
          <w:bCs/>
          <w:sz w:val="24"/>
          <w:szCs w:val="24"/>
        </w:rPr>
        <w:t xml:space="preserve">за нарушение Правил.</w:t>
      </w:r>
      <w:bookmarkEnd w:id="0"/>
      <w:r>
        <w:rPr>
          <w:b/>
          <w:bCs/>
          <w:sz w:val="24"/>
          <w:szCs w:val="24"/>
        </w:rPr>
      </w:r>
      <w:r/>
    </w:p>
    <w:p>
      <w:pPr>
        <w:ind w:firstLine="567"/>
        <w:jc w:val="both"/>
        <w:shd w:val="clear" w:color="auto" w:fill="ffffff"/>
        <w:widowControl/>
        <w:rPr>
          <w:rFonts w:ascii="Times New Roman" w:hAnsi="Times New Roman" w:eastAsia="Calibri" w:cs="Times New Roman"/>
          <w:b/>
          <w:bCs/>
          <w:i/>
          <w:caps/>
          <w:color w:val="000000"/>
          <w:spacing w:val="2"/>
          <w:sz w:val="24"/>
          <w:szCs w:val="24"/>
          <w:highlight w:val="white"/>
        </w:rPr>
      </w:pPr>
      <w:r>
        <w:rPr>
          <w:rFonts w:eastAsia="Calibri"/>
          <w:color w:val="000000"/>
          <w:sz w:val="24"/>
          <w:szCs w:val="24"/>
          <w:lang w:eastAsia="en-US"/>
        </w:rPr>
        <w:t xml:space="preserve">За нарушение настоящих Правил физические и юридические лица, а также должностные лица несут ответственность в соответствии с действующим законодательством Российской Федерации и Краснодарского края.</w:t>
      </w:r>
      <w:r>
        <w:rPr>
          <w:rFonts w:eastAsia="Calibri"/>
          <w:color w:val="000000"/>
          <w:sz w:val="24"/>
          <w:szCs w:val="24"/>
          <w:lang w:eastAsia="en-US"/>
        </w:rPr>
      </w:r>
      <w:r/>
    </w:p>
    <w:p>
      <w:pPr>
        <w:ind w:firstLine="567"/>
        <w:jc w:val="center"/>
        <w:widowControl/>
        <w:tabs>
          <w:tab w:val="left" w:pos="4678" w:leader="none"/>
          <w:tab w:val="left" w:pos="7230" w:leader="none"/>
        </w:tabs>
        <w:rPr>
          <w:sz w:val="24"/>
          <w:szCs w:val="24"/>
          <w:highlight w:val="none"/>
        </w:rPr>
      </w:pPr>
      <w:r>
        <w:rPr>
          <w:rFonts w:eastAsia="Calibri"/>
          <w:sz w:val="24"/>
          <w:szCs w:val="24"/>
          <w:lang w:eastAsia="en-US"/>
        </w:rPr>
        <w:br w:type="page" w:clear="all"/>
      </w:r>
      <w:r>
        <w:rPr>
          <w:sz w:val="24"/>
          <w:szCs w:val="24"/>
        </w:rPr>
        <w:t xml:space="preserve">РАЗДЕЛ II. КАРТА ГРАДОСТРОИТЕЛЬНОГО ЗОНИРОВАНИЯ</w:t>
      </w:r>
      <w:r/>
    </w:p>
    <w:p>
      <w:pPr>
        <w:pStyle w:val="901"/>
        <w:ind w:firstLine="567"/>
        <w:spacing w:after="0" w:line="240" w:lineRule="auto"/>
        <w:rPr>
          <w:rFonts w:ascii="Times New Roman" w:hAnsi="Times New Roman"/>
          <w:i/>
          <w:sz w:val="24"/>
          <w:szCs w:val="24"/>
        </w:rPr>
      </w:pPr>
      <w:r>
        <w:rPr>
          <w:rFonts w:ascii="Times New Roman" w:hAnsi="Times New Roman"/>
          <w:i/>
          <w:sz w:val="24"/>
          <w:szCs w:val="24"/>
        </w:rPr>
        <w:t xml:space="preserve">Глава 7. Карта градостроительного зонирования Казанского сельского поселения Кавказского района</w:t>
      </w:r>
      <w:r/>
    </w:p>
    <w:p>
      <w:pPr>
        <w:jc w:val="center"/>
        <w:rPr>
          <w:b/>
        </w:rPr>
      </w:pPr>
      <w:r>
        <w:rPr>
          <w:b/>
        </w:rPr>
        <w:t xml:space="preserve">Статья 26. Карта градостроительного зонирования Казанского сельского поселения Кавказского района</w:t>
      </w:r>
      <w:r/>
    </w:p>
    <w:p>
      <w:pPr>
        <w:jc w:val="center"/>
      </w:pPr>
      <w:r>
        <mc:AlternateContent>
          <mc:Choice Requires="wpg">
            <w:drawing>
              <wp:inline xmlns:wp="http://schemas.openxmlformats.org/drawingml/2006/wordprocessingDrawing" distT="0" distB="0" distL="0" distR="0">
                <wp:extent cx="6692457" cy="5510456"/>
                <wp:effectExtent l="0" t="0" r="0" b="0"/>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7586331" name=""/>
                        <pic:cNvPicPr>
                          <a:picLocks noChangeAspect="1"/>
                        </pic:cNvPicPr>
                        <pic:nvPr/>
                      </pic:nvPicPr>
                      <pic:blipFill>
                        <a:blip r:embed="rId55"/>
                        <a:stretch/>
                      </pic:blipFill>
                      <pic:spPr bwMode="auto">
                        <a:xfrm flipH="0" flipV="0">
                          <a:off x="0" y="0"/>
                          <a:ext cx="6692457" cy="5510455"/>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527.0pt;height:433.9pt;mso-wrap-distance-left:0.0pt;mso-wrap-distance-top:0.0pt;mso-wrap-distance-right:0.0pt;mso-wrap-distance-bottom:0.0pt;" stroked="false">
                <v:path textboxrect="0,0,0,0"/>
                <v:imagedata r:id="rId55" o:title=""/>
              </v:shape>
            </w:pict>
          </mc:Fallback>
        </mc:AlternateContent>
      </w:r>
      <w:r/>
    </w:p>
    <w:p>
      <w:pPr>
        <w:rPr>
          <w:sz w:val="24"/>
          <w:szCs w:val="24"/>
        </w:rPr>
      </w:pPr>
      <w:r>
        <w:rPr>
          <w:sz w:val="24"/>
          <w:szCs w:val="24"/>
        </w:rPr>
      </w:r>
      <w:r/>
    </w:p>
    <w:p>
      <w:pPr>
        <w:pStyle w:val="901"/>
        <w:ind w:firstLine="567"/>
        <w:spacing w:after="0" w:line="240" w:lineRule="auto"/>
        <w:rPr>
          <w:rFonts w:ascii="Times New Roman" w:hAnsi="Times New Roman"/>
          <w:sz w:val="24"/>
          <w:szCs w:val="24"/>
        </w:rPr>
      </w:pPr>
      <w:r>
        <w:rPr>
          <w:rFonts w:ascii="Times New Roman" w:hAnsi="Times New Roman"/>
          <w:sz w:val="24"/>
          <w:szCs w:val="24"/>
        </w:rPr>
        <w:t xml:space="preserve">РАЗДЕЛ III. ГРАДОСТРОИТЕЛЬНЫЕ РЕГЛАМЕНТЫ</w:t>
      </w:r>
      <w:r/>
    </w:p>
    <w:p>
      <w:pPr>
        <w:ind w:firstLine="567"/>
        <w:jc w:val="center"/>
        <w:rPr>
          <w:b/>
          <w:sz w:val="24"/>
          <w:szCs w:val="24"/>
        </w:rPr>
      </w:pPr>
      <w:r>
        <w:rPr>
          <w:b/>
          <w:sz w:val="24"/>
          <w:szCs w:val="24"/>
        </w:rPr>
      </w:r>
      <w:r/>
    </w:p>
    <w:p>
      <w:pPr>
        <w:pStyle w:val="901"/>
        <w:ind w:firstLine="567"/>
        <w:spacing w:after="0" w:line="240" w:lineRule="auto"/>
        <w:rPr>
          <w:rFonts w:ascii="Times New Roman" w:hAnsi="Times New Roman"/>
          <w:i/>
          <w:sz w:val="24"/>
          <w:szCs w:val="24"/>
        </w:rPr>
      </w:pPr>
      <w:r>
        <w:rPr>
          <w:rFonts w:ascii="Times New Roman" w:hAnsi="Times New Roman"/>
          <w:i/>
          <w:sz w:val="24"/>
          <w:szCs w:val="24"/>
        </w:rPr>
        <w:t xml:space="preserve">Глава 8. Градостроительные регламенты</w:t>
      </w:r>
      <w:r/>
    </w:p>
    <w:p>
      <w:pPr>
        <w:ind w:firstLine="567"/>
        <w:jc w:val="center"/>
        <w:rPr>
          <w:b/>
          <w:sz w:val="24"/>
          <w:szCs w:val="24"/>
        </w:rPr>
      </w:pPr>
      <w:r>
        <w:rPr>
          <w:b/>
          <w:sz w:val="24"/>
          <w:szCs w:val="24"/>
        </w:rPr>
      </w:r>
      <w:r/>
    </w:p>
    <w:p>
      <w:pPr>
        <w:pStyle w:val="903"/>
        <w:ind w:firstLine="567"/>
        <w:spacing w:before="0"/>
        <w:rPr>
          <w:rFonts w:ascii="Times New Roman" w:hAnsi="Times New Roman" w:cs="Times New Roman"/>
          <w:b/>
          <w:color w:val="auto"/>
        </w:rPr>
      </w:pPr>
      <w:r>
        <w:rPr>
          <w:rFonts w:ascii="Times New Roman" w:hAnsi="Times New Roman" w:cs="Times New Roman"/>
          <w:b/>
          <w:color w:val="auto"/>
        </w:rPr>
        <w:t xml:space="preserve">Статья 27. Виды и состав территориальных зон, установленных Правилами</w:t>
      </w:r>
      <w:r/>
    </w:p>
    <w:p>
      <w:pPr>
        <w:ind w:firstLine="567"/>
        <w:jc w:val="both"/>
        <w:rPr>
          <w:sz w:val="24"/>
          <w:szCs w:val="24"/>
        </w:rPr>
      </w:pPr>
      <w:r>
        <w:rPr>
          <w:sz w:val="24"/>
          <w:szCs w:val="24"/>
        </w:rPr>
      </w:r>
      <w:r/>
    </w:p>
    <w:p>
      <w:pPr>
        <w:ind w:firstLine="567"/>
        <w:jc w:val="both"/>
        <w:rPr>
          <w:b/>
          <w:sz w:val="24"/>
          <w:szCs w:val="24"/>
        </w:rPr>
      </w:pPr>
      <w:r>
        <w:rPr>
          <w:b/>
          <w:sz w:val="24"/>
          <w:szCs w:val="24"/>
        </w:rPr>
        <w:t xml:space="preserve">Жилые зоны:</w:t>
      </w:r>
      <w:r/>
    </w:p>
    <w:p>
      <w:pPr>
        <w:ind w:firstLine="567"/>
        <w:jc w:val="both"/>
        <w:rPr>
          <w:sz w:val="24"/>
          <w:szCs w:val="24"/>
        </w:rPr>
      </w:pPr>
      <w:r>
        <w:rPr>
          <w:sz w:val="24"/>
          <w:szCs w:val="24"/>
        </w:rPr>
        <w:t xml:space="preserve">- Ж-1- зона индивидуальной жилой застройки;</w:t>
      </w:r>
      <w:r/>
    </w:p>
    <w:p>
      <w:pPr>
        <w:ind w:firstLine="567"/>
        <w:jc w:val="both"/>
        <w:rPr>
          <w:sz w:val="24"/>
          <w:szCs w:val="24"/>
        </w:rPr>
      </w:pPr>
      <w:r>
        <w:rPr>
          <w:sz w:val="24"/>
          <w:szCs w:val="24"/>
        </w:rPr>
        <w:t xml:space="preserve">- Ж-2- зона застройки малоэтажными жилыми домами (до 4 этажей, включая мансардный);</w:t>
      </w:r>
      <w:r/>
    </w:p>
    <w:p>
      <w:pPr>
        <w:ind w:firstLine="567"/>
        <w:jc w:val="both"/>
        <w:rPr>
          <w:b/>
          <w:sz w:val="24"/>
          <w:szCs w:val="24"/>
        </w:rPr>
      </w:pPr>
      <w:r>
        <w:rPr>
          <w:b/>
          <w:sz w:val="24"/>
          <w:szCs w:val="24"/>
        </w:rPr>
        <w:t xml:space="preserve">Общественно – деловые зоны:</w:t>
      </w:r>
      <w:r/>
    </w:p>
    <w:p>
      <w:pPr>
        <w:ind w:firstLine="567"/>
        <w:jc w:val="both"/>
        <w:rPr>
          <w:sz w:val="24"/>
          <w:szCs w:val="24"/>
        </w:rPr>
      </w:pPr>
      <w:r>
        <w:rPr>
          <w:sz w:val="24"/>
          <w:szCs w:val="24"/>
        </w:rPr>
        <w:t xml:space="preserve">- ОД-1- многофункциональная общественно-деловая зона;</w:t>
      </w:r>
      <w:r/>
    </w:p>
    <w:p>
      <w:pPr>
        <w:ind w:firstLine="567"/>
        <w:jc w:val="both"/>
        <w:rPr>
          <w:sz w:val="24"/>
          <w:szCs w:val="24"/>
        </w:rPr>
      </w:pPr>
      <w:r>
        <w:rPr>
          <w:sz w:val="24"/>
          <w:szCs w:val="24"/>
        </w:rPr>
        <w:t xml:space="preserve">- ОД-2 -  зона общественной застройки;</w:t>
      </w:r>
      <w:r/>
    </w:p>
    <w:p>
      <w:pPr>
        <w:ind w:firstLine="567"/>
        <w:jc w:val="both"/>
        <w:rPr>
          <w:b/>
          <w:bCs/>
          <w:sz w:val="24"/>
          <w:szCs w:val="24"/>
        </w:rPr>
      </w:pPr>
      <w:r>
        <w:rPr>
          <w:b/>
          <w:sz w:val="24"/>
          <w:szCs w:val="24"/>
        </w:rPr>
        <w:t xml:space="preserve">Производственная зона:</w:t>
      </w:r>
      <w:r/>
    </w:p>
    <w:p>
      <w:pPr>
        <w:ind w:firstLine="567"/>
        <w:jc w:val="both"/>
      </w:pPr>
      <w:r>
        <w:rPr>
          <w:sz w:val="24"/>
          <w:szCs w:val="24"/>
        </w:rPr>
        <w:t xml:space="preserve">- ПР -  производственная зона;</w:t>
      </w:r>
      <w:r/>
    </w:p>
    <w:p>
      <w:pPr>
        <w:ind w:firstLine="567"/>
        <w:jc w:val="both"/>
      </w:pPr>
      <w:r>
        <w:rPr>
          <w:sz w:val="24"/>
          <w:szCs w:val="24"/>
        </w:rPr>
        <w:t xml:space="preserve">- КС- коммунально-складская зона;</w:t>
      </w:r>
      <w:r/>
    </w:p>
    <w:p>
      <w:pPr>
        <w:ind w:firstLine="567"/>
        <w:jc w:val="both"/>
      </w:pPr>
      <w:r>
        <w:rPr>
          <w:sz w:val="24"/>
          <w:szCs w:val="24"/>
        </w:rPr>
        <w:t xml:space="preserve">- И - зона инженерной инфраструктуры;</w:t>
      </w:r>
      <w:r/>
    </w:p>
    <w:p>
      <w:pPr>
        <w:jc w:val="both"/>
      </w:pPr>
      <w:r>
        <w:rPr>
          <w:sz w:val="24"/>
          <w:szCs w:val="24"/>
        </w:rPr>
        <w:t xml:space="preserve">         - Т - зона транспортной инфраструктуры;</w:t>
      </w:r>
      <w:r/>
    </w:p>
    <w:p>
      <w:pPr>
        <w:ind w:firstLine="567"/>
        <w:jc w:val="both"/>
        <w:rPr>
          <w:b/>
          <w:sz w:val="24"/>
          <w:szCs w:val="24"/>
        </w:rPr>
      </w:pPr>
      <w:r>
        <w:rPr>
          <w:b/>
          <w:sz w:val="24"/>
          <w:szCs w:val="24"/>
        </w:rPr>
        <w:t xml:space="preserve">Зоны сельскохозяйственного использования:</w:t>
      </w:r>
      <w:r/>
    </w:p>
    <w:p>
      <w:pPr>
        <w:ind w:firstLine="567"/>
      </w:pPr>
      <w:r>
        <w:rPr>
          <w:color w:val="000000"/>
          <w:sz w:val="24"/>
          <w:szCs w:val="24"/>
        </w:rPr>
        <w:t xml:space="preserve">- СХ-1 –зона сельскохозяйственного использования;</w:t>
      </w:r>
      <w:r/>
    </w:p>
    <w:p>
      <w:pPr>
        <w:ind w:firstLine="567"/>
      </w:pPr>
      <w:r>
        <w:rPr>
          <w:color w:val="000000"/>
          <w:sz w:val="24"/>
          <w:szCs w:val="24"/>
        </w:rPr>
        <w:t xml:space="preserve">- СХ-2 – производственная зона сельскохозяйственных предприятий;</w:t>
      </w:r>
      <w:r/>
    </w:p>
    <w:p>
      <w:pPr>
        <w:ind w:firstLine="567"/>
        <w:rPr>
          <w:color w:val="000000"/>
          <w:sz w:val="24"/>
          <w:szCs w:val="24"/>
        </w:rPr>
      </w:pPr>
      <w:r>
        <w:rPr>
          <w:color w:val="000000"/>
          <w:sz w:val="24"/>
          <w:szCs w:val="24"/>
        </w:rPr>
        <w:t xml:space="preserve">- СХ-3 – зона садоводческих и огороднических некоммерческих товариществ;</w:t>
      </w:r>
      <w:r/>
    </w:p>
    <w:p>
      <w:pPr>
        <w:ind w:firstLine="567"/>
        <w:jc w:val="both"/>
        <w:rPr>
          <w:b/>
          <w:sz w:val="24"/>
          <w:szCs w:val="24"/>
        </w:rPr>
      </w:pPr>
      <w:r>
        <w:rPr>
          <w:b/>
          <w:sz w:val="24"/>
          <w:szCs w:val="24"/>
        </w:rPr>
        <w:t xml:space="preserve">Рекреационные зоны:</w:t>
      </w:r>
      <w:r/>
    </w:p>
    <w:p>
      <w:pPr>
        <w:ind w:firstLine="567"/>
        <w:jc w:val="both"/>
        <w:rPr>
          <w:sz w:val="24"/>
          <w:szCs w:val="24"/>
        </w:rPr>
      </w:pPr>
      <w:r>
        <w:rPr>
          <w:sz w:val="24"/>
          <w:szCs w:val="24"/>
        </w:rPr>
        <w:t xml:space="preserve">- Р-1 -  зона озелененных территорий общего пользования (лесопарки, парки, сады, скверы, бульвары, городские леса);</w:t>
      </w:r>
      <w:r/>
    </w:p>
    <w:p>
      <w:pPr>
        <w:ind w:firstLine="567"/>
        <w:jc w:val="both"/>
      </w:pPr>
      <w:r>
        <w:rPr>
          <w:sz w:val="24"/>
          <w:szCs w:val="24"/>
        </w:rPr>
        <w:t xml:space="preserve">- Р-2 -  зона рекреационного назначения;</w:t>
      </w:r>
      <w:r/>
    </w:p>
    <w:p>
      <w:pPr>
        <w:ind w:firstLine="567"/>
        <w:jc w:val="both"/>
        <w:rPr>
          <w:b/>
          <w:sz w:val="24"/>
          <w:szCs w:val="24"/>
        </w:rPr>
      </w:pPr>
      <w:r>
        <w:rPr>
          <w:b/>
          <w:sz w:val="24"/>
          <w:szCs w:val="24"/>
        </w:rPr>
        <w:t xml:space="preserve">Зоны специального назначения:</w:t>
      </w:r>
      <w:r/>
    </w:p>
    <w:p>
      <w:pPr>
        <w:ind w:firstLine="567"/>
        <w:jc w:val="both"/>
        <w:rPr>
          <w:sz w:val="24"/>
          <w:szCs w:val="24"/>
        </w:rPr>
      </w:pPr>
      <w:r>
        <w:rPr>
          <w:sz w:val="24"/>
          <w:szCs w:val="24"/>
        </w:rPr>
        <w:t xml:space="preserve">- СН-1 - зона кладбищ.</w:t>
      </w:r>
      <w:r/>
    </w:p>
    <w:p>
      <w:pPr>
        <w:ind w:firstLine="567"/>
        <w:jc w:val="both"/>
      </w:pPr>
      <w:r/>
      <w:r/>
    </w:p>
    <w:p>
      <w:pPr>
        <w:ind w:right="175" w:firstLine="567"/>
        <w:jc w:val="both"/>
        <w:rPr>
          <w:sz w:val="24"/>
          <w:szCs w:val="24"/>
        </w:rPr>
      </w:pPr>
      <w:r>
        <w:rPr>
          <w:b/>
          <w:sz w:val="24"/>
          <w:szCs w:val="24"/>
        </w:rPr>
        <w:t xml:space="preserve">Примечание</w:t>
      </w:r>
      <w:r>
        <w:rPr>
          <w:sz w:val="24"/>
          <w:szCs w:val="24"/>
        </w:rPr>
        <w:t xml:space="preserve">: В квадратных скобках […] указан код (числовое обозначение) вида разрешенного использования земельного участка. </w:t>
      </w:r>
      <w:r/>
    </w:p>
    <w:p>
      <w:pPr>
        <w:ind w:right="175" w:firstLine="567"/>
        <w:jc w:val="both"/>
        <w:rPr>
          <w:strike/>
          <w:sz w:val="24"/>
          <w:szCs w:val="24"/>
        </w:rPr>
      </w:pPr>
      <w:r>
        <w:rPr>
          <w:sz w:val="24"/>
          <w:szCs w:val="24"/>
        </w:rPr>
        <w:t xml:space="preserve">Текстовое наименование вида разрешенного использования земельного участка и его код (числовое обозначение) являются равнозначными. Приказ </w:t>
      </w:r>
      <w:hyperlink r:id="rId56" w:tooltip="https://docs.cntd.ru/document/902161544#64U0IK" w:anchor="64U0IK" w:history="1">
        <w:r>
          <w:rPr>
            <w:sz w:val="24"/>
            <w:szCs w:val="24"/>
            <w:shd w:val="clear" w:color="auto" w:fill="ffffff"/>
          </w:rPr>
          <w:t xml:space="preserve">Федеральной службы государственной регистрации, кадастра и картографии"</w:t>
        </w:r>
      </w:hyperlink>
      <w:r>
        <w:rPr>
          <w:sz w:val="24"/>
          <w:szCs w:val="24"/>
          <w:shd w:val="clear" w:color="auto" w:fill="ffffff"/>
        </w:rPr>
        <w:t xml:space="preserve"> </w:t>
      </w:r>
      <w:r>
        <w:rPr>
          <w:bCs/>
          <w:sz w:val="24"/>
          <w:szCs w:val="24"/>
          <w:shd w:val="clear" w:color="auto" w:fill="ffffff"/>
        </w:rPr>
        <w:t xml:space="preserve">от 10 ноября 2020 года N П/0412</w:t>
      </w:r>
      <w:r>
        <w:rPr>
          <w:sz w:val="24"/>
          <w:szCs w:val="24"/>
          <w:shd w:val="clear" w:color="auto" w:fill="ffffff"/>
        </w:rPr>
        <w:t xml:space="preserve"> (в действующей редакции).</w:t>
      </w:r>
      <w:r/>
    </w:p>
    <w:p>
      <w:pPr>
        <w:ind w:firstLine="567"/>
        <w:jc w:val="both"/>
        <w:widowControl/>
        <w:rPr>
          <w:rFonts w:eastAsia="Calibri"/>
          <w:sz w:val="24"/>
          <w:szCs w:val="24"/>
          <w:lang w:eastAsia="en-US"/>
        </w:rPr>
      </w:pPr>
      <w:r>
        <w:rPr>
          <w:rFonts w:eastAsia="Calibri"/>
          <w:sz w:val="24"/>
          <w:szCs w:val="24"/>
          <w:lang w:eastAsia="en-US"/>
        </w:rPr>
        <w:t xml:space="preserve">Для идентификации установленных территориальных зон используется номер </w:t>
      </w:r>
      <w:r>
        <w:rPr>
          <w:rFonts w:eastAsia="Calibri"/>
          <w:sz w:val="24"/>
          <w:szCs w:val="24"/>
          <w:lang w:eastAsia="en-US"/>
        </w:rPr>
        <w:t xml:space="preserve">и наименование территориальной зоны. Наименование установленной территориальной зоны состоит из наименования вида территориальной зоны, включающего индекс вида территориальной зоны, заключенный в круглые скобки, и номера установленной территориальной зоны.</w:t>
      </w:r>
      <w:r/>
    </w:p>
    <w:p>
      <w:pPr>
        <w:ind w:firstLine="567"/>
        <w:jc w:val="both"/>
        <w:widowControl/>
        <w:rPr>
          <w:rFonts w:eastAsia="Calibri"/>
          <w:sz w:val="24"/>
          <w:szCs w:val="24"/>
          <w:lang w:eastAsia="en-US"/>
        </w:rPr>
      </w:pPr>
      <w:r>
        <w:rPr>
          <w:rFonts w:eastAsia="Calibri"/>
          <w:sz w:val="24"/>
          <w:szCs w:val="24"/>
          <w:lang w:eastAsia="en-US"/>
        </w:rPr>
        <w:t xml:space="preserve">Индекс территориальной зоны совпадает с индексом вида территориальной зоны. В отношении терр</w:t>
      </w:r>
      <w:r>
        <w:rPr>
          <w:rFonts w:eastAsia="Calibri"/>
          <w:sz w:val="24"/>
          <w:szCs w:val="24"/>
          <w:lang w:eastAsia="en-US"/>
        </w:rPr>
        <w:t xml:space="preserve">иториальных зон использование терминов «индекс территориальной зоны» и «индекс вида территориальной зоны» в рамках настоящих Правил является равнозначным. Для всех территориальных зон, имеющих одинаковый индекс, действует общий градостроительный регламент.</w:t>
      </w:r>
      <w:r/>
    </w:p>
    <w:p>
      <w:pPr>
        <w:jc w:val="both"/>
        <w:widowControl/>
        <w:rPr>
          <w:rFonts w:eastAsia="Calibri"/>
          <w:sz w:val="24"/>
          <w:szCs w:val="24"/>
          <w:lang w:eastAsia="en-US"/>
        </w:rPr>
      </w:pPr>
      <w:r>
        <w:rPr>
          <w:rFonts w:eastAsia="Calibri"/>
          <w:sz w:val="24"/>
          <w:szCs w:val="24"/>
          <w:lang w:eastAsia="en-US"/>
        </w:rPr>
      </w:r>
      <w:r/>
    </w:p>
    <w:p>
      <w:pPr>
        <w:jc w:val="both"/>
        <w:widowControl/>
        <w:rPr>
          <w:rFonts w:eastAsia="Calibri"/>
          <w:sz w:val="24"/>
          <w:szCs w:val="24"/>
          <w:lang w:eastAsia="en-US"/>
        </w:rPr>
      </w:pPr>
      <w:r>
        <w:rPr>
          <w:rFonts w:eastAsia="Calibri"/>
          <w:sz w:val="24"/>
          <w:szCs w:val="24"/>
          <w:lang w:eastAsia="en-US"/>
        </w:rPr>
      </w:r>
      <w:r/>
    </w:p>
    <w:p>
      <w:pPr>
        <w:ind w:firstLine="567"/>
        <w:jc w:val="both"/>
        <w:widowControl/>
        <w:rPr>
          <w:rFonts w:eastAsia="Calibri"/>
          <w:sz w:val="24"/>
          <w:szCs w:val="24"/>
          <w:lang w:eastAsia="en-US"/>
        </w:rPr>
      </w:pPr>
      <w:r>
        <w:rPr>
          <w:rFonts w:eastAsia="Calibri"/>
          <w:sz w:val="24"/>
          <w:szCs w:val="24"/>
          <w:lang w:eastAsia="en-US"/>
        </w:rPr>
        <w:t xml:space="preserve">На карте градостроительного зонирования установлены границы следующих территориальных зон:</w:t>
      </w:r>
      <w:r/>
    </w:p>
    <w:tbl>
      <w:tblPr>
        <w:tblW w:w="98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101"/>
        <w:gridCol w:w="1134"/>
        <w:gridCol w:w="5103"/>
        <w:gridCol w:w="2551"/>
      </w:tblGrid>
      <w:tr>
        <w:trPr>
          <w:jc w:val="center"/>
        </w:trPr>
        <w:tc>
          <w:tcPr>
            <w:tcW w:w="1101" w:type="dxa"/>
            <w:vAlign w:val="center"/>
            <w:textDirection w:val="lrTb"/>
            <w:noWrap/>
          </w:tcPr>
          <w:p>
            <w:pPr>
              <w:jc w:val="center"/>
              <w:widowControl/>
              <w:rPr>
                <w:rFonts w:eastAsia="Calibri"/>
                <w:b/>
                <w:sz w:val="18"/>
                <w:szCs w:val="18"/>
                <w:lang w:eastAsia="en-US"/>
              </w:rPr>
            </w:pPr>
            <w:r>
              <w:rPr>
                <w:rFonts w:eastAsia="Calibri"/>
                <w:b/>
                <w:sz w:val="18"/>
                <w:szCs w:val="18"/>
                <w:lang w:eastAsia="en-US"/>
              </w:rPr>
              <w:t xml:space="preserve">Номер зоны</w:t>
            </w:r>
            <w:r/>
          </w:p>
        </w:tc>
        <w:tc>
          <w:tcPr>
            <w:tcW w:w="1134" w:type="dxa"/>
            <w:vAlign w:val="center"/>
            <w:textDirection w:val="lrTb"/>
            <w:noWrap/>
          </w:tcPr>
          <w:p>
            <w:pPr>
              <w:jc w:val="center"/>
              <w:widowControl/>
              <w:rPr>
                <w:rFonts w:eastAsia="Calibri"/>
                <w:b/>
                <w:sz w:val="18"/>
                <w:szCs w:val="18"/>
                <w:lang w:eastAsia="en-US"/>
              </w:rPr>
            </w:pPr>
            <w:r>
              <w:rPr>
                <w:rFonts w:eastAsia="Calibri"/>
                <w:b/>
                <w:sz w:val="18"/>
                <w:szCs w:val="18"/>
                <w:lang w:eastAsia="en-US"/>
              </w:rPr>
              <w:t xml:space="preserve">Индекс зоны</w:t>
            </w:r>
            <w:r/>
          </w:p>
        </w:tc>
        <w:tc>
          <w:tcPr>
            <w:shd w:val="clear" w:color="auto" w:fill="auto"/>
            <w:tcW w:w="5103" w:type="dxa"/>
            <w:vAlign w:val="center"/>
            <w:textDirection w:val="lrTb"/>
            <w:noWrap/>
          </w:tcPr>
          <w:p>
            <w:pPr>
              <w:jc w:val="center"/>
              <w:widowControl/>
              <w:rPr>
                <w:rFonts w:eastAsia="Calibri"/>
                <w:b/>
                <w:sz w:val="18"/>
                <w:szCs w:val="18"/>
                <w:lang w:eastAsia="en-US"/>
              </w:rPr>
            </w:pPr>
            <w:r>
              <w:rPr>
                <w:rFonts w:eastAsia="Calibri"/>
                <w:b/>
                <w:sz w:val="18"/>
                <w:szCs w:val="18"/>
                <w:lang w:eastAsia="en-US"/>
              </w:rPr>
              <w:t xml:space="preserve">Наименование </w:t>
            </w:r>
            <w:r/>
          </w:p>
          <w:p>
            <w:pPr>
              <w:jc w:val="center"/>
              <w:widowControl/>
              <w:rPr>
                <w:rFonts w:eastAsia="Calibri"/>
                <w:b/>
                <w:sz w:val="18"/>
                <w:szCs w:val="18"/>
                <w:lang w:eastAsia="en-US"/>
              </w:rPr>
            </w:pPr>
            <w:r>
              <w:rPr>
                <w:rFonts w:eastAsia="Calibri"/>
                <w:b/>
                <w:sz w:val="18"/>
                <w:szCs w:val="18"/>
                <w:lang w:eastAsia="en-US"/>
              </w:rPr>
              <w:t xml:space="preserve">территориальной зоны</w:t>
            </w:r>
            <w:r/>
          </w:p>
        </w:tc>
        <w:tc>
          <w:tcPr>
            <w:tcW w:w="2551" w:type="dxa"/>
            <w:vAlign w:val="center"/>
            <w:textDirection w:val="lrTb"/>
            <w:noWrap/>
          </w:tcPr>
          <w:p>
            <w:pPr>
              <w:jc w:val="center"/>
              <w:widowControl/>
              <w:rPr>
                <w:rFonts w:eastAsia="Calibri"/>
                <w:b/>
                <w:sz w:val="18"/>
                <w:szCs w:val="18"/>
                <w:lang w:eastAsia="en-US"/>
              </w:rPr>
            </w:pPr>
            <w:r>
              <w:rPr>
                <w:rFonts w:eastAsia="Calibri"/>
                <w:b/>
                <w:sz w:val="18"/>
                <w:szCs w:val="18"/>
                <w:lang w:eastAsia="en-US"/>
              </w:rPr>
              <w:t xml:space="preserve">Местоположение</w:t>
            </w:r>
            <w:r/>
          </w:p>
          <w:p>
            <w:pPr>
              <w:jc w:val="center"/>
              <w:widowControl/>
              <w:rPr>
                <w:rFonts w:eastAsia="Calibri"/>
                <w:b/>
                <w:sz w:val="18"/>
                <w:szCs w:val="18"/>
                <w:lang w:eastAsia="en-US"/>
              </w:rPr>
            </w:pPr>
            <w:r>
              <w:rPr>
                <w:rFonts w:eastAsia="Calibri"/>
                <w:b/>
                <w:sz w:val="18"/>
                <w:szCs w:val="18"/>
                <w:lang w:eastAsia="en-US"/>
              </w:rPr>
              <w:t xml:space="preserve">зоны</w:t>
            </w:r>
            <w:r/>
          </w:p>
        </w:tc>
      </w:tr>
      <w:tr>
        <w:trPr>
          <w:jc w:val="center"/>
        </w:trPr>
        <w:tc>
          <w:tcPr>
            <w:shd w:val="clear" w:color="auto" w:fill="auto"/>
            <w:tcW w:w="1101" w:type="dxa"/>
            <w:vAlign w:val="center"/>
            <w:textDirection w:val="lrTb"/>
            <w:noWrap/>
          </w:tcPr>
          <w:p>
            <w:pPr>
              <w:jc w:val="center"/>
              <w:widowControl/>
              <w:rPr>
                <w:rFonts w:eastAsia="Calibri"/>
                <w:sz w:val="18"/>
                <w:szCs w:val="18"/>
                <w:lang w:eastAsia="en-US"/>
              </w:rPr>
            </w:pPr>
            <w:r>
              <w:rPr>
                <w:rFonts w:eastAsia="Calibri"/>
                <w:sz w:val="18"/>
                <w:szCs w:val="18"/>
                <w:lang w:eastAsia="en-US"/>
              </w:rPr>
              <w:t xml:space="preserve">1-1</w:t>
            </w:r>
            <w:r/>
          </w:p>
        </w:tc>
        <w:tc>
          <w:tcPr>
            <w:shd w:val="clear" w:color="auto" w:fill="auto"/>
            <w:tcW w:w="1134" w:type="dxa"/>
            <w:vAlign w:val="center"/>
            <w:textDirection w:val="lrTb"/>
            <w:noWrap/>
          </w:tcPr>
          <w:p>
            <w:pPr>
              <w:jc w:val="center"/>
              <w:widowControl/>
              <w:rPr>
                <w:sz w:val="18"/>
                <w:szCs w:val="18"/>
                <w:lang w:eastAsia="ru-RU"/>
              </w:rPr>
            </w:pPr>
            <w:r>
              <w:rPr>
                <w:sz w:val="18"/>
                <w:szCs w:val="18"/>
                <w:lang w:eastAsia="ru-RU"/>
              </w:rPr>
              <w:t xml:space="preserve">Ж-1</w:t>
            </w:r>
            <w:r/>
          </w:p>
        </w:tc>
        <w:tc>
          <w:tcPr>
            <w:shd w:val="clear" w:color="auto" w:fill="auto"/>
            <w:tcW w:w="5103" w:type="dxa"/>
            <w:vAlign w:val="center"/>
            <w:textDirection w:val="lrTb"/>
            <w:noWrap/>
          </w:tcPr>
          <w:p>
            <w:pPr>
              <w:widowControl/>
              <w:rPr>
                <w:sz w:val="18"/>
                <w:szCs w:val="18"/>
                <w:lang w:eastAsia="ru-RU"/>
              </w:rPr>
            </w:pPr>
            <w:r>
              <w:rPr>
                <w:sz w:val="18"/>
                <w:szCs w:val="18"/>
                <w:lang w:eastAsia="ru-RU"/>
              </w:rPr>
              <w:t xml:space="preserve">Зона индивидуальной жилой застройки (Ж-1) №1-1</w:t>
            </w:r>
            <w:r/>
          </w:p>
        </w:tc>
        <w:tc>
          <w:tcPr>
            <w:shd w:val="clear" w:color="auto" w:fill="auto"/>
            <w:tcW w:w="2551" w:type="dxa"/>
            <w:vAlign w:val="center"/>
            <w:textDirection w:val="lrTb"/>
            <w:noWrap/>
          </w:tcPr>
          <w:p>
            <w:pPr>
              <w:jc w:val="both"/>
              <w:widowControl/>
              <w:rPr>
                <w:rFonts w:eastAsia="Calibri"/>
                <w:sz w:val="18"/>
                <w:szCs w:val="18"/>
                <w:lang w:eastAsia="en-US"/>
              </w:rPr>
            </w:pPr>
            <w:r>
              <w:rPr>
                <w:rFonts w:eastAsia="Calibri"/>
                <w:sz w:val="18"/>
                <w:szCs w:val="18"/>
                <w:lang w:eastAsia="en-US"/>
              </w:rPr>
              <w:t xml:space="preserve">ст. Казанская</w:t>
            </w:r>
            <w:r/>
          </w:p>
        </w:tc>
      </w:tr>
      <w:tr>
        <w:trPr>
          <w:jc w:val="center"/>
        </w:trPr>
        <w:tc>
          <w:tcPr>
            <w:shd w:val="clear" w:color="auto" w:fill="auto"/>
            <w:tcW w:w="1101" w:type="dxa"/>
            <w:vAlign w:val="center"/>
            <w:textDirection w:val="lrTb"/>
            <w:noWrap/>
          </w:tcPr>
          <w:p>
            <w:pPr>
              <w:jc w:val="center"/>
              <w:widowControl/>
              <w:rPr>
                <w:rFonts w:eastAsia="Calibri"/>
                <w:sz w:val="18"/>
                <w:szCs w:val="18"/>
                <w:lang w:eastAsia="en-US"/>
              </w:rPr>
            </w:pPr>
            <w:r>
              <w:rPr>
                <w:rFonts w:eastAsia="Calibri"/>
                <w:sz w:val="18"/>
                <w:szCs w:val="18"/>
                <w:lang w:eastAsia="en-US"/>
              </w:rPr>
              <w:t xml:space="preserve">1-2</w:t>
            </w:r>
            <w:r/>
          </w:p>
        </w:tc>
        <w:tc>
          <w:tcPr>
            <w:shd w:val="clear" w:color="auto" w:fill="auto"/>
            <w:tcW w:w="1134" w:type="dxa"/>
            <w:vAlign w:val="center"/>
            <w:textDirection w:val="lrTb"/>
            <w:noWrap/>
          </w:tcPr>
          <w:p>
            <w:pPr>
              <w:jc w:val="center"/>
              <w:widowControl/>
              <w:rPr>
                <w:sz w:val="18"/>
                <w:szCs w:val="18"/>
                <w:lang w:eastAsia="ru-RU"/>
              </w:rPr>
            </w:pPr>
            <w:r>
              <w:rPr>
                <w:sz w:val="18"/>
                <w:szCs w:val="18"/>
                <w:lang w:eastAsia="ru-RU"/>
              </w:rPr>
              <w:t xml:space="preserve">Ж-2</w:t>
            </w:r>
            <w:r/>
          </w:p>
        </w:tc>
        <w:tc>
          <w:tcPr>
            <w:shd w:val="clear" w:color="auto" w:fill="auto"/>
            <w:tcW w:w="5103" w:type="dxa"/>
            <w:vAlign w:val="center"/>
            <w:textDirection w:val="lrTb"/>
            <w:noWrap/>
          </w:tcPr>
          <w:p>
            <w:pPr>
              <w:widowControl/>
              <w:rPr>
                <w:sz w:val="18"/>
                <w:szCs w:val="18"/>
                <w:lang w:eastAsia="ru-RU"/>
              </w:rPr>
            </w:pPr>
            <w:r>
              <w:rPr>
                <w:sz w:val="18"/>
                <w:szCs w:val="18"/>
                <w:lang w:eastAsia="ru-RU"/>
              </w:rPr>
              <w:t xml:space="preserve">Зона малоэтажной жилой застройки (Ж-2) №1-2</w:t>
            </w:r>
            <w:r/>
          </w:p>
        </w:tc>
        <w:tc>
          <w:tcPr>
            <w:shd w:val="clear" w:color="auto" w:fill="auto"/>
            <w:tcW w:w="2551" w:type="dxa"/>
            <w:textDirection w:val="lrTb"/>
            <w:noWrap/>
          </w:tcPr>
          <w:p>
            <w:pPr>
              <w:jc w:val="both"/>
              <w:widowControl/>
              <w:rPr>
                <w:rFonts w:eastAsia="Calibri"/>
                <w:lang w:eastAsia="en-US"/>
              </w:rPr>
            </w:pPr>
            <w:r>
              <w:rPr>
                <w:rFonts w:eastAsia="Calibri"/>
                <w:sz w:val="18"/>
                <w:szCs w:val="18"/>
                <w:lang w:eastAsia="en-US"/>
              </w:rPr>
              <w:t xml:space="preserve">ст. Казанская</w:t>
            </w:r>
            <w:r/>
          </w:p>
        </w:tc>
      </w:tr>
      <w:tr>
        <w:trPr>
          <w:jc w:val="center"/>
        </w:trPr>
        <w:tc>
          <w:tcPr>
            <w:shd w:val="clear" w:color="auto" w:fill="auto"/>
            <w:tcW w:w="1101" w:type="dxa"/>
            <w:vAlign w:val="center"/>
            <w:textDirection w:val="lrTb"/>
            <w:noWrap/>
          </w:tcPr>
          <w:p>
            <w:pPr>
              <w:jc w:val="center"/>
              <w:widowControl/>
              <w:rPr>
                <w:rFonts w:eastAsia="Calibri"/>
                <w:sz w:val="18"/>
                <w:szCs w:val="18"/>
                <w:lang w:eastAsia="en-US"/>
              </w:rPr>
            </w:pPr>
            <w:r>
              <w:rPr>
                <w:rFonts w:eastAsia="Calibri"/>
                <w:sz w:val="18"/>
                <w:szCs w:val="18"/>
                <w:lang w:eastAsia="en-US"/>
              </w:rPr>
              <w:t xml:space="preserve">1-3</w:t>
            </w:r>
            <w:r/>
          </w:p>
        </w:tc>
        <w:tc>
          <w:tcPr>
            <w:shd w:val="clear" w:color="auto" w:fill="auto"/>
            <w:tcW w:w="1134" w:type="dxa"/>
            <w:vAlign w:val="center"/>
            <w:textDirection w:val="lrTb"/>
            <w:noWrap/>
          </w:tcPr>
          <w:p>
            <w:pPr>
              <w:jc w:val="center"/>
              <w:widowControl/>
              <w:rPr>
                <w:sz w:val="18"/>
                <w:szCs w:val="18"/>
                <w:lang w:eastAsia="ru-RU"/>
              </w:rPr>
            </w:pPr>
            <w:r>
              <w:rPr>
                <w:sz w:val="18"/>
                <w:szCs w:val="18"/>
                <w:lang w:eastAsia="ru-RU"/>
              </w:rPr>
              <w:t xml:space="preserve">ОД-1</w:t>
            </w:r>
            <w:r/>
          </w:p>
        </w:tc>
        <w:tc>
          <w:tcPr>
            <w:shd w:val="clear" w:color="auto" w:fill="auto"/>
            <w:tcW w:w="5103" w:type="dxa"/>
            <w:vAlign w:val="center"/>
            <w:textDirection w:val="lrTb"/>
            <w:noWrap/>
          </w:tcPr>
          <w:p>
            <w:pPr>
              <w:widowControl/>
              <w:rPr>
                <w:sz w:val="18"/>
                <w:szCs w:val="18"/>
                <w:lang w:eastAsia="ru-RU"/>
              </w:rPr>
            </w:pPr>
            <w:r>
              <w:rPr>
                <w:sz w:val="18"/>
                <w:szCs w:val="18"/>
                <w:lang w:eastAsia="ru-RU"/>
              </w:rPr>
              <w:t xml:space="preserve">Многофункциональная общественно-деловая зона (ОД-1) №1-3</w:t>
            </w:r>
            <w:r/>
          </w:p>
        </w:tc>
        <w:tc>
          <w:tcPr>
            <w:shd w:val="clear" w:color="auto" w:fill="auto"/>
            <w:tcW w:w="2551" w:type="dxa"/>
            <w:textDirection w:val="lrTb"/>
            <w:noWrap/>
          </w:tcPr>
          <w:p>
            <w:r>
              <w:rPr>
                <w:rFonts w:eastAsia="Calibri"/>
                <w:sz w:val="18"/>
                <w:szCs w:val="18"/>
                <w:lang w:eastAsia="en-US"/>
              </w:rPr>
              <w:t xml:space="preserve">ст. Казанская</w:t>
            </w:r>
            <w:r/>
          </w:p>
        </w:tc>
      </w:tr>
      <w:tr>
        <w:trPr>
          <w:jc w:val="center"/>
          <w:trHeight w:val="314"/>
        </w:trPr>
        <w:tc>
          <w:tcPr>
            <w:shd w:val="clear" w:color="auto" w:fill="auto"/>
            <w:tcW w:w="1101" w:type="dxa"/>
            <w:vAlign w:val="center"/>
            <w:textDirection w:val="lrTb"/>
            <w:noWrap/>
          </w:tcPr>
          <w:p>
            <w:pPr>
              <w:jc w:val="center"/>
              <w:widowControl/>
              <w:rPr>
                <w:rFonts w:eastAsia="Calibri"/>
                <w:sz w:val="18"/>
                <w:szCs w:val="18"/>
                <w:lang w:eastAsia="en-US"/>
              </w:rPr>
            </w:pPr>
            <w:r>
              <w:rPr>
                <w:rFonts w:eastAsia="Calibri"/>
                <w:sz w:val="18"/>
                <w:szCs w:val="18"/>
                <w:lang w:eastAsia="en-US"/>
              </w:rPr>
              <w:t xml:space="preserve">1-4</w:t>
            </w:r>
            <w:r/>
          </w:p>
        </w:tc>
        <w:tc>
          <w:tcPr>
            <w:shd w:val="clear" w:color="auto" w:fill="auto"/>
            <w:tcW w:w="1134" w:type="dxa"/>
            <w:vAlign w:val="center"/>
            <w:textDirection w:val="lrTb"/>
            <w:noWrap/>
          </w:tcPr>
          <w:p>
            <w:pPr>
              <w:jc w:val="center"/>
              <w:widowControl/>
              <w:rPr>
                <w:sz w:val="18"/>
                <w:szCs w:val="18"/>
                <w:lang w:eastAsia="ru-RU"/>
              </w:rPr>
            </w:pPr>
            <w:r>
              <w:rPr>
                <w:sz w:val="18"/>
                <w:szCs w:val="18"/>
                <w:lang w:eastAsia="ru-RU"/>
              </w:rPr>
              <w:t xml:space="preserve">ОД-2</w:t>
            </w:r>
            <w:r/>
          </w:p>
        </w:tc>
        <w:tc>
          <w:tcPr>
            <w:shd w:val="clear" w:color="auto" w:fill="auto"/>
            <w:tcW w:w="5103" w:type="dxa"/>
            <w:vAlign w:val="center"/>
            <w:textDirection w:val="lrTb"/>
            <w:noWrap/>
          </w:tcPr>
          <w:p>
            <w:pPr>
              <w:widowControl/>
              <w:rPr>
                <w:sz w:val="18"/>
                <w:szCs w:val="18"/>
                <w:lang w:eastAsia="ru-RU"/>
              </w:rPr>
            </w:pPr>
            <w:r>
              <w:rPr>
                <w:sz w:val="18"/>
                <w:szCs w:val="18"/>
                <w:lang w:eastAsia="ru-RU"/>
              </w:rPr>
              <w:t xml:space="preserve">Зона общественной застройки (ОД-2) №1-4</w:t>
            </w:r>
            <w:r/>
          </w:p>
        </w:tc>
        <w:tc>
          <w:tcPr>
            <w:shd w:val="clear" w:color="auto" w:fill="auto"/>
            <w:tcW w:w="2551" w:type="dxa"/>
            <w:textDirection w:val="lrTb"/>
            <w:noWrap/>
          </w:tcPr>
          <w:p>
            <w:pPr>
              <w:jc w:val="both"/>
              <w:widowControl/>
              <w:rPr>
                <w:rFonts w:eastAsia="Calibri"/>
                <w:lang w:eastAsia="en-US"/>
              </w:rPr>
            </w:pPr>
            <w:r>
              <w:rPr>
                <w:rFonts w:eastAsia="Calibri"/>
                <w:sz w:val="18"/>
                <w:szCs w:val="18"/>
                <w:lang w:eastAsia="en-US"/>
              </w:rPr>
              <w:t xml:space="preserve">ст. Казанская</w:t>
            </w:r>
            <w:r/>
          </w:p>
        </w:tc>
      </w:tr>
      <w:tr>
        <w:trPr>
          <w:jc w:val="center"/>
        </w:trPr>
        <w:tc>
          <w:tcPr>
            <w:shd w:val="clear" w:color="auto" w:fill="auto"/>
            <w:tcW w:w="1101" w:type="dxa"/>
            <w:vAlign w:val="center"/>
            <w:textDirection w:val="lrTb"/>
            <w:noWrap/>
          </w:tcPr>
          <w:p>
            <w:pPr>
              <w:jc w:val="center"/>
              <w:widowControl/>
              <w:rPr>
                <w:rFonts w:eastAsia="Calibri"/>
                <w:sz w:val="18"/>
                <w:szCs w:val="18"/>
                <w:lang w:eastAsia="en-US"/>
              </w:rPr>
            </w:pPr>
            <w:r>
              <w:rPr>
                <w:rFonts w:eastAsia="Calibri"/>
                <w:sz w:val="18"/>
                <w:szCs w:val="18"/>
                <w:lang w:eastAsia="en-US"/>
              </w:rPr>
              <w:t xml:space="preserve">1-5</w:t>
            </w:r>
            <w:r/>
          </w:p>
        </w:tc>
        <w:tc>
          <w:tcPr>
            <w:shd w:val="clear" w:color="auto" w:fill="auto"/>
            <w:tcW w:w="1134" w:type="dxa"/>
            <w:vAlign w:val="center"/>
            <w:textDirection w:val="lrTb"/>
            <w:noWrap/>
          </w:tcPr>
          <w:p>
            <w:pPr>
              <w:jc w:val="center"/>
              <w:widowControl/>
              <w:rPr>
                <w:sz w:val="18"/>
                <w:szCs w:val="18"/>
                <w:lang w:eastAsia="ru-RU"/>
              </w:rPr>
            </w:pPr>
            <w:r>
              <w:rPr>
                <w:sz w:val="18"/>
                <w:szCs w:val="18"/>
                <w:lang w:eastAsia="ru-RU"/>
              </w:rPr>
              <w:t xml:space="preserve">ПР</w:t>
            </w:r>
            <w:r/>
          </w:p>
        </w:tc>
        <w:tc>
          <w:tcPr>
            <w:shd w:val="clear" w:color="auto" w:fill="auto"/>
            <w:tcW w:w="5103" w:type="dxa"/>
            <w:vAlign w:val="center"/>
            <w:textDirection w:val="lrTb"/>
            <w:noWrap/>
          </w:tcPr>
          <w:p>
            <w:pPr>
              <w:widowControl/>
              <w:tabs>
                <w:tab w:val="center" w:pos="2443" w:leader="none"/>
              </w:tabs>
              <w:rPr>
                <w:sz w:val="18"/>
                <w:szCs w:val="18"/>
                <w:lang w:eastAsia="ru-RU"/>
              </w:rPr>
            </w:pPr>
            <w:r>
              <w:rPr>
                <w:sz w:val="18"/>
                <w:szCs w:val="18"/>
                <w:lang w:eastAsia="ru-RU"/>
              </w:rPr>
              <w:t xml:space="preserve">Производственная зона (ПР) №1-5</w:t>
            </w:r>
            <w:r/>
          </w:p>
        </w:tc>
        <w:tc>
          <w:tcPr>
            <w:shd w:val="clear" w:color="auto" w:fill="auto"/>
            <w:tcW w:w="2551" w:type="dxa"/>
            <w:textDirection w:val="lrTb"/>
            <w:noWrap/>
          </w:tcPr>
          <w:p>
            <w:r>
              <w:rPr>
                <w:rFonts w:eastAsia="Calibri"/>
                <w:sz w:val="18"/>
                <w:szCs w:val="18"/>
                <w:lang w:eastAsia="en-US"/>
              </w:rPr>
              <w:t xml:space="preserve">ст. Казанская</w:t>
            </w:r>
            <w:r/>
          </w:p>
        </w:tc>
      </w:tr>
      <w:tr>
        <w:trPr>
          <w:jc w:val="center"/>
        </w:trPr>
        <w:tc>
          <w:tcPr>
            <w:shd w:val="clear" w:color="auto" w:fill="auto"/>
            <w:tcW w:w="1101" w:type="dxa"/>
            <w:vAlign w:val="center"/>
            <w:textDirection w:val="lrTb"/>
            <w:noWrap/>
          </w:tcPr>
          <w:p>
            <w:pPr>
              <w:jc w:val="center"/>
              <w:widowControl/>
              <w:rPr>
                <w:rFonts w:eastAsia="Calibri"/>
                <w:sz w:val="18"/>
                <w:szCs w:val="18"/>
                <w:lang w:eastAsia="en-US"/>
              </w:rPr>
            </w:pPr>
            <w:r>
              <w:rPr>
                <w:rFonts w:eastAsia="Calibri"/>
                <w:sz w:val="18"/>
                <w:szCs w:val="18"/>
                <w:lang w:eastAsia="en-US"/>
              </w:rPr>
              <w:t xml:space="preserve">1-6</w:t>
            </w:r>
            <w:r/>
          </w:p>
        </w:tc>
        <w:tc>
          <w:tcPr>
            <w:shd w:val="clear" w:color="auto" w:fill="auto"/>
            <w:tcW w:w="1134" w:type="dxa"/>
            <w:vAlign w:val="center"/>
            <w:textDirection w:val="lrTb"/>
            <w:noWrap/>
          </w:tcPr>
          <w:p>
            <w:pPr>
              <w:jc w:val="center"/>
              <w:widowControl/>
              <w:rPr>
                <w:sz w:val="18"/>
                <w:szCs w:val="18"/>
                <w:lang w:eastAsia="ru-RU"/>
              </w:rPr>
            </w:pPr>
            <w:r>
              <w:rPr>
                <w:sz w:val="18"/>
                <w:szCs w:val="18"/>
                <w:lang w:eastAsia="ru-RU"/>
              </w:rPr>
              <w:t xml:space="preserve">КС</w:t>
            </w:r>
            <w:r/>
          </w:p>
        </w:tc>
        <w:tc>
          <w:tcPr>
            <w:shd w:val="clear" w:color="auto" w:fill="auto"/>
            <w:tcW w:w="5103" w:type="dxa"/>
            <w:vAlign w:val="center"/>
            <w:textDirection w:val="lrTb"/>
            <w:noWrap/>
          </w:tcPr>
          <w:p>
            <w:pPr>
              <w:widowControl/>
              <w:rPr>
                <w:sz w:val="18"/>
                <w:szCs w:val="18"/>
                <w:lang w:eastAsia="ru-RU"/>
              </w:rPr>
            </w:pPr>
            <w:r>
              <w:rPr>
                <w:sz w:val="18"/>
                <w:szCs w:val="18"/>
                <w:lang w:eastAsia="ru-RU"/>
              </w:rPr>
              <w:t xml:space="preserve">Коммунально-складская зона (КС) №1-6</w:t>
            </w:r>
            <w:r/>
          </w:p>
        </w:tc>
        <w:tc>
          <w:tcPr>
            <w:shd w:val="clear" w:color="auto" w:fill="auto"/>
            <w:tcW w:w="2551" w:type="dxa"/>
            <w:textDirection w:val="lrTb"/>
            <w:noWrap/>
          </w:tcPr>
          <w:p>
            <w:r>
              <w:rPr>
                <w:rFonts w:eastAsia="Calibri"/>
                <w:sz w:val="18"/>
                <w:szCs w:val="18"/>
                <w:lang w:eastAsia="en-US"/>
              </w:rPr>
              <w:t xml:space="preserve">ст. Казанская</w:t>
            </w:r>
            <w:r/>
          </w:p>
        </w:tc>
      </w:tr>
      <w:tr>
        <w:trPr>
          <w:jc w:val="center"/>
          <w:trHeight w:val="207"/>
        </w:trPr>
        <w:tc>
          <w:tcPr>
            <w:shd w:val="clear" w:color="ffffff" w:fill="ffffff"/>
            <w:tcW w:w="1101" w:type="dxa"/>
            <w:vAlign w:val="center"/>
            <w:vMerge w:val="restart"/>
            <w:textDirection w:val="lrTb"/>
            <w:noWrap/>
          </w:tcPr>
          <w:p>
            <w:pPr>
              <w:jc w:val="center"/>
              <w:widowControl/>
              <w:rPr>
                <w:rFonts w:eastAsia="Calibri"/>
                <w:sz w:val="18"/>
                <w:szCs w:val="18"/>
                <w:lang w:eastAsia="en-US"/>
              </w:rPr>
            </w:pPr>
            <w:r>
              <w:rPr>
                <w:rFonts w:eastAsia="Calibri"/>
                <w:sz w:val="18"/>
                <w:szCs w:val="18"/>
                <w:lang w:eastAsia="en-US"/>
              </w:rPr>
              <w:t xml:space="preserve">1-7</w:t>
            </w:r>
            <w:r/>
          </w:p>
        </w:tc>
        <w:tc>
          <w:tcPr>
            <w:shd w:val="clear" w:color="ffffff" w:fill="ffffff"/>
            <w:tcW w:w="1134" w:type="dxa"/>
            <w:vAlign w:val="center"/>
            <w:vMerge w:val="restart"/>
            <w:textDirection w:val="lrTb"/>
            <w:noWrap/>
          </w:tcPr>
          <w:p>
            <w:pPr>
              <w:jc w:val="center"/>
              <w:widowControl/>
              <w:rPr>
                <w:sz w:val="18"/>
                <w:szCs w:val="18"/>
                <w:lang w:eastAsia="ru-RU"/>
              </w:rPr>
            </w:pPr>
            <w:r>
              <w:rPr>
                <w:sz w:val="18"/>
                <w:szCs w:val="18"/>
                <w:lang w:eastAsia="ru-RU"/>
              </w:rPr>
              <w:t xml:space="preserve">И</w:t>
            </w:r>
            <w:r/>
          </w:p>
        </w:tc>
        <w:tc>
          <w:tcPr>
            <w:shd w:val="clear" w:color="ffffff" w:fill="ffffff"/>
            <w:tcW w:w="5103" w:type="dxa"/>
            <w:vAlign w:val="center"/>
            <w:vMerge w:val="restart"/>
            <w:textDirection w:val="lrTb"/>
            <w:noWrap/>
          </w:tcPr>
          <w:p>
            <w:pPr>
              <w:widowControl/>
              <w:rPr>
                <w:sz w:val="18"/>
                <w:szCs w:val="18"/>
                <w:lang w:eastAsia="ru-RU"/>
              </w:rPr>
            </w:pPr>
            <w:r>
              <w:rPr>
                <w:sz w:val="18"/>
                <w:szCs w:val="18"/>
                <w:lang w:eastAsia="ru-RU"/>
              </w:rPr>
              <w:t xml:space="preserve">Зона инженерной инфраструктуры (И) №1-7</w:t>
            </w:r>
            <w:r/>
          </w:p>
        </w:tc>
        <w:tc>
          <w:tcPr>
            <w:shd w:val="clear" w:color="ffffff" w:fill="ffffff"/>
            <w:tcW w:w="2551" w:type="dxa"/>
            <w:vMerge w:val="restart"/>
            <w:textDirection w:val="lrTb"/>
            <w:noWrap/>
          </w:tcPr>
          <w:p>
            <w:r>
              <w:rPr>
                <w:rFonts w:eastAsia="Calibri"/>
                <w:sz w:val="18"/>
                <w:szCs w:val="18"/>
                <w:lang w:eastAsia="en-US"/>
              </w:rPr>
              <w:t xml:space="preserve">ст. Казанская</w:t>
            </w:r>
            <w:r/>
          </w:p>
        </w:tc>
      </w:tr>
      <w:tr>
        <w:trPr>
          <w:jc w:val="center"/>
          <w:trHeight w:val="207"/>
        </w:trPr>
        <w:tc>
          <w:tcPr>
            <w:shd w:val="clear" w:color="ffffff" w:fill="ffffff"/>
            <w:tcW w:w="1101" w:type="dxa"/>
            <w:vAlign w:val="center"/>
            <w:vMerge w:val="restart"/>
            <w:textDirection w:val="lrTb"/>
            <w:noWrap/>
          </w:tcPr>
          <w:p>
            <w:pPr>
              <w:jc w:val="center"/>
              <w:widowControl/>
              <w:rPr>
                <w:rFonts w:eastAsia="Calibri"/>
                <w:sz w:val="18"/>
                <w:szCs w:val="18"/>
                <w:lang w:eastAsia="en-US"/>
              </w:rPr>
            </w:pPr>
            <w:r>
              <w:rPr>
                <w:rFonts w:eastAsia="Calibri"/>
                <w:sz w:val="18"/>
                <w:szCs w:val="18"/>
                <w:lang w:eastAsia="en-US"/>
              </w:rPr>
              <w:t xml:space="preserve">1-8</w:t>
            </w:r>
            <w:r/>
          </w:p>
        </w:tc>
        <w:tc>
          <w:tcPr>
            <w:shd w:val="clear" w:color="ffffff" w:fill="ffffff"/>
            <w:tcW w:w="1134" w:type="dxa"/>
            <w:vAlign w:val="center"/>
            <w:vMerge w:val="restart"/>
            <w:textDirection w:val="lrTb"/>
            <w:noWrap/>
          </w:tcPr>
          <w:p>
            <w:pPr>
              <w:jc w:val="center"/>
              <w:widowControl/>
              <w:rPr>
                <w:sz w:val="18"/>
                <w:szCs w:val="18"/>
                <w:lang w:eastAsia="ru-RU"/>
              </w:rPr>
            </w:pPr>
            <w:r>
              <w:rPr>
                <w:sz w:val="18"/>
                <w:szCs w:val="18"/>
                <w:lang w:eastAsia="ru-RU"/>
              </w:rPr>
              <w:t xml:space="preserve">Т</w:t>
            </w:r>
            <w:r/>
          </w:p>
        </w:tc>
        <w:tc>
          <w:tcPr>
            <w:shd w:val="clear" w:color="ffffff" w:fill="ffffff"/>
            <w:tcW w:w="5103" w:type="dxa"/>
            <w:vAlign w:val="center"/>
            <w:vMerge w:val="restart"/>
            <w:textDirection w:val="lrTb"/>
            <w:noWrap/>
          </w:tcPr>
          <w:p>
            <w:pPr>
              <w:widowControl/>
              <w:rPr>
                <w:sz w:val="18"/>
                <w:szCs w:val="18"/>
                <w:lang w:eastAsia="ru-RU"/>
              </w:rPr>
            </w:pPr>
            <w:r>
              <w:rPr>
                <w:sz w:val="18"/>
                <w:szCs w:val="18"/>
                <w:lang w:eastAsia="ru-RU"/>
              </w:rPr>
              <w:t xml:space="preserve">Зона транспортной инфраструктуры (Т) №1-8</w:t>
            </w:r>
            <w:r/>
          </w:p>
        </w:tc>
        <w:tc>
          <w:tcPr>
            <w:shd w:val="clear" w:color="ffffff" w:fill="ffffff"/>
            <w:tcW w:w="2551" w:type="dxa"/>
            <w:vMerge w:val="restart"/>
            <w:textDirection w:val="lrTb"/>
            <w:noWrap/>
          </w:tcPr>
          <w:p>
            <w:r>
              <w:rPr>
                <w:rFonts w:eastAsia="Calibri"/>
                <w:sz w:val="18"/>
                <w:szCs w:val="18"/>
                <w:lang w:eastAsia="en-US"/>
              </w:rPr>
              <w:t xml:space="preserve">ст. Казанская</w:t>
            </w:r>
            <w:r/>
          </w:p>
        </w:tc>
      </w:tr>
      <w:tr>
        <w:trPr>
          <w:jc w:val="center"/>
          <w:trHeight w:val="207"/>
        </w:trPr>
        <w:tc>
          <w:tcPr>
            <w:shd w:val="clear" w:color="ffffff" w:fill="ffffff"/>
            <w:tcW w:w="1101" w:type="dxa"/>
            <w:vAlign w:val="center"/>
            <w:vMerge w:val="restart"/>
            <w:textDirection w:val="lrTb"/>
            <w:noWrap/>
          </w:tcPr>
          <w:p>
            <w:pPr>
              <w:jc w:val="center"/>
              <w:widowControl/>
              <w:rPr>
                <w:rFonts w:eastAsia="Calibri"/>
                <w:sz w:val="18"/>
                <w:szCs w:val="18"/>
                <w:lang w:eastAsia="en-US"/>
              </w:rPr>
            </w:pPr>
            <w:r>
              <w:rPr>
                <w:rFonts w:eastAsia="Calibri"/>
                <w:sz w:val="18"/>
                <w:szCs w:val="18"/>
                <w:lang w:eastAsia="en-US"/>
              </w:rPr>
              <w:t xml:space="preserve">1-9</w:t>
            </w:r>
            <w:r/>
          </w:p>
        </w:tc>
        <w:tc>
          <w:tcPr>
            <w:shd w:val="clear" w:color="ffffff" w:fill="ffffff"/>
            <w:tcW w:w="1134" w:type="dxa"/>
            <w:vAlign w:val="center"/>
            <w:vMerge w:val="restart"/>
            <w:textDirection w:val="lrTb"/>
            <w:noWrap/>
          </w:tcPr>
          <w:p>
            <w:pPr>
              <w:jc w:val="center"/>
              <w:widowControl/>
              <w:rPr>
                <w:sz w:val="18"/>
                <w:szCs w:val="18"/>
                <w:lang w:eastAsia="ru-RU"/>
              </w:rPr>
            </w:pPr>
            <w:r>
              <w:rPr>
                <w:sz w:val="18"/>
                <w:szCs w:val="18"/>
                <w:lang w:eastAsia="ru-RU"/>
              </w:rPr>
              <w:t xml:space="preserve">СХ-2</w:t>
            </w:r>
            <w:r/>
          </w:p>
        </w:tc>
        <w:tc>
          <w:tcPr>
            <w:shd w:val="clear" w:color="ffffff" w:fill="ffffff"/>
            <w:tcW w:w="5103" w:type="dxa"/>
            <w:vAlign w:val="center"/>
            <w:vMerge w:val="restart"/>
            <w:textDirection w:val="lrTb"/>
            <w:noWrap/>
          </w:tcPr>
          <w:p>
            <w:pPr>
              <w:widowControl/>
              <w:rPr>
                <w:sz w:val="18"/>
                <w:szCs w:val="18"/>
                <w:lang w:eastAsia="ru-RU"/>
              </w:rPr>
            </w:pPr>
            <w:r>
              <w:rPr>
                <w:sz w:val="18"/>
                <w:szCs w:val="18"/>
                <w:lang w:eastAsia="ru-RU"/>
              </w:rPr>
              <w:t xml:space="preserve">Производственная зона сельскохозяйственных предприятий (СХ-2) №1-9</w:t>
            </w:r>
            <w:r/>
          </w:p>
        </w:tc>
        <w:tc>
          <w:tcPr>
            <w:shd w:val="clear" w:color="ffffff" w:fill="ffffff"/>
            <w:tcW w:w="2551" w:type="dxa"/>
            <w:vMerge w:val="restart"/>
            <w:textDirection w:val="lrTb"/>
            <w:noWrap/>
          </w:tcPr>
          <w:p>
            <w:r>
              <w:rPr>
                <w:rFonts w:eastAsia="Calibri"/>
                <w:sz w:val="18"/>
                <w:szCs w:val="18"/>
                <w:lang w:eastAsia="en-US"/>
              </w:rPr>
              <w:t xml:space="preserve">ст. Казанская</w:t>
            </w:r>
            <w:r/>
          </w:p>
        </w:tc>
      </w:tr>
      <w:tr>
        <w:trPr>
          <w:jc w:val="center"/>
        </w:trPr>
        <w:tc>
          <w:tcPr>
            <w:shd w:val="clear" w:color="auto" w:fill="auto"/>
            <w:tcW w:w="1101" w:type="dxa"/>
            <w:vAlign w:val="center"/>
            <w:textDirection w:val="lrTb"/>
            <w:noWrap/>
          </w:tcPr>
          <w:p>
            <w:pPr>
              <w:jc w:val="center"/>
              <w:widowControl/>
              <w:rPr>
                <w:rFonts w:eastAsia="Calibri"/>
                <w:sz w:val="18"/>
                <w:szCs w:val="18"/>
                <w:lang w:eastAsia="en-US"/>
              </w:rPr>
            </w:pPr>
            <w:r>
              <w:rPr>
                <w:rFonts w:eastAsia="Calibri"/>
                <w:sz w:val="18"/>
                <w:szCs w:val="18"/>
                <w:lang w:eastAsia="en-US"/>
              </w:rPr>
              <w:t xml:space="preserve">1-10</w:t>
            </w:r>
            <w:r/>
          </w:p>
        </w:tc>
        <w:tc>
          <w:tcPr>
            <w:shd w:val="clear" w:color="auto" w:fill="auto"/>
            <w:tcW w:w="1134" w:type="dxa"/>
            <w:vAlign w:val="center"/>
            <w:textDirection w:val="lrTb"/>
            <w:noWrap/>
          </w:tcPr>
          <w:p>
            <w:pPr>
              <w:jc w:val="center"/>
              <w:widowControl/>
              <w:rPr>
                <w:sz w:val="18"/>
                <w:szCs w:val="18"/>
                <w:lang w:eastAsia="ru-RU"/>
              </w:rPr>
            </w:pPr>
            <w:r>
              <w:rPr>
                <w:sz w:val="18"/>
                <w:szCs w:val="18"/>
                <w:lang w:eastAsia="ru-RU"/>
              </w:rPr>
              <w:t xml:space="preserve">Р-1</w:t>
            </w:r>
            <w:r/>
          </w:p>
        </w:tc>
        <w:tc>
          <w:tcPr>
            <w:shd w:val="clear" w:color="auto" w:fill="auto"/>
            <w:tcW w:w="5103" w:type="dxa"/>
            <w:vAlign w:val="center"/>
            <w:textDirection w:val="lrTb"/>
            <w:noWrap/>
          </w:tcPr>
          <w:p>
            <w:pPr>
              <w:widowControl/>
              <w:rPr>
                <w:sz w:val="18"/>
                <w:szCs w:val="18"/>
                <w:lang w:eastAsia="ru-RU"/>
              </w:rPr>
            </w:pPr>
            <w:r>
              <w:rPr>
                <w:sz w:val="18"/>
                <w:szCs w:val="18"/>
                <w:lang w:eastAsia="ru-RU"/>
              </w:rPr>
              <w:t xml:space="preserve">Зона озелененных территорий общего пользования (лесопарки, парки, сады, скверы, бульвары, городские леса) (Р-1) №1-10</w:t>
            </w:r>
            <w:r/>
          </w:p>
        </w:tc>
        <w:tc>
          <w:tcPr>
            <w:shd w:val="clear" w:color="auto" w:fill="auto"/>
            <w:tcW w:w="2551" w:type="dxa"/>
            <w:textDirection w:val="lrTb"/>
            <w:noWrap/>
          </w:tcPr>
          <w:p>
            <w:r>
              <w:rPr>
                <w:rFonts w:eastAsia="Calibri"/>
                <w:sz w:val="18"/>
                <w:szCs w:val="18"/>
                <w:lang w:eastAsia="en-US"/>
              </w:rPr>
              <w:t xml:space="preserve">ст. Казанская</w:t>
            </w:r>
            <w:r/>
          </w:p>
        </w:tc>
      </w:tr>
      <w:tr>
        <w:trPr>
          <w:jc w:val="center"/>
          <w:trHeight w:val="207"/>
        </w:trPr>
        <w:tc>
          <w:tcPr>
            <w:shd w:val="clear" w:color="ffffff" w:fill="ffffff"/>
            <w:tcW w:w="1101" w:type="dxa"/>
            <w:vAlign w:val="center"/>
            <w:vMerge w:val="restart"/>
            <w:textDirection w:val="lrTb"/>
            <w:noWrap/>
          </w:tcPr>
          <w:p>
            <w:pPr>
              <w:jc w:val="center"/>
              <w:widowControl/>
              <w:rPr>
                <w:rFonts w:eastAsia="Calibri"/>
                <w:sz w:val="18"/>
                <w:szCs w:val="18"/>
                <w:lang w:eastAsia="en-US"/>
              </w:rPr>
            </w:pPr>
            <w:r>
              <w:rPr>
                <w:rFonts w:eastAsia="Calibri"/>
                <w:sz w:val="18"/>
                <w:szCs w:val="18"/>
                <w:lang w:eastAsia="en-US"/>
              </w:rPr>
              <w:t xml:space="preserve">1-11</w:t>
            </w:r>
            <w:r/>
          </w:p>
        </w:tc>
        <w:tc>
          <w:tcPr>
            <w:shd w:val="clear" w:color="ffffff" w:fill="ffffff"/>
            <w:tcW w:w="1134" w:type="dxa"/>
            <w:vAlign w:val="center"/>
            <w:vMerge w:val="restart"/>
            <w:textDirection w:val="lrTb"/>
            <w:noWrap/>
          </w:tcPr>
          <w:p>
            <w:pPr>
              <w:jc w:val="center"/>
              <w:widowControl/>
              <w:rPr>
                <w:sz w:val="18"/>
                <w:szCs w:val="18"/>
                <w:lang w:eastAsia="ru-RU"/>
              </w:rPr>
            </w:pPr>
            <w:r>
              <w:rPr>
                <w:sz w:val="18"/>
                <w:szCs w:val="18"/>
                <w:lang w:eastAsia="ru-RU"/>
              </w:rPr>
              <w:t xml:space="preserve">Р-2</w:t>
            </w:r>
            <w:r/>
          </w:p>
        </w:tc>
        <w:tc>
          <w:tcPr>
            <w:shd w:val="clear" w:color="ffffff" w:fill="ffffff"/>
            <w:tcW w:w="5103" w:type="dxa"/>
            <w:vAlign w:val="center"/>
            <w:vMerge w:val="restart"/>
            <w:textDirection w:val="lrTb"/>
            <w:noWrap/>
          </w:tcPr>
          <w:p>
            <w:pPr>
              <w:widowControl/>
              <w:rPr>
                <w:sz w:val="18"/>
                <w:szCs w:val="18"/>
                <w:lang w:eastAsia="ru-RU"/>
              </w:rPr>
            </w:pPr>
            <w:r>
              <w:rPr>
                <w:sz w:val="18"/>
                <w:szCs w:val="18"/>
                <w:lang w:eastAsia="ru-RU"/>
              </w:rPr>
              <w:t xml:space="preserve">Зона рекреационного назначения (Р-2) №1-11</w:t>
            </w:r>
            <w:r/>
          </w:p>
        </w:tc>
        <w:tc>
          <w:tcPr>
            <w:shd w:val="clear" w:color="ffffff" w:fill="ffffff"/>
            <w:tcW w:w="2551" w:type="dxa"/>
            <w:vMerge w:val="restart"/>
            <w:textDirection w:val="lrTb"/>
            <w:noWrap/>
          </w:tcPr>
          <w:p>
            <w:r>
              <w:rPr>
                <w:rFonts w:eastAsia="Calibri"/>
                <w:sz w:val="18"/>
                <w:szCs w:val="18"/>
                <w:lang w:eastAsia="en-US"/>
              </w:rPr>
              <w:t xml:space="preserve">ст. Казанская</w:t>
            </w:r>
            <w:r/>
          </w:p>
        </w:tc>
      </w:tr>
      <w:tr>
        <w:trPr>
          <w:jc w:val="center"/>
        </w:trPr>
        <w:tc>
          <w:tcPr>
            <w:shd w:val="clear" w:color="auto" w:fill="auto"/>
            <w:tcW w:w="1101" w:type="dxa"/>
            <w:vAlign w:val="center"/>
            <w:textDirection w:val="lrTb"/>
            <w:noWrap/>
          </w:tcPr>
          <w:p>
            <w:pPr>
              <w:jc w:val="center"/>
              <w:widowControl/>
              <w:rPr>
                <w:rFonts w:eastAsia="Calibri"/>
                <w:sz w:val="18"/>
                <w:szCs w:val="18"/>
                <w:lang w:eastAsia="en-US"/>
              </w:rPr>
            </w:pPr>
            <w:r>
              <w:rPr>
                <w:rFonts w:eastAsia="Calibri"/>
                <w:sz w:val="18"/>
                <w:szCs w:val="18"/>
                <w:lang w:eastAsia="en-US"/>
              </w:rPr>
              <w:t xml:space="preserve">1-12</w:t>
            </w:r>
            <w:r/>
          </w:p>
        </w:tc>
        <w:tc>
          <w:tcPr>
            <w:shd w:val="clear" w:color="auto" w:fill="auto"/>
            <w:tcW w:w="1134" w:type="dxa"/>
            <w:vAlign w:val="center"/>
            <w:textDirection w:val="lrTb"/>
            <w:noWrap/>
          </w:tcPr>
          <w:p>
            <w:pPr>
              <w:jc w:val="center"/>
              <w:widowControl/>
              <w:rPr>
                <w:sz w:val="18"/>
                <w:szCs w:val="18"/>
                <w:lang w:eastAsia="ru-RU"/>
              </w:rPr>
            </w:pPr>
            <w:r>
              <w:rPr>
                <w:sz w:val="18"/>
                <w:szCs w:val="18"/>
                <w:lang w:eastAsia="ru-RU"/>
              </w:rPr>
              <w:t xml:space="preserve">СН-1</w:t>
            </w:r>
            <w:r/>
          </w:p>
        </w:tc>
        <w:tc>
          <w:tcPr>
            <w:shd w:val="clear" w:color="auto" w:fill="auto"/>
            <w:tcW w:w="5103" w:type="dxa"/>
            <w:vAlign w:val="center"/>
            <w:textDirection w:val="lrTb"/>
            <w:noWrap/>
          </w:tcPr>
          <w:p>
            <w:pPr>
              <w:widowControl/>
              <w:rPr>
                <w:sz w:val="18"/>
                <w:szCs w:val="18"/>
                <w:lang w:eastAsia="ru-RU"/>
              </w:rPr>
            </w:pPr>
            <w:r>
              <w:rPr>
                <w:color w:val="000000"/>
                <w:sz w:val="18"/>
                <w:szCs w:val="18"/>
                <w:lang w:eastAsia="ru-RU"/>
              </w:rPr>
              <w:t xml:space="preserve">Зона кладбищ (СН-1) </w:t>
            </w:r>
            <w:r>
              <w:rPr>
                <w:sz w:val="18"/>
                <w:szCs w:val="18"/>
                <w:lang w:eastAsia="ru-RU"/>
              </w:rPr>
              <w:t xml:space="preserve">№1-12</w:t>
            </w:r>
            <w:r/>
          </w:p>
        </w:tc>
        <w:tc>
          <w:tcPr>
            <w:shd w:val="clear" w:color="auto" w:fill="auto"/>
            <w:tcW w:w="2551" w:type="dxa"/>
            <w:textDirection w:val="lrTb"/>
            <w:noWrap/>
          </w:tcPr>
          <w:p>
            <w:r>
              <w:rPr>
                <w:rFonts w:eastAsia="Calibri"/>
                <w:sz w:val="18"/>
                <w:szCs w:val="18"/>
                <w:lang w:eastAsia="en-US"/>
              </w:rPr>
              <w:t xml:space="preserve">ст. Казанская</w:t>
            </w:r>
            <w:r/>
          </w:p>
        </w:tc>
      </w:tr>
      <w:tr>
        <w:trPr>
          <w:jc w:val="center"/>
        </w:trPr>
        <w:tc>
          <w:tcPr>
            <w:shd w:val="clear" w:color="auto" w:fill="auto"/>
            <w:tcW w:w="1101" w:type="dxa"/>
            <w:vAlign w:val="center"/>
            <w:textDirection w:val="lrTb"/>
            <w:noWrap/>
          </w:tcPr>
          <w:p>
            <w:pPr>
              <w:jc w:val="center"/>
              <w:widowControl/>
              <w:rPr>
                <w:rFonts w:eastAsia="Calibri"/>
                <w:sz w:val="18"/>
                <w:szCs w:val="18"/>
              </w:rPr>
            </w:pPr>
            <w:r>
              <w:rPr>
                <w:rFonts w:eastAsia="Calibri"/>
                <w:sz w:val="18"/>
                <w:szCs w:val="18"/>
                <w:lang w:eastAsia="en-US"/>
              </w:rPr>
              <w:t xml:space="preserve">2-1</w:t>
            </w:r>
            <w:r/>
          </w:p>
        </w:tc>
        <w:tc>
          <w:tcPr>
            <w:shd w:val="clear" w:color="auto" w:fill="auto"/>
            <w:tcW w:w="1134" w:type="dxa"/>
            <w:vAlign w:val="center"/>
            <w:textDirection w:val="lrTb"/>
            <w:noWrap/>
          </w:tcPr>
          <w:p>
            <w:pPr>
              <w:jc w:val="center"/>
              <w:widowControl/>
              <w:rPr>
                <w:sz w:val="18"/>
                <w:szCs w:val="18"/>
              </w:rPr>
            </w:pPr>
            <w:r>
              <w:rPr>
                <w:sz w:val="18"/>
                <w:szCs w:val="18"/>
                <w:lang w:eastAsia="ru-RU"/>
              </w:rPr>
              <w:t xml:space="preserve">И</w:t>
            </w:r>
            <w:r/>
          </w:p>
        </w:tc>
        <w:tc>
          <w:tcPr>
            <w:shd w:val="clear" w:color="auto" w:fill="auto"/>
            <w:tcW w:w="5103" w:type="dxa"/>
            <w:vAlign w:val="center"/>
            <w:textDirection w:val="lrTb"/>
            <w:noWrap/>
          </w:tcPr>
          <w:p>
            <w:pPr>
              <w:widowControl/>
            </w:pPr>
            <w:r>
              <w:rPr>
                <w:sz w:val="18"/>
                <w:szCs w:val="18"/>
                <w:lang w:eastAsia="ru-RU"/>
              </w:rPr>
              <w:t xml:space="preserve">Зона инженерной инфраструктуры (И) №2-1</w:t>
            </w:r>
            <w:r/>
          </w:p>
        </w:tc>
        <w:tc>
          <w:tcPr>
            <w:shd w:val="clear" w:color="auto" w:fill="auto"/>
            <w:tcW w:w="2551" w:type="dxa"/>
            <w:textDirection w:val="lrTb"/>
            <w:noWrap/>
          </w:tcPr>
          <w:p>
            <w:r>
              <w:rPr>
                <w:sz w:val="18"/>
                <w:szCs w:val="18"/>
              </w:rPr>
              <w:t xml:space="preserve">Казанское СП </w:t>
            </w:r>
            <w:r/>
          </w:p>
        </w:tc>
      </w:tr>
      <w:tr>
        <w:trPr>
          <w:jc w:val="center"/>
        </w:trPr>
        <w:tc>
          <w:tcPr>
            <w:shd w:val="clear" w:color="auto" w:fill="auto"/>
            <w:tcW w:w="1101" w:type="dxa"/>
            <w:vAlign w:val="center"/>
            <w:textDirection w:val="lrTb"/>
            <w:noWrap/>
          </w:tcPr>
          <w:p>
            <w:pPr>
              <w:jc w:val="center"/>
              <w:widowControl/>
              <w:rPr>
                <w:rFonts w:eastAsia="Calibri"/>
                <w:sz w:val="18"/>
                <w:szCs w:val="18"/>
              </w:rPr>
            </w:pPr>
            <w:r>
              <w:rPr>
                <w:rFonts w:eastAsia="Calibri"/>
                <w:sz w:val="18"/>
                <w:szCs w:val="18"/>
                <w:lang w:eastAsia="en-US"/>
              </w:rPr>
              <w:t xml:space="preserve">2-2</w:t>
            </w:r>
            <w:r/>
          </w:p>
        </w:tc>
        <w:tc>
          <w:tcPr>
            <w:shd w:val="clear" w:color="auto" w:fill="auto"/>
            <w:tcW w:w="1134" w:type="dxa"/>
            <w:vAlign w:val="center"/>
            <w:textDirection w:val="lrTb"/>
            <w:noWrap/>
          </w:tcPr>
          <w:p>
            <w:pPr>
              <w:jc w:val="center"/>
              <w:widowControl/>
              <w:rPr>
                <w:sz w:val="18"/>
                <w:szCs w:val="18"/>
              </w:rPr>
            </w:pPr>
            <w:r>
              <w:rPr>
                <w:sz w:val="18"/>
                <w:szCs w:val="18"/>
                <w:lang w:eastAsia="ru-RU"/>
              </w:rPr>
              <w:t xml:space="preserve">Т</w:t>
            </w:r>
            <w:r/>
          </w:p>
        </w:tc>
        <w:tc>
          <w:tcPr>
            <w:shd w:val="clear" w:color="auto" w:fill="auto"/>
            <w:tcW w:w="5103" w:type="dxa"/>
            <w:vAlign w:val="center"/>
            <w:textDirection w:val="lrTb"/>
            <w:noWrap/>
          </w:tcPr>
          <w:p>
            <w:pPr>
              <w:widowControl/>
            </w:pPr>
            <w:r>
              <w:rPr>
                <w:sz w:val="18"/>
                <w:szCs w:val="18"/>
                <w:lang w:eastAsia="ru-RU"/>
              </w:rPr>
              <w:t xml:space="preserve">Зона транспортной инфраструктуры (Т) №2-2</w:t>
            </w:r>
            <w:r/>
          </w:p>
        </w:tc>
        <w:tc>
          <w:tcPr>
            <w:shd w:val="clear" w:color="auto" w:fill="auto"/>
            <w:tcW w:w="2551" w:type="dxa"/>
            <w:textDirection w:val="lrTb"/>
            <w:noWrap/>
          </w:tcPr>
          <w:p>
            <w:r>
              <w:rPr>
                <w:sz w:val="18"/>
                <w:szCs w:val="18"/>
              </w:rPr>
              <w:t xml:space="preserve">Казанское СП </w:t>
            </w:r>
            <w:r/>
          </w:p>
        </w:tc>
      </w:tr>
      <w:tr>
        <w:trPr>
          <w:jc w:val="center"/>
        </w:trPr>
        <w:tc>
          <w:tcPr>
            <w:shd w:val="clear" w:color="auto" w:fill="auto"/>
            <w:tcW w:w="1101" w:type="dxa"/>
            <w:vAlign w:val="center"/>
            <w:textDirection w:val="lrTb"/>
            <w:noWrap/>
          </w:tcPr>
          <w:p>
            <w:pPr>
              <w:jc w:val="center"/>
              <w:widowControl/>
              <w:rPr>
                <w:rFonts w:eastAsia="Calibri"/>
                <w:sz w:val="18"/>
                <w:szCs w:val="18"/>
              </w:rPr>
            </w:pPr>
            <w:r>
              <w:rPr>
                <w:rFonts w:eastAsia="Calibri"/>
                <w:sz w:val="18"/>
                <w:szCs w:val="18"/>
                <w:lang w:eastAsia="en-US"/>
              </w:rPr>
              <w:t xml:space="preserve">2-3</w:t>
            </w:r>
            <w:r/>
          </w:p>
        </w:tc>
        <w:tc>
          <w:tcPr>
            <w:shd w:val="clear" w:color="auto" w:fill="auto"/>
            <w:tcW w:w="1134" w:type="dxa"/>
            <w:vAlign w:val="center"/>
            <w:textDirection w:val="lrTb"/>
            <w:noWrap/>
          </w:tcPr>
          <w:p>
            <w:pPr>
              <w:jc w:val="center"/>
              <w:widowControl/>
              <w:rPr>
                <w:sz w:val="18"/>
                <w:szCs w:val="18"/>
              </w:rPr>
            </w:pPr>
            <w:r>
              <w:rPr>
                <w:sz w:val="18"/>
                <w:szCs w:val="18"/>
                <w:lang w:eastAsia="ru-RU"/>
              </w:rPr>
              <w:t xml:space="preserve">СХ-1</w:t>
            </w:r>
            <w:r/>
          </w:p>
        </w:tc>
        <w:tc>
          <w:tcPr>
            <w:shd w:val="clear" w:color="auto" w:fill="auto"/>
            <w:tcW w:w="5103" w:type="dxa"/>
            <w:vAlign w:val="center"/>
            <w:textDirection w:val="lrTb"/>
            <w:noWrap/>
          </w:tcPr>
          <w:p>
            <w:pPr>
              <w:widowControl/>
              <w:rPr>
                <w:sz w:val="18"/>
                <w:szCs w:val="18"/>
              </w:rPr>
            </w:pPr>
            <w:r>
              <w:rPr>
                <w:sz w:val="18"/>
                <w:szCs w:val="18"/>
                <w:lang w:eastAsia="ru-RU"/>
              </w:rPr>
              <w:t xml:space="preserve">Зона сельскохозяйственного использования (СХ-1) №2-3</w:t>
            </w:r>
            <w:r/>
          </w:p>
        </w:tc>
        <w:tc>
          <w:tcPr>
            <w:shd w:val="clear" w:color="auto" w:fill="auto"/>
            <w:tcW w:w="2551" w:type="dxa"/>
            <w:vAlign w:val="center"/>
            <w:textDirection w:val="lrTb"/>
            <w:noWrap/>
          </w:tcPr>
          <w:p>
            <w:r>
              <w:rPr>
                <w:sz w:val="18"/>
                <w:szCs w:val="18"/>
              </w:rPr>
              <w:t xml:space="preserve">Казанское СП </w:t>
            </w:r>
            <w:r/>
          </w:p>
        </w:tc>
      </w:tr>
      <w:tr>
        <w:trPr>
          <w:jc w:val="center"/>
        </w:trPr>
        <w:tc>
          <w:tcPr>
            <w:shd w:val="clear" w:color="auto" w:fill="auto"/>
            <w:tcW w:w="1101" w:type="dxa"/>
            <w:vAlign w:val="center"/>
            <w:textDirection w:val="lrTb"/>
            <w:noWrap/>
          </w:tcPr>
          <w:p>
            <w:pPr>
              <w:jc w:val="center"/>
              <w:widowControl/>
              <w:rPr>
                <w:rFonts w:eastAsia="Calibri"/>
                <w:sz w:val="18"/>
                <w:szCs w:val="18"/>
              </w:rPr>
            </w:pPr>
            <w:r>
              <w:rPr>
                <w:rFonts w:eastAsia="Calibri"/>
                <w:sz w:val="18"/>
                <w:szCs w:val="18"/>
                <w:lang w:eastAsia="en-US"/>
              </w:rPr>
              <w:t xml:space="preserve">2-4</w:t>
            </w:r>
            <w:r/>
          </w:p>
        </w:tc>
        <w:tc>
          <w:tcPr>
            <w:shd w:val="clear" w:color="auto" w:fill="auto"/>
            <w:tcW w:w="1134" w:type="dxa"/>
            <w:vAlign w:val="center"/>
            <w:textDirection w:val="lrTb"/>
            <w:noWrap/>
          </w:tcPr>
          <w:p>
            <w:pPr>
              <w:jc w:val="center"/>
              <w:widowControl/>
              <w:rPr>
                <w:sz w:val="18"/>
                <w:szCs w:val="18"/>
              </w:rPr>
            </w:pPr>
            <w:r>
              <w:rPr>
                <w:sz w:val="18"/>
                <w:szCs w:val="18"/>
                <w:lang w:eastAsia="ru-RU"/>
              </w:rPr>
              <w:t xml:space="preserve">СХ-2</w:t>
            </w:r>
            <w:r/>
          </w:p>
        </w:tc>
        <w:tc>
          <w:tcPr>
            <w:shd w:val="clear" w:color="auto" w:fill="auto"/>
            <w:tcW w:w="5103" w:type="dxa"/>
            <w:vAlign w:val="center"/>
            <w:textDirection w:val="lrTb"/>
            <w:noWrap/>
          </w:tcPr>
          <w:p>
            <w:pPr>
              <w:widowControl/>
              <w:rPr>
                <w:sz w:val="18"/>
                <w:szCs w:val="18"/>
              </w:rPr>
            </w:pPr>
            <w:r>
              <w:rPr>
                <w:sz w:val="18"/>
                <w:szCs w:val="18"/>
                <w:lang w:eastAsia="ru-RU"/>
              </w:rPr>
              <w:t xml:space="preserve">Производственная зона сельскохозяйственных предприятий (СХ-2) №2-4</w:t>
            </w:r>
            <w:r/>
          </w:p>
        </w:tc>
        <w:tc>
          <w:tcPr>
            <w:shd w:val="clear" w:color="auto" w:fill="auto"/>
            <w:tcW w:w="2551" w:type="dxa"/>
            <w:textDirection w:val="lrTb"/>
            <w:noWrap/>
          </w:tcPr>
          <w:p>
            <w:r>
              <w:rPr>
                <w:sz w:val="18"/>
                <w:szCs w:val="18"/>
              </w:rPr>
              <w:t xml:space="preserve">Казанское СП</w:t>
            </w:r>
            <w:r/>
          </w:p>
          <w:p>
            <w:pPr>
              <w:jc w:val="both"/>
              <w:widowControl/>
              <w:rPr>
                <w:rFonts w:eastAsia="Calibri"/>
                <w:sz w:val="18"/>
                <w:szCs w:val="18"/>
              </w:rPr>
            </w:pPr>
            <w:r>
              <w:rPr>
                <w:rFonts w:eastAsia="Calibri"/>
                <w:sz w:val="18"/>
                <w:szCs w:val="18"/>
              </w:rPr>
            </w:r>
            <w:r/>
          </w:p>
        </w:tc>
      </w:tr>
      <w:tr>
        <w:trPr>
          <w:jc w:val="center"/>
        </w:trPr>
        <w:tc>
          <w:tcPr>
            <w:shd w:val="clear" w:color="auto" w:fill="auto"/>
            <w:tcW w:w="1101" w:type="dxa"/>
            <w:vAlign w:val="center"/>
            <w:textDirection w:val="lrTb"/>
            <w:noWrap/>
          </w:tcPr>
          <w:p>
            <w:pPr>
              <w:jc w:val="center"/>
              <w:widowControl/>
              <w:rPr>
                <w:rFonts w:eastAsia="Calibri"/>
                <w:sz w:val="18"/>
                <w:szCs w:val="18"/>
              </w:rPr>
            </w:pPr>
            <w:r>
              <w:rPr>
                <w:rFonts w:eastAsia="Calibri"/>
                <w:sz w:val="18"/>
                <w:szCs w:val="18"/>
                <w:lang w:eastAsia="en-US"/>
              </w:rPr>
              <w:t xml:space="preserve">2-5</w:t>
            </w:r>
            <w:r/>
          </w:p>
        </w:tc>
        <w:tc>
          <w:tcPr>
            <w:shd w:val="clear" w:color="auto" w:fill="auto"/>
            <w:tcW w:w="1134" w:type="dxa"/>
            <w:vAlign w:val="center"/>
            <w:textDirection w:val="lrTb"/>
            <w:noWrap/>
          </w:tcPr>
          <w:p>
            <w:pPr>
              <w:jc w:val="center"/>
              <w:widowControl/>
              <w:rPr>
                <w:sz w:val="18"/>
                <w:szCs w:val="18"/>
              </w:rPr>
            </w:pPr>
            <w:r>
              <w:rPr>
                <w:sz w:val="18"/>
                <w:szCs w:val="18"/>
                <w:lang w:eastAsia="ru-RU"/>
              </w:rPr>
              <w:t xml:space="preserve">СХ-3</w:t>
            </w:r>
            <w:r/>
          </w:p>
        </w:tc>
        <w:tc>
          <w:tcPr>
            <w:shd w:val="clear" w:color="auto" w:fill="auto"/>
            <w:tcW w:w="5103" w:type="dxa"/>
            <w:vAlign w:val="center"/>
            <w:textDirection w:val="lrTb"/>
            <w:noWrap/>
          </w:tcPr>
          <w:p>
            <w:pPr>
              <w:widowControl/>
              <w:rPr>
                <w:sz w:val="18"/>
                <w:szCs w:val="18"/>
              </w:rPr>
            </w:pPr>
            <w:r>
              <w:rPr>
                <w:sz w:val="18"/>
                <w:szCs w:val="18"/>
                <w:lang w:eastAsia="ru-RU"/>
              </w:rPr>
              <w:t xml:space="preserve">Зона садоводческих или огороднических некоммерческих товариществ (СХ-3) №2-5</w:t>
            </w:r>
            <w:r/>
          </w:p>
        </w:tc>
        <w:tc>
          <w:tcPr>
            <w:shd w:val="clear" w:color="auto" w:fill="auto"/>
            <w:tcW w:w="2551" w:type="dxa"/>
            <w:textDirection w:val="lrTb"/>
            <w:noWrap/>
          </w:tcPr>
          <w:p>
            <w:r>
              <w:rPr>
                <w:sz w:val="18"/>
                <w:szCs w:val="18"/>
              </w:rPr>
              <w:t xml:space="preserve">Казанское СП </w:t>
            </w:r>
            <w:r/>
          </w:p>
        </w:tc>
      </w:tr>
    </w:tbl>
    <w:p>
      <w:pPr>
        <w:ind w:firstLine="567"/>
        <w:jc w:val="both"/>
        <w:widowControl/>
        <w:rPr>
          <w:rFonts w:eastAsia="Calibri"/>
          <w:sz w:val="12"/>
          <w:szCs w:val="12"/>
          <w:lang w:eastAsia="en-US"/>
        </w:rPr>
      </w:pPr>
      <w:r>
        <w:rPr>
          <w:rFonts w:eastAsia="Calibri"/>
          <w:sz w:val="12"/>
          <w:szCs w:val="12"/>
          <w:lang w:eastAsia="en-US"/>
        </w:rPr>
      </w:r>
      <w:r/>
    </w:p>
    <w:p>
      <w:pPr>
        <w:ind w:firstLine="567"/>
        <w:jc w:val="both"/>
        <w:widowControl/>
        <w:rPr>
          <w:rFonts w:eastAsia="Calibri"/>
          <w:sz w:val="12"/>
          <w:szCs w:val="12"/>
          <w:lang w:eastAsia="en-US"/>
        </w:rPr>
      </w:pPr>
      <w:r>
        <w:rPr>
          <w:rFonts w:eastAsia="Calibri"/>
          <w:sz w:val="12"/>
          <w:szCs w:val="12"/>
          <w:lang w:eastAsia="en-US"/>
        </w:rPr>
      </w:r>
      <w:r/>
    </w:p>
    <w:p>
      <w:pPr>
        <w:ind w:firstLine="567"/>
        <w:jc w:val="both"/>
        <w:widowControl/>
        <w:rPr>
          <w:rFonts w:eastAsia="Calibri"/>
          <w:sz w:val="24"/>
          <w:szCs w:val="24"/>
          <w:lang w:eastAsia="en-US"/>
        </w:rPr>
      </w:pPr>
      <w:r>
        <w:rPr>
          <w:rFonts w:eastAsia="Calibri"/>
          <w:sz w:val="24"/>
          <w:szCs w:val="24"/>
          <w:lang w:eastAsia="en-US"/>
        </w:rPr>
        <w:t xml:space="preserve">Использование для обозначения территориальной зоны ее наименования или номера в рамках настоящих Правил является равнозначным.</w:t>
      </w:r>
      <w:r/>
    </w:p>
    <w:p>
      <w:pPr>
        <w:ind w:firstLine="567"/>
        <w:jc w:val="both"/>
        <w:widowControl/>
        <w:rPr>
          <w:rFonts w:eastAsia="Calibri"/>
          <w:sz w:val="24"/>
          <w:szCs w:val="24"/>
          <w:lang w:eastAsia="en-US"/>
        </w:rPr>
      </w:pPr>
      <w:r>
        <w:rPr>
          <w:rFonts w:eastAsia="Calibri"/>
          <w:sz w:val="24"/>
          <w:szCs w:val="24"/>
          <w:lang w:eastAsia="en-US"/>
        </w:rPr>
        <w:t xml:space="preserve">4. Границы установленных территориальных зон могут состоять из одного или более контуров границ. </w:t>
      </w:r>
      <w:r/>
    </w:p>
    <w:p>
      <w:pPr>
        <w:ind w:firstLine="567"/>
        <w:jc w:val="both"/>
        <w:widowControl/>
        <w:rPr>
          <w:rFonts w:eastAsia="Calibri"/>
          <w:sz w:val="24"/>
          <w:szCs w:val="24"/>
          <w:lang w:eastAsia="en-US"/>
        </w:rPr>
      </w:pPr>
      <w:r>
        <w:rPr>
          <w:rFonts w:eastAsia="Calibri"/>
          <w:sz w:val="24"/>
          <w:szCs w:val="24"/>
          <w:lang w:eastAsia="en-US"/>
        </w:rPr>
        <w:t xml:space="preserve">Контуры границ территориальных зон, которые на карте градостроительного зонирования имеют одинаковый индекс и номер территориальной зоны, относятся к одной многоконтурной территориальной зоне. </w:t>
      </w:r>
      <w:r/>
    </w:p>
    <w:p>
      <w:pPr>
        <w:ind w:firstLine="567"/>
        <w:jc w:val="both"/>
        <w:widowControl/>
        <w:rPr>
          <w:rFonts w:eastAsia="Calibri"/>
          <w:sz w:val="24"/>
          <w:szCs w:val="24"/>
          <w:lang w:eastAsia="en-US"/>
        </w:rPr>
      </w:pPr>
      <w:r>
        <w:rPr>
          <w:rFonts w:eastAsia="Calibri"/>
          <w:sz w:val="24"/>
          <w:szCs w:val="24"/>
          <w:lang w:eastAsia="en-US"/>
        </w:rPr>
      </w:r>
      <w:r/>
    </w:p>
    <w:p>
      <w:pPr>
        <w:ind w:firstLine="567"/>
        <w:jc w:val="both"/>
        <w:widowControl/>
        <w:rPr>
          <w:rFonts w:eastAsia="Calibri"/>
          <w:sz w:val="24"/>
          <w:szCs w:val="24"/>
          <w:lang w:eastAsia="en-US"/>
        </w:rPr>
      </w:pPr>
      <w:r>
        <w:rPr>
          <w:rFonts w:eastAsia="Calibri"/>
          <w:sz w:val="24"/>
          <w:szCs w:val="24"/>
          <w:lang w:eastAsia="en-US"/>
        </w:rPr>
        <w:t xml:space="preserve">Контуры границ территориальных зон, которые на карте градостроительного зонирования имеют одинаковый индекс, но различные номера территориальных зон, относятся к разным территориальным зонам одного вида.</w:t>
      </w:r>
      <w:r/>
    </w:p>
    <w:p>
      <w:pPr>
        <w:ind w:firstLine="567"/>
        <w:jc w:val="both"/>
        <w:widowControl/>
        <w:rPr>
          <w:rFonts w:eastAsia="Calibri"/>
          <w:sz w:val="24"/>
          <w:szCs w:val="24"/>
          <w:lang w:eastAsia="en-US"/>
        </w:rPr>
      </w:pPr>
      <w:r>
        <w:rPr>
          <w:rFonts w:eastAsia="Calibri"/>
          <w:sz w:val="24"/>
          <w:szCs w:val="24"/>
          <w:lang w:eastAsia="en-US"/>
        </w:rPr>
        <w:t xml:space="preserve">5. Помимо территориальных зон, для которых в обязательном порядке устанавливаются границы и градостроительные регламенты, на карте градостроительного зонирования также показаны:</w:t>
      </w:r>
      <w:r/>
    </w:p>
    <w:p>
      <w:pPr>
        <w:ind w:firstLine="567"/>
        <w:jc w:val="both"/>
        <w:widowControl/>
        <w:rPr>
          <w:rFonts w:eastAsia="Calibri"/>
          <w:sz w:val="24"/>
          <w:szCs w:val="24"/>
          <w:lang w:eastAsia="en-US"/>
        </w:rPr>
      </w:pPr>
      <w:r>
        <w:rPr>
          <w:rFonts w:eastAsia="Calibri"/>
          <w:sz w:val="24"/>
          <w:szCs w:val="24"/>
          <w:lang w:eastAsia="en-US"/>
        </w:rPr>
        <w:t xml:space="preserve">земли, на которые действие градостроительных регламентов не распространяется;</w:t>
      </w:r>
      <w:r/>
    </w:p>
    <w:p>
      <w:pPr>
        <w:ind w:firstLine="567"/>
        <w:jc w:val="both"/>
        <w:widowControl/>
        <w:rPr>
          <w:rFonts w:eastAsia="Calibri"/>
          <w:sz w:val="24"/>
          <w:szCs w:val="24"/>
          <w:lang w:eastAsia="en-US"/>
        </w:rPr>
      </w:pPr>
      <w:r>
        <w:rPr>
          <w:rFonts w:eastAsia="Calibri"/>
          <w:sz w:val="24"/>
          <w:szCs w:val="24"/>
          <w:lang w:eastAsia="en-US"/>
        </w:rPr>
        <w:t xml:space="preserve">земли, для которых градостроительные регламенты не устанавливаются;</w:t>
      </w:r>
      <w:r/>
    </w:p>
    <w:p>
      <w:pPr>
        <w:ind w:firstLine="567"/>
        <w:jc w:val="both"/>
        <w:widowControl/>
        <w:rPr>
          <w:rFonts w:eastAsia="Calibri"/>
          <w:sz w:val="24"/>
          <w:szCs w:val="24"/>
          <w:lang w:eastAsia="en-US"/>
        </w:rPr>
      </w:pPr>
      <w:r>
        <w:rPr>
          <w:rFonts w:eastAsia="Calibri"/>
          <w:sz w:val="24"/>
          <w:szCs w:val="24"/>
          <w:lang w:eastAsia="en-US"/>
        </w:rPr>
        <w:t xml:space="preserve">Для указанных земель и территорий используются следующие наименования и условные текстовые обозначения (индексы):</w:t>
      </w:r>
      <w:r/>
    </w:p>
    <w:p>
      <w:pPr>
        <w:ind w:firstLine="567"/>
        <w:jc w:val="both"/>
        <w:widowControl/>
        <w:rPr>
          <w:rFonts w:eastAsia="Calibri"/>
          <w:sz w:val="24"/>
          <w:szCs w:val="24"/>
          <w:lang w:eastAsia="en-US"/>
        </w:rPr>
      </w:pPr>
      <w:r>
        <w:rPr>
          <w:rFonts w:eastAsia="Calibri"/>
          <w:sz w:val="24"/>
          <w:szCs w:val="24"/>
          <w:lang w:eastAsia="en-US"/>
        </w:rPr>
        <w:t xml:space="preserve">1)земли, на которые действие градостроительных регламентов не распространяется:</w:t>
      </w:r>
      <w:r/>
    </w:p>
    <w:p>
      <w:pPr>
        <w:ind w:firstLine="567"/>
        <w:jc w:val="both"/>
        <w:widowControl/>
        <w:rPr>
          <w:rFonts w:eastAsia="Calibri"/>
          <w:sz w:val="24"/>
          <w:szCs w:val="24"/>
          <w:lang w:eastAsia="en-US"/>
        </w:rPr>
      </w:pPr>
      <w:r>
        <w:rPr>
          <w:rFonts w:eastAsia="Calibri"/>
          <w:sz w:val="24"/>
          <w:szCs w:val="24"/>
          <w:lang w:eastAsia="en-US"/>
        </w:rPr>
        <w:t xml:space="preserve">- земельные участки, предназначенные для размещения линейных объектов;</w:t>
      </w:r>
      <w:r/>
    </w:p>
    <w:p>
      <w:pPr>
        <w:ind w:firstLine="567"/>
        <w:jc w:val="both"/>
        <w:widowControl/>
        <w:rPr>
          <w:rFonts w:eastAsia="Calibri"/>
          <w:sz w:val="24"/>
          <w:szCs w:val="24"/>
          <w:lang w:eastAsia="en-US"/>
        </w:rPr>
      </w:pPr>
      <w:r>
        <w:rPr>
          <w:rFonts w:eastAsia="Calibri"/>
          <w:sz w:val="24"/>
          <w:szCs w:val="24"/>
          <w:lang w:eastAsia="en-US"/>
        </w:rPr>
        <w:t xml:space="preserve">- территория общего пользования;</w:t>
      </w:r>
      <w:r/>
    </w:p>
    <w:p>
      <w:pPr>
        <w:ind w:firstLine="567"/>
        <w:jc w:val="both"/>
        <w:widowControl/>
        <w:rPr>
          <w:rFonts w:eastAsia="Calibri"/>
          <w:sz w:val="24"/>
          <w:szCs w:val="24"/>
          <w:lang w:eastAsia="en-US"/>
        </w:rPr>
      </w:pPr>
      <w:r>
        <w:rPr>
          <w:rFonts w:eastAsia="Calibri"/>
          <w:sz w:val="24"/>
          <w:szCs w:val="24"/>
          <w:lang w:eastAsia="en-US"/>
        </w:rPr>
        <w:t xml:space="preserve">2)земли, для которых градостроительные регламенты не устанавливаются:</w:t>
      </w:r>
      <w:r/>
    </w:p>
    <w:p>
      <w:pPr>
        <w:ind w:firstLine="567"/>
        <w:jc w:val="both"/>
        <w:widowControl/>
        <w:rPr>
          <w:rFonts w:eastAsia="Calibri"/>
          <w:sz w:val="24"/>
          <w:szCs w:val="24"/>
          <w:lang w:eastAsia="en-US"/>
        </w:rPr>
      </w:pPr>
      <w:r>
        <w:rPr>
          <w:rFonts w:eastAsia="Calibri"/>
          <w:sz w:val="24"/>
          <w:szCs w:val="24"/>
          <w:lang w:eastAsia="en-US"/>
        </w:rPr>
        <w:t xml:space="preserve">- земли, покрытые поверхностными водами</w:t>
      </w:r>
      <w:r/>
    </w:p>
    <w:p>
      <w:pPr>
        <w:ind w:firstLine="567"/>
        <w:jc w:val="both"/>
        <w:widowControl/>
        <w:rPr>
          <w:rFonts w:eastAsia="Calibri"/>
          <w:sz w:val="24"/>
          <w:szCs w:val="24"/>
          <w:lang w:eastAsia="en-US"/>
        </w:rPr>
      </w:pPr>
      <w:r>
        <w:rPr>
          <w:rFonts w:eastAsia="Calibri"/>
          <w:sz w:val="24"/>
          <w:szCs w:val="24"/>
          <w:lang w:eastAsia="en-US"/>
        </w:rPr>
        <w:t xml:space="preserve">- сельскохозяйственные угодья в составе земель сельскохозяйственного назначения.</w:t>
      </w:r>
      <w:r/>
    </w:p>
    <w:p>
      <w:pPr>
        <w:ind w:firstLine="567"/>
        <w:jc w:val="both"/>
        <w:widowControl/>
        <w:rPr>
          <w:rFonts w:eastAsia="Calibri"/>
          <w:sz w:val="24"/>
          <w:szCs w:val="24"/>
          <w:lang w:eastAsia="en-US"/>
        </w:rPr>
      </w:pPr>
      <w:r>
        <w:rPr>
          <w:rFonts w:eastAsia="Calibri"/>
          <w:sz w:val="24"/>
          <w:szCs w:val="24"/>
          <w:lang w:eastAsia="en-US"/>
        </w:rPr>
        <w:t xml:space="preserve">Указанные земли и территории территориальными зонами не являются, сведения о границах этих земель и территорий не подготавливаются и в Единый государственный реестр недвижимости не вносятся. </w:t>
      </w:r>
      <w:r/>
    </w:p>
    <w:p>
      <w:pPr>
        <w:ind w:firstLine="567"/>
        <w:jc w:val="center"/>
        <w:rPr>
          <w:b/>
        </w:rPr>
      </w:pPr>
      <w:r>
        <w:rPr>
          <w:b/>
        </w:rPr>
      </w:r>
      <w:r/>
    </w:p>
    <w:p>
      <w:pPr>
        <w:pStyle w:val="903"/>
        <w:ind w:firstLine="567"/>
        <w:jc w:val="center"/>
        <w:spacing w:before="0"/>
        <w:rPr>
          <w:rFonts w:ascii="Times New Roman" w:hAnsi="Times New Roman" w:cs="Times New Roman"/>
          <w:b/>
          <w:color w:val="auto"/>
        </w:rPr>
      </w:pPr>
      <w:r>
        <w:rPr>
          <w:rFonts w:ascii="Times New Roman" w:hAnsi="Times New Roman" w:cs="Times New Roman"/>
          <w:b/>
          <w:color w:val="auto"/>
        </w:rPr>
        <w:t xml:space="preserve">Статья 28</w:t>
      </w:r>
      <w:r>
        <w:rPr>
          <w:rFonts w:ascii="Times New Roman" w:hAnsi="Times New Roman" w:cs="Times New Roman"/>
          <w:b/>
          <w:color w:val="auto"/>
        </w:rPr>
        <w:t xml:space="preserve">. Градостроительные регламенты территориальных зон, установленных Правилами</w:t>
      </w:r>
      <w:r/>
    </w:p>
    <w:p>
      <w:pPr>
        <w:ind w:firstLine="567"/>
        <w:jc w:val="center"/>
        <w:rPr>
          <w:b/>
          <w:sz w:val="24"/>
          <w:szCs w:val="24"/>
        </w:rPr>
      </w:pPr>
      <w:r>
        <w:rPr>
          <w:b/>
          <w:sz w:val="24"/>
          <w:szCs w:val="24"/>
        </w:rPr>
      </w:r>
      <w:r/>
    </w:p>
    <w:p>
      <w:pPr>
        <w:ind w:firstLine="567"/>
        <w:rPr>
          <w:color w:val="000000"/>
          <w:sz w:val="24"/>
          <w:szCs w:val="24"/>
        </w:rPr>
      </w:pPr>
      <w:r>
        <w:rPr>
          <w:color w:val="000000"/>
          <w:sz w:val="24"/>
          <w:szCs w:val="24"/>
        </w:rPr>
        <w:t xml:space="preserve">За красную линию улиц и проездов до ее утверждения в установленном порядке, принять границу территориальной зоны.</w:t>
      </w:r>
      <w:r/>
    </w:p>
    <w:p>
      <w:pPr>
        <w:ind w:firstLine="567"/>
        <w:jc w:val="center"/>
        <w:rPr>
          <w:b/>
          <w:sz w:val="24"/>
          <w:szCs w:val="24"/>
        </w:rPr>
      </w:pPr>
      <w:r>
        <w:rPr>
          <w:b/>
          <w:sz w:val="24"/>
          <w:szCs w:val="24"/>
        </w:rPr>
      </w:r>
      <w:r/>
    </w:p>
    <w:p>
      <w:pPr>
        <w:ind w:firstLine="567"/>
        <w:jc w:val="center"/>
      </w:pPr>
      <w:r>
        <w:rPr>
          <w:b/>
          <w:caps/>
          <w:color w:val="000000"/>
          <w:sz w:val="24"/>
          <w:szCs w:val="24"/>
        </w:rPr>
        <w:t xml:space="preserve">Жилые зоны</w:t>
      </w:r>
      <w:r>
        <w:rPr>
          <w:b/>
          <w:color w:val="000000"/>
          <w:sz w:val="24"/>
          <w:szCs w:val="24"/>
        </w:rPr>
        <w:t xml:space="preserve">:</w:t>
      </w:r>
      <w:r/>
    </w:p>
    <w:p>
      <w:pPr>
        <w:ind w:firstLine="567"/>
        <w:jc w:val="center"/>
      </w:pPr>
      <w:r/>
      <w:r/>
    </w:p>
    <w:p>
      <w:pPr>
        <w:ind w:firstLine="567"/>
        <w:jc w:val="center"/>
      </w:pPr>
      <w:r>
        <w:rPr>
          <w:b/>
          <w:color w:val="000000"/>
          <w:sz w:val="24"/>
          <w:szCs w:val="24"/>
        </w:rPr>
        <w:t xml:space="preserve">ЗОНА ИНДИВИДУАЛЬНОЙ ЖИЛОЙ ЗАСТРОЙКИ</w:t>
      </w:r>
      <w:r/>
    </w:p>
    <w:p>
      <w:pPr>
        <w:ind w:firstLine="567"/>
        <w:jc w:val="center"/>
      </w:pPr>
      <w:r/>
      <w:r/>
    </w:p>
    <w:p>
      <w:pPr>
        <w:ind w:firstLine="567"/>
        <w:jc w:val="both"/>
      </w:pPr>
      <w:r>
        <w:rPr>
          <w:color w:val="000000" w:themeColor="text1"/>
          <w:sz w:val="24"/>
          <w:szCs w:val="24"/>
        </w:rPr>
        <w:t xml:space="preserve">Кодовое обозначение – Ж-1</w:t>
      </w:r>
      <w:r/>
    </w:p>
    <w:p>
      <w:pPr>
        <w:ind w:firstLine="567"/>
        <w:jc w:val="both"/>
      </w:pPr>
      <w:r>
        <w:rPr>
          <w:color w:val="000000"/>
          <w:sz w:val="24"/>
          <w:szCs w:val="24"/>
        </w:rPr>
        <w:t xml:space="preserve">Зона индивидуальной жилой застройки </w:t>
      </w:r>
      <w:r>
        <w:rPr>
          <w:b/>
          <w:color w:val="000000"/>
          <w:sz w:val="24"/>
          <w:szCs w:val="24"/>
        </w:rPr>
        <w:t xml:space="preserve">Ж-1</w:t>
      </w:r>
      <w:r>
        <w:rPr>
          <w:color w:val="000000"/>
          <w:sz w:val="24"/>
          <w:szCs w:val="24"/>
        </w:rPr>
        <w:t xml:space="preserve"> выделена </w:t>
      </w:r>
      <w:r>
        <w:rPr>
          <w:sz w:val="24"/>
          <w:szCs w:val="24"/>
        </w:rPr>
        <w:t xml:space="preserve">д</w:t>
      </w:r>
      <w:r>
        <w:rPr>
          <w:sz w:val="24"/>
          <w:szCs w:val="24"/>
        </w:rPr>
        <w:t xml:space="preserve">ля обеспечения правовых условий формирования жилых районов низкой плотности застройки не выше трех надземных этажей, с минимально разрешенным набором услуг, где предусматривается размещение одноквартирных и двухквартирных жилых домов с земельными участками</w:t>
      </w:r>
      <w:r>
        <w:rPr>
          <w:color w:val="000000"/>
          <w:sz w:val="24"/>
          <w:szCs w:val="24"/>
        </w:rPr>
        <w:t xml:space="preserve">.</w:t>
      </w:r>
      <w:r/>
    </w:p>
    <w:p>
      <w:pPr>
        <w:jc w:val="center"/>
        <w:tabs>
          <w:tab w:val="left" w:pos="2520" w:leader="none"/>
        </w:tabs>
      </w:pPr>
      <w:r>
        <w:rPr>
          <w:b/>
          <w:color w:val="000000"/>
        </w:rPr>
        <w:t xml:space="preserve">ОСНОВНЫЕ ВИДЫ И ПАРАМЕТРЫ РАЗРЕШЕННОГО ИСПОЛЬЗОВАНИЯ</w:t>
      </w:r>
      <w:r/>
    </w:p>
    <w:p>
      <w:pPr>
        <w:jc w:val="center"/>
        <w:tabs>
          <w:tab w:val="left" w:pos="2520" w:leader="none"/>
        </w:tabs>
      </w:pPr>
      <w:r>
        <w:rPr>
          <w:b/>
          <w:color w:val="000000"/>
        </w:rPr>
        <w:t xml:space="preserve">ЗЕМЕЛЬНЫХ УЧАСТКОВ И ОБЪЕКТОВ КАПИТАЛЬНОГО СТРОИТЕЛЬСТВА</w:t>
      </w:r>
      <w:r/>
    </w:p>
    <w:p>
      <w:pPr>
        <w:ind w:firstLine="567"/>
        <w:jc w:val="center"/>
        <w:tabs>
          <w:tab w:val="left" w:pos="2520" w:leader="none"/>
        </w:tabs>
      </w:pPr>
      <w:r/>
      <w:r/>
    </w:p>
    <w:tbl>
      <w:tblPr>
        <w:tblW w:w="1527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 w:type="dxa"/>
          <w:right w:w="10" w:type="dxa"/>
        </w:tblCellMar>
        <w:tblLook w:val="04A0" w:firstRow="1" w:lastRow="0" w:firstColumn="1" w:lastColumn="0" w:noHBand="0" w:noVBand="1"/>
      </w:tblPr>
      <w:tblGrid>
        <w:gridCol w:w="2562"/>
        <w:gridCol w:w="4314"/>
        <w:gridCol w:w="6"/>
        <w:gridCol w:w="4610"/>
        <w:gridCol w:w="3781"/>
      </w:tblGrid>
      <w:tr>
        <w:trPr>
          <w:trHeight w:val="284"/>
        </w:trPr>
        <w:tc>
          <w:tcPr>
            <w:tcW w:w="2562" w:type="dxa"/>
            <w:vAlign w:val="center"/>
            <w:textDirection w:val="lrTb"/>
            <w:noWrap w:val="false"/>
          </w:tcPr>
          <w:p>
            <w:pPr>
              <w:ind w:left="142" w:right="65"/>
              <w:jc w:val="center"/>
              <w:tabs>
                <w:tab w:val="left" w:pos="2520" w:leader="none"/>
              </w:tabs>
              <w:rPr>
                <w:b/>
              </w:rPr>
            </w:pPr>
            <w:r>
              <w:rPr>
                <w:rFonts w:eastAsia="SimSun"/>
                <w:lang w:eastAsia="zh-CN" w:bidi="ru-RU"/>
              </w:rPr>
              <w:t xml:space="preserve">[</w:t>
            </w:r>
            <w:r>
              <w:rPr>
                <w:b/>
              </w:rPr>
              <w:t xml:space="preserve">КОД (ЧИСЛОВОЕ ОБОЗНАЧЕНИЕ)</w:t>
            </w:r>
            <w:r>
              <w:rPr>
                <w:rFonts w:eastAsia="SimSun"/>
                <w:lang w:eastAsia="zh-CN" w:bidi="ru-RU"/>
              </w:rPr>
              <w:t xml:space="preserve">]-</w:t>
            </w:r>
            <w:r>
              <w:rPr>
                <w:b/>
              </w:rPr>
              <w:t xml:space="preserve"> НАИМЕНОВАНИЕ ВИДА РАЗРЕШЕННОГО ИСПОЛЬЗОВАНИЯ ЗЕМЕЛЬНЫХ УЧАСТКОВ</w:t>
            </w:r>
            <w:r/>
          </w:p>
        </w:tc>
        <w:tc>
          <w:tcPr>
            <w:gridSpan w:val="2"/>
            <w:tcW w:w="4320" w:type="dxa"/>
            <w:vAlign w:val="center"/>
            <w:textDirection w:val="lrTb"/>
            <w:noWrap w:val="false"/>
          </w:tcPr>
          <w:p>
            <w:pPr>
              <w:ind w:left="142" w:right="65"/>
              <w:jc w:val="center"/>
              <w:tabs>
                <w:tab w:val="left" w:pos="2520" w:leader="none"/>
              </w:tabs>
              <w:rPr>
                <w:b/>
              </w:rPr>
            </w:pPr>
            <w:r>
              <w:rPr>
                <w:b/>
              </w:rPr>
              <w:t xml:space="preserve">ВИДЫ ОБЪЕКТОВ КАПИТАЛЬНОГО СТРОИТЕЛЬСТВА</w:t>
            </w:r>
            <w:r/>
          </w:p>
        </w:tc>
        <w:tc>
          <w:tcPr>
            <w:tcW w:w="4610" w:type="dxa"/>
            <w:vAlign w:val="center"/>
            <w:textDirection w:val="lrTb"/>
            <w:noWrap w:val="false"/>
          </w:tcPr>
          <w:p>
            <w:pPr>
              <w:ind w:left="142" w:right="65"/>
              <w:jc w:val="center"/>
              <w:tabs>
                <w:tab w:val="left" w:pos="2520" w:leader="none"/>
              </w:tabs>
              <w:rPr>
                <w:b/>
              </w:rPr>
            </w:pPr>
            <w:r>
              <w:rPr>
                <w:rFonts w:eastAsia="SimSun"/>
                <w:b/>
                <w:lang w:eastAsia="zh-CN" w:bidi="ru-RU"/>
              </w:rPr>
              <w:t xml:space="preserve">ПРЕДЕЛЬНЫЕ (МИНИМАЛЬНЫЕ И (ИЛИ) МАКСИМАЛЬНЫЕ РАЗМЕРЫ ЗЕМЕЛЬНЫХ УЧАСТКОВ И ПРЕДЕЛЬНЫЕ</w:t>
            </w:r>
            <w:r>
              <w:rPr>
                <w:b/>
              </w:rPr>
              <w:t xml:space="preserve">ПАРАМЕТРЫ РАЗРЕШЕННОГО ИСПОЛЬЗОВАНИЯ ЗЕМЕЛЬНЫХ УЧАСТКОВ И ОБЪЕКТОВ КАПИТАЛЬНОГО СТРОИТЕЛЬСТВА</w:t>
            </w:r>
            <w:r/>
          </w:p>
        </w:tc>
        <w:tc>
          <w:tcPr>
            <w:tcW w:w="3781" w:type="dxa"/>
            <w:vAlign w:val="center"/>
            <w:textDirection w:val="lrTb"/>
            <w:noWrap w:val="false"/>
          </w:tcPr>
          <w:p>
            <w:pPr>
              <w:ind w:left="142" w:right="65"/>
              <w:jc w:val="center"/>
              <w:tabs>
                <w:tab w:val="left" w:pos="3071" w:leader="none"/>
              </w:tabs>
              <w:rPr>
                <w:b/>
              </w:rPr>
            </w:pPr>
            <w:r>
              <w:rPr>
                <w:b/>
              </w:rPr>
              <w:t xml:space="preserve">ОСОБЫЕ УСЛОВИЯ РЕАЛИЗАЦИИ РЕГЛАМЕНТА</w:t>
            </w:r>
            <w:r/>
          </w:p>
        </w:tc>
      </w:tr>
      <w:tr>
        <w:trPr>
          <w:trHeight w:val="284"/>
        </w:trPr>
        <w:tc>
          <w:tcPr>
            <w:tcW w:w="2562" w:type="dxa"/>
            <w:textDirection w:val="lrTb"/>
            <w:noWrap w:val="false"/>
          </w:tcPr>
          <w:p>
            <w:pPr>
              <w:ind w:left="142" w:right="65"/>
              <w:jc w:val="both"/>
              <w:tabs>
                <w:tab w:val="left" w:pos="303" w:leader="none"/>
                <w:tab w:val="left" w:pos="586" w:leader="none"/>
              </w:tabs>
            </w:pPr>
            <w:r>
              <w:t xml:space="preserve">[2.1]</w:t>
            </w:r>
            <w:r/>
          </w:p>
          <w:p>
            <w:pPr>
              <w:ind w:left="142" w:right="65"/>
              <w:jc w:val="both"/>
              <w:tabs>
                <w:tab w:val="left" w:pos="303" w:leader="none"/>
                <w:tab w:val="left" w:pos="586" w:leader="none"/>
              </w:tabs>
            </w:pPr>
            <w:r>
              <w:t xml:space="preserve">Для индивидуального жилищного строительства</w:t>
            </w:r>
            <w:r/>
          </w:p>
        </w:tc>
        <w:tc>
          <w:tcPr>
            <w:gridSpan w:val="2"/>
            <w:tcW w:w="4320" w:type="dxa"/>
            <w:textDirection w:val="lrTb"/>
            <w:noWrap w:val="false"/>
          </w:tcPr>
          <w:p>
            <w:pPr>
              <w:ind w:left="142" w:right="65"/>
              <w:jc w:val="both"/>
              <w:widowControl/>
            </w:pPr>
            <w:r>
              <w:t xml:space="preserve">Размещение жилого дома (отдельно стоящего здания количеством надземных этажей не более че</w:t>
            </w:r>
            <w:r>
              <w:t xml:space="preserve">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w:t>
            </w:r>
            <w:r>
              <w:t xml:space="preserve">самостоятельные объекты недвижимости);</w:t>
            </w:r>
            <w:r/>
          </w:p>
          <w:p>
            <w:pPr>
              <w:ind w:left="142" w:right="65"/>
              <w:jc w:val="both"/>
              <w:widowControl/>
            </w:pPr>
            <w:r>
              <w:t xml:space="preserve">выращивание сельскохозяйственных культур;</w:t>
            </w:r>
            <w:r/>
          </w:p>
          <w:p>
            <w:pPr>
              <w:ind w:left="142" w:right="65"/>
              <w:jc w:val="both"/>
            </w:pPr>
            <w:r>
              <w:t xml:space="preserve">размещение индивидуальных гаражей и хозяйственных построек</w:t>
            </w:r>
            <w:r/>
          </w:p>
        </w:tc>
        <w:tc>
          <w:tcPr>
            <w:tcW w:w="4610" w:type="dxa"/>
            <w:textDirection w:val="lrTb"/>
            <w:noWrap w:val="false"/>
          </w:tcPr>
          <w:p>
            <w:pPr>
              <w:ind w:left="142" w:right="65"/>
              <w:jc w:val="both"/>
            </w:pPr>
            <w:r>
              <w:t xml:space="preserve">минимальная/максимальная площадь земельных участков   – 400/1500 кв. м;</w:t>
            </w:r>
            <w:r/>
          </w:p>
          <w:p>
            <w:pPr>
              <w:ind w:left="142" w:right="65"/>
              <w:jc w:val="both"/>
            </w:pPr>
            <w:r>
              <w:t xml:space="preserve">минимальная ширина земельных участков вдоль фронта улицы (проезда) – 12 м; при образовании нового участка – 15 м.;</w:t>
            </w:r>
            <w:r/>
          </w:p>
          <w:p>
            <w:pPr>
              <w:ind w:left="142" w:right="65"/>
              <w:jc w:val="both"/>
            </w:pPr>
            <w:r>
              <w:t xml:space="preserve">максимальное количество надземных этажей зданий – 3 этажа (включая мансардный этаж); </w:t>
            </w:r>
            <w:r/>
          </w:p>
          <w:p>
            <w:pPr>
              <w:ind w:left="142" w:right="65"/>
              <w:jc w:val="both"/>
            </w:pPr>
            <w:r>
              <w:t xml:space="preserve">максимальная общая площадь объекта ИЖС – 300 кв.м.;</w:t>
            </w:r>
            <w:r/>
          </w:p>
          <w:p>
            <w:pPr>
              <w:ind w:left="142" w:right="65"/>
              <w:jc w:val="both"/>
            </w:pPr>
            <w:r>
              <w:t xml:space="preserve">максимальное количество объектов ИЖС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w:t>
            </w:r>
            <w:r/>
          </w:p>
          <w:p>
            <w:pPr>
              <w:ind w:left="142" w:right="65"/>
              <w:jc w:val="both"/>
            </w:pPr>
            <w:r>
              <w:t xml:space="preserve">максимальная высота объекта ИЖС для объектов с углом наклона кровли до 15° - 10 м, с углом наклона кровли более 15° - 13 м;</w:t>
            </w:r>
            <w:r/>
          </w:p>
          <w:p>
            <w:pPr>
              <w:ind w:left="142" w:right="65"/>
              <w:jc w:val="both"/>
            </w:pPr>
            <w:r>
              <w:t xml:space="preserve">максимальный процент застройки в границах земельного участка – 60 % (процент застройки подземной части не регламентируется).</w:t>
            </w:r>
            <w:r/>
          </w:p>
          <w:p>
            <w:pPr>
              <w:ind w:left="142" w:right="65"/>
              <w:jc w:val="both"/>
            </w:pPr>
            <w:r>
              <w:t xml:space="preserve">минимальные отступы от красной линии– 5 м или по сложившейся линии застройки; </w:t>
            </w:r>
            <w:r/>
          </w:p>
          <w:p>
            <w:pPr>
              <w:ind w:left="142" w:right="65"/>
              <w:jc w:val="both"/>
            </w:pPr>
            <w:r>
              <w:t xml:space="preserve">от иных границ – 3 м, при блокировке зданий м от границы блокирования – 0.</w:t>
            </w:r>
            <w:r/>
          </w:p>
          <w:p>
            <w:pPr>
              <w:ind w:left="142" w:right="65"/>
              <w:jc w:val="both"/>
            </w:pPr>
            <w:r>
              <w:t xml:space="preserve">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r/>
          </w:p>
          <w:p>
            <w:pPr>
              <w:ind w:left="142" w:right="65"/>
              <w:jc w:val="both"/>
            </w:pPr>
            <w:r>
              <w:t xml:space="preserve">1,0 м - для одноэтажного жилого дома;</w:t>
            </w:r>
            <w:r/>
          </w:p>
          <w:p>
            <w:pPr>
              <w:ind w:left="142" w:right="65"/>
              <w:jc w:val="both"/>
            </w:pPr>
            <w:r>
              <w:t xml:space="preserve">1,5 м - для двухэтажного жилого дома;</w:t>
            </w:r>
            <w:r/>
          </w:p>
          <w:p>
            <w:pPr>
              <w:ind w:left="142" w:right="65"/>
              <w:jc w:val="both"/>
            </w:pPr>
            <w:r>
              <w:t xml:space="preserve">2,0 м - для трехэтажного жилого дома;.</w:t>
            </w:r>
            <w:r/>
          </w:p>
          <w:p>
            <w:pPr>
              <w:ind w:left="142" w:right="65"/>
              <w:jc w:val="both"/>
            </w:pPr>
            <w:r>
              <w:t xml:space="preserve">Коэффициент использования территории не более 0,4.</w:t>
            </w:r>
            <w:r/>
          </w:p>
          <w:p>
            <w:pPr>
              <w:ind w:left="142" w:right="65"/>
              <w:jc w:val="both"/>
              <w:rPr>
                <w:rFonts w:eastAsia="SimSun"/>
                <w:lang w:eastAsia="zh-CN" w:bidi="ru-RU"/>
              </w:rPr>
            </w:pPr>
            <w:r>
              <w:t xml:space="preserve">Раздел земельных участков площадью 1,5 га и более выполнять исключительно в соответствии с утвержденной документацией по планировке территории.</w:t>
            </w:r>
            <w:r/>
          </w:p>
        </w:tc>
        <w:tc>
          <w:tcPr>
            <w:tcW w:w="3781" w:type="dxa"/>
            <w:vMerge w:val="restart"/>
            <w:textDirection w:val="lrTb"/>
            <w:noWrap w:val="false"/>
          </w:tcPr>
          <w:p>
            <w:pPr>
              <w:ind w:left="142" w:right="65"/>
              <w:jc w:val="both"/>
              <w:tabs>
                <w:tab w:val="left" w:pos="3071" w:leader="none"/>
              </w:tabs>
              <w:rPr>
                <w:shd w:val="clear" w:color="auto" w:fill="ffffff"/>
              </w:rPr>
            </w:pPr>
            <w:r>
              <w:rPr>
                <w:shd w:val="clear" w:color="auto" w:fill="ffffff"/>
              </w:rPr>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21 настоящих Правил.</w:t>
            </w:r>
            <w:r/>
          </w:p>
          <w:p>
            <w:pPr>
              <w:ind w:left="142" w:right="65"/>
              <w:jc w:val="both"/>
              <w:tabs>
                <w:tab w:val="left" w:pos="3071" w:leader="none"/>
              </w:tabs>
            </w:pPr>
            <w:r/>
            <w:r/>
          </w:p>
          <w:p>
            <w:pPr>
              <w:ind w:left="142" w:right="65"/>
              <w:jc w:val="both"/>
              <w:tabs>
                <w:tab w:val="left" w:pos="3071" w:leader="none"/>
              </w:tabs>
            </w:pPr>
            <w:r>
              <w:t xml:space="preserve">Использование земельных участков и </w:t>
            </w:r>
            <w:r>
              <w:t xml:space="preserve">объектов капитального строительства осуществлять с учетом режимов зон с особыми условиями использования территорий</w:t>
            </w:r>
            <w:r/>
          </w:p>
          <w:p>
            <w:pPr>
              <w:ind w:left="142" w:right="65"/>
              <w:jc w:val="both"/>
              <w:tabs>
                <w:tab w:val="left" w:pos="3071" w:leader="none"/>
              </w:tabs>
            </w:pPr>
            <w:r/>
            <w:r/>
          </w:p>
          <w:p>
            <w:pPr>
              <w:ind w:left="142" w:right="65"/>
              <w:jc w:val="both"/>
              <w:tabs>
                <w:tab w:val="left" w:pos="3071" w:leader="none"/>
              </w:tabs>
              <w:rPr>
                <w:rFonts w:eastAsia="SimSun"/>
                <w:lang w:eastAsia="zh-CN" w:bidi="ru-RU"/>
              </w:rPr>
            </w:pPr>
            <w:r>
              <w:rPr>
                <w:rFonts w:eastAsia="SimSun"/>
                <w:lang w:eastAsia="zh-CN" w:bidi="ru-RU"/>
              </w:rPr>
              <w:t xml:space="preserve">На территориях </w:t>
            </w:r>
            <w:r>
              <w:rPr>
                <w:rFonts w:eastAsia="SimSun"/>
                <w:lang w:eastAsia="zh-CN" w:bidi="ru-RU"/>
              </w:rPr>
              <w:t xml:space="preserve">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менее6 м.</w:t>
            </w:r>
            <w:r/>
          </w:p>
          <w:p>
            <w:pPr>
              <w:ind w:left="142" w:right="65"/>
              <w:jc w:val="both"/>
              <w:tabs>
                <w:tab w:val="left" w:pos="3071" w:leader="none"/>
              </w:tabs>
              <w:rPr>
                <w:rFonts w:eastAsia="SimSun"/>
                <w:lang w:eastAsia="zh-CN" w:bidi="ru-RU"/>
              </w:rPr>
            </w:pPr>
            <w:r>
              <w:rPr>
                <w:rFonts w:eastAsia="SimSun"/>
                <w:lang w:eastAsia="zh-CN" w:bidi="ru-RU"/>
              </w:rPr>
            </w:r>
            <w:r/>
          </w:p>
          <w:p>
            <w:pPr>
              <w:ind w:left="142" w:right="65"/>
              <w:jc w:val="both"/>
              <w:widowControl/>
              <w:rPr>
                <w:lang w:eastAsia="ru-RU"/>
              </w:rPr>
            </w:pPr>
            <w:r>
              <w:rPr>
                <w:lang w:eastAsia="ru-RU"/>
              </w:rPr>
              <w:t xml:space="preserve">Допускает</w:t>
            </w:r>
            <w:r>
              <w:rPr>
                <w:lang w:eastAsia="ru-RU"/>
              </w:rPr>
              <w:t xml:space="preserve">ся блокировка зданий, строений и сооружений, расположенных на смежных земельных участках, по письменному согласию правообладателей смежных земельных участков и (или) объектов капитального строительства, подпись которых должна быть удостоверена нотариально;</w:t>
            </w:r>
            <w:r/>
          </w:p>
          <w:p>
            <w:pPr>
              <w:ind w:left="142" w:right="65"/>
              <w:jc w:val="both"/>
              <w:widowControl/>
              <w:rPr>
                <w:lang w:eastAsia="ru-RU"/>
              </w:rPr>
            </w:pPr>
            <w:r>
              <w:rPr>
                <w:lang w:eastAsia="ru-RU"/>
              </w:rPr>
              <w:t xml:space="preserve">поднятие уровня земельного участка путем отсыпки грунта при наличии письменного согласия правообладателей смежных земельных участков, подпись которых должна быть удостоверена нотариально.</w:t>
            </w:r>
            <w:r/>
          </w:p>
          <w:p>
            <w:pPr>
              <w:ind w:left="142" w:right="65"/>
              <w:jc w:val="both"/>
              <w:widowControl/>
              <w:rPr>
                <w:lang w:eastAsia="ru-RU"/>
              </w:rPr>
            </w:pPr>
            <w:r>
              <w:rPr>
                <w:lang w:eastAsia="ru-RU"/>
              </w:rPr>
            </w:r>
            <w:r/>
          </w:p>
          <w:p>
            <w:pPr>
              <w:ind w:left="142" w:right="65"/>
              <w:jc w:val="both"/>
              <w:tabs>
                <w:tab w:val="left" w:pos="3071" w:leader="none"/>
              </w:tabs>
            </w:pPr>
            <w:r>
              <w:rPr>
                <w:rFonts w:eastAsia="SimSun"/>
                <w:lang w:eastAsia="zh-CN" w:bidi="ru-RU"/>
              </w:rPr>
              <w:t xml:space="preserve">Строите</w:t>
            </w:r>
            <w:r>
              <w:rPr>
                <w:rFonts w:eastAsia="SimSun"/>
                <w:lang w:eastAsia="zh-CN" w:bidi="ru-RU"/>
              </w:rPr>
              <w:t xml:space="preserve">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r/>
          </w:p>
          <w:p>
            <w:pPr>
              <w:ind w:left="142" w:right="65"/>
              <w:jc w:val="both"/>
              <w:tabs>
                <w:tab w:val="left" w:pos="3071" w:leader="none"/>
              </w:tabs>
            </w:pPr>
            <w:r/>
            <w:r/>
          </w:p>
          <w:p>
            <w:pPr>
              <w:ind w:left="142" w:right="65"/>
              <w:jc w:val="both"/>
              <w:tabs>
                <w:tab w:val="left" w:pos="3071" w:leader="none"/>
              </w:tabs>
              <w:rPr>
                <w:rFonts w:eastAsia="SimSun"/>
                <w:lang w:eastAsia="zh-CN" w:bidi="ru-RU"/>
              </w:rPr>
            </w:pPr>
            <w:r>
              <w:rPr>
                <w:rFonts w:eastAsia="SimSun"/>
                <w:lang w:eastAsia="zh-CN" w:bidi="ru-RU"/>
              </w:rPr>
              <w:t xml:space="preserve">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w:t>
            </w:r>
            <w:r>
              <w:rPr>
                <w:rFonts w:eastAsia="SimSun"/>
                <w:lang w:eastAsia="zh-CN" w:bidi="ru-RU"/>
              </w:rPr>
              <w:t xml:space="preserve">комплексов, а также спортивных зон общеобразовательных школ, институтов и прочих заведений.</w:t>
            </w:r>
            <w:r/>
          </w:p>
          <w:p>
            <w:pPr>
              <w:ind w:left="142" w:right="65"/>
              <w:jc w:val="both"/>
              <w:tabs>
                <w:tab w:val="left" w:pos="3071" w:leader="none"/>
              </w:tabs>
              <w:rPr>
                <w:rFonts w:eastAsia="SimSun"/>
                <w:lang w:eastAsia="zh-CN" w:bidi="ru-RU"/>
              </w:rPr>
            </w:pPr>
            <w:r>
              <w:rPr>
                <w:rFonts w:eastAsia="SimSun"/>
                <w:lang w:eastAsia="zh-CN" w:bidi="ru-RU"/>
              </w:rPr>
            </w:r>
            <w:r/>
          </w:p>
          <w:p>
            <w:pPr>
              <w:ind w:left="142" w:right="65"/>
              <w:jc w:val="both"/>
              <w:tabs>
                <w:tab w:val="left" w:pos="3071" w:leader="none"/>
              </w:tabs>
              <w:rPr>
                <w:rFonts w:eastAsia="SimSun"/>
                <w:lang w:eastAsia="zh-CN" w:bidi="ru-RU"/>
              </w:rPr>
            </w:pPr>
            <w:r>
              <w:rPr>
                <w:lang w:eastAsia="ru-RU"/>
              </w:rPr>
              <w:t xml:space="preserve">На приусадебных земельных участках содержание скота и птицы допускается лишь в районах усадебной застройки с участком размером не менее 0,1 га.</w:t>
            </w:r>
            <w:r/>
          </w:p>
          <w:p>
            <w:pPr>
              <w:ind w:left="142" w:right="65"/>
              <w:jc w:val="both"/>
              <w:tabs>
                <w:tab w:val="left" w:pos="3071" w:leader="none"/>
              </w:tabs>
            </w:pPr>
            <w:r>
              <w:rPr>
                <w:lang w:eastAsia="ru-RU"/>
              </w:rPr>
              <w:t xml:space="preserve">При проектировании МЖД необходимо учитывать требования части 1 статьи 21 настоящих правил.</w:t>
            </w:r>
            <w:r/>
          </w:p>
          <w:p>
            <w:pPr>
              <w:ind w:left="142" w:right="65"/>
              <w:jc w:val="both"/>
              <w:tabs>
                <w:tab w:val="left" w:pos="3071" w:leader="none"/>
              </w:tabs>
            </w:pPr>
            <w:r/>
            <w:r/>
          </w:p>
          <w:p>
            <w:pPr>
              <w:ind w:left="142" w:right="65"/>
              <w:jc w:val="both"/>
              <w:tabs>
                <w:tab w:val="left" w:pos="3071" w:leader="none"/>
              </w:tabs>
              <w:rPr>
                <w:lang w:eastAsia="ru-RU"/>
              </w:rPr>
            </w:pPr>
            <w:r>
              <w:rPr>
                <w:lang w:eastAsia="ru-RU"/>
              </w:rPr>
              <w:t xml:space="preserve">Перевод индивидуального жилого дома в нежилое помещение,</w:t>
            </w:r>
            <w:r>
              <w:rPr>
                <w:lang w:eastAsia="ru-RU"/>
              </w:rPr>
              <w:t xml:space="preserve">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r/>
          </w:p>
          <w:p>
            <w:pPr>
              <w:ind w:left="142" w:right="65"/>
              <w:jc w:val="both"/>
              <w:tabs>
                <w:tab w:val="left" w:pos="3071" w:leader="none"/>
              </w:tabs>
              <w:rPr>
                <w:rFonts w:eastAsia="Calibri"/>
                <w:lang w:eastAsia="en-US"/>
              </w:rPr>
            </w:pPr>
            <w:r>
              <w:rPr>
                <w:rFonts w:eastAsia="Calibri"/>
                <w:lang w:eastAsia="en-US"/>
              </w:rPr>
            </w:r>
            <w:r/>
          </w:p>
          <w:p>
            <w:pPr>
              <w:ind w:left="142" w:right="65"/>
              <w:jc w:val="both"/>
              <w:tabs>
                <w:tab w:val="left" w:pos="3071" w:leader="none"/>
              </w:tabs>
            </w:pPr>
            <w:r>
              <w:rPr>
                <w:lang w:eastAsia="ru-RU"/>
              </w:rPr>
              <w:t xml:space="preserve">Для строительства объектов в зоне затопления или подтопления необходимо предусматривать мероприятия, предусмотренные частью 10 статьи 21 настоящих Правил.</w:t>
            </w:r>
            <w:r/>
          </w:p>
          <w:p>
            <w:pPr>
              <w:ind w:left="142" w:right="65"/>
              <w:jc w:val="both"/>
              <w:rPr>
                <w:rFonts w:eastAsia="Calibri"/>
              </w:rPr>
            </w:pPr>
            <w:r>
              <w:rPr>
                <w:rFonts w:eastAsia="Calibri"/>
              </w:rPr>
            </w:r>
            <w:r/>
          </w:p>
          <w:p>
            <w:pPr>
              <w:ind w:left="142" w:right="65"/>
              <w:jc w:val="both"/>
              <w:tabs>
                <w:tab w:val="left" w:pos="3071" w:leader="none"/>
              </w:tabs>
            </w:pPr>
            <w:r>
              <w:rPr>
                <w:shd w:val="clear" w:color="auto" w:fill="ffffff"/>
                <w:lang w:eastAsia="ru-RU"/>
              </w:rPr>
              <w:t xml:space="preserve">Факт наличия </w:t>
            </w:r>
            <w:r>
              <w:rPr>
                <w:lang w:eastAsia="ru-RU"/>
              </w:rPr>
              <w:t xml:space="preserve">неблагоприятных характеристик земельного участка, а также прямая зависимость таких характеристик с испрашиваемыми отклонениями от предельных параметров</w:t>
            </w:r>
            <w:r>
              <w:rPr>
                <w:shd w:val="clear" w:color="auto" w:fill="ffffff"/>
                <w:lang w:eastAsia="ru-RU"/>
              </w:rPr>
              <w:t xml:space="preserve"> должны подтверждаться </w:t>
            </w:r>
            <w:r>
              <w:rPr>
                <w:lang w:eastAsia="ru-RU"/>
              </w:rPr>
              <w:t xml:space="preserve">заключением аккредитованных экспертов.</w:t>
            </w:r>
            <w:r/>
          </w:p>
          <w:p>
            <w:pPr>
              <w:ind w:left="142" w:right="207"/>
              <w:jc w:val="both"/>
              <w:tabs>
                <w:tab w:val="left" w:pos="3071" w:leader="none"/>
              </w:tabs>
            </w:pPr>
            <w:r/>
            <w:r/>
          </w:p>
          <w:p>
            <w:pPr>
              <w:ind w:left="142" w:right="207"/>
              <w:jc w:val="both"/>
              <w:tabs>
                <w:tab w:val="left" w:pos="3071" w:leader="none"/>
              </w:tabs>
            </w:pPr>
            <w:r>
              <w:t xml:space="preserve">Рекомендуемые размеры земельного участка для дошкольных учреждений, кв.м  на 1 место:</w:t>
            </w:r>
            <w:r/>
          </w:p>
          <w:p>
            <w:pPr>
              <w:ind w:left="142" w:right="207"/>
              <w:jc w:val="both"/>
              <w:tabs>
                <w:tab w:val="left" w:pos="3071" w:leader="none"/>
              </w:tabs>
            </w:pPr>
            <w:r>
              <w:t xml:space="preserve">для отдельно стоящих зданий при вместимости до 100 мест - 40, </w:t>
            </w:r>
            <w:r/>
          </w:p>
          <w:p>
            <w:pPr>
              <w:ind w:left="142" w:right="207"/>
              <w:jc w:val="both"/>
              <w:tabs>
                <w:tab w:val="left" w:pos="3071" w:leader="none"/>
              </w:tabs>
            </w:pPr>
            <w:r>
              <w:t xml:space="preserve">свыше 100 мест - 35, </w:t>
            </w:r>
            <w:r/>
          </w:p>
          <w:p>
            <w:pPr>
              <w:ind w:left="142" w:right="207"/>
              <w:jc w:val="both"/>
              <w:tabs>
                <w:tab w:val="left" w:pos="3071" w:leader="none"/>
              </w:tabs>
            </w:pPr>
            <w:r>
              <w:t xml:space="preserve">в комплексе яслей - садов </w:t>
            </w:r>
            <w:r/>
          </w:p>
          <w:p>
            <w:pPr>
              <w:ind w:left="142" w:right="207"/>
              <w:jc w:val="both"/>
              <w:tabs>
                <w:tab w:val="left" w:pos="3071" w:leader="none"/>
              </w:tabs>
            </w:pPr>
            <w:r>
              <w:t xml:space="preserve">свыше 500 мест - 30, </w:t>
            </w:r>
            <w:r/>
          </w:p>
          <w:p>
            <w:pPr>
              <w:ind w:left="142" w:right="207"/>
              <w:jc w:val="both"/>
              <w:tabs>
                <w:tab w:val="left" w:pos="3071" w:leader="none"/>
              </w:tabs>
            </w:pPr>
            <w:r>
              <w:t xml:space="preserve">для встроенных при вместимости более 100 мест - не менее 29.</w:t>
            </w:r>
            <w:r/>
          </w:p>
          <w:p>
            <w:pPr>
              <w:ind w:left="142" w:right="207"/>
              <w:jc w:val="both"/>
              <w:tabs>
                <w:tab w:val="left" w:pos="3071" w:leader="none"/>
              </w:tabs>
            </w:pPr>
            <w:r>
              <w:t xml:space="preserve">Размеры земельных участков могут быть уменьшены: на 25% - в условиях реконструкции; </w:t>
            </w:r>
            <w:r/>
          </w:p>
          <w:p>
            <w:pPr>
              <w:ind w:left="142" w:right="207"/>
              <w:jc w:val="both"/>
              <w:tabs>
                <w:tab w:val="left" w:pos="3071" w:leader="none"/>
              </w:tabs>
            </w:pPr>
            <w:r>
              <w:t xml:space="preserve">на 15% - при размещении на рельефе с уклоном более 20%; </w:t>
            </w:r>
            <w:r/>
          </w:p>
          <w:p>
            <w:pPr>
              <w:ind w:left="142" w:right="207"/>
              <w:jc w:val="both"/>
              <w:tabs>
                <w:tab w:val="left" w:pos="3071" w:leader="none"/>
              </w:tabs>
            </w:pPr>
            <w:r>
              <w:t xml:space="preserve">на 10% - в поселениях - новостройках (за счет сокращения площади озеленения).</w:t>
            </w:r>
            <w:r/>
          </w:p>
          <w:p>
            <w:pPr>
              <w:ind w:left="142" w:right="207"/>
              <w:jc w:val="both"/>
              <w:tabs>
                <w:tab w:val="left" w:pos="3071" w:leader="none"/>
              </w:tabs>
            </w:pPr>
            <w:r>
              <w:t xml:space="preserve">Для среднеобразовательных учреждений, кв. м на 1 место:</w:t>
            </w:r>
            <w:r/>
          </w:p>
          <w:p>
            <w:pPr>
              <w:ind w:left="142" w:right="207"/>
              <w:jc w:val="both"/>
              <w:tabs>
                <w:tab w:val="left" w:pos="3071" w:leader="none"/>
              </w:tabs>
            </w:pPr>
            <w:r>
              <w:t xml:space="preserve">при вместимости: до 400 мест – 50;  400 - 500 мест – 60; </w:t>
            </w:r>
            <w:r/>
          </w:p>
          <w:p>
            <w:pPr>
              <w:ind w:left="142" w:right="207"/>
              <w:jc w:val="both"/>
              <w:tabs>
                <w:tab w:val="left" w:pos="3071" w:leader="none"/>
              </w:tabs>
            </w:pPr>
            <w:r>
              <w:t xml:space="preserve">500 - 600 мест – 50; </w:t>
            </w:r>
            <w:r/>
          </w:p>
          <w:p>
            <w:pPr>
              <w:ind w:left="142" w:right="207"/>
              <w:jc w:val="both"/>
              <w:tabs>
                <w:tab w:val="left" w:pos="3071" w:leader="none"/>
              </w:tabs>
            </w:pPr>
            <w:r>
              <w:t xml:space="preserve">600 - 800 мест – 40; </w:t>
            </w:r>
            <w:r/>
          </w:p>
          <w:p>
            <w:pPr>
              <w:ind w:left="142" w:right="207"/>
              <w:jc w:val="both"/>
              <w:tabs>
                <w:tab w:val="left" w:pos="3071" w:leader="none"/>
              </w:tabs>
            </w:pPr>
            <w:r>
              <w:t xml:space="preserve">800 - 1100 мест – 33; </w:t>
            </w:r>
            <w:r/>
          </w:p>
          <w:p>
            <w:pPr>
              <w:ind w:left="142" w:right="207"/>
              <w:jc w:val="both"/>
              <w:tabs>
                <w:tab w:val="left" w:pos="3071" w:leader="none"/>
              </w:tabs>
            </w:pPr>
            <w:r>
              <w:t xml:space="preserve">1100 - 1500 мест – 21;</w:t>
            </w:r>
            <w:r/>
          </w:p>
          <w:p>
            <w:pPr>
              <w:ind w:left="142" w:right="207"/>
              <w:jc w:val="both"/>
              <w:tabs>
                <w:tab w:val="left" w:pos="3071" w:leader="none"/>
              </w:tabs>
            </w:pPr>
            <w:r>
              <w:t xml:space="preserve">1500 - 2000 мест – 17; </w:t>
            </w:r>
            <w:r/>
          </w:p>
          <w:p>
            <w:pPr>
              <w:ind w:left="142" w:right="207"/>
              <w:jc w:val="both"/>
              <w:tabs>
                <w:tab w:val="left" w:pos="3071" w:leader="none"/>
              </w:tabs>
            </w:pPr>
            <w:r>
              <w:t xml:space="preserve">2000 и более - 16, с учетом площади спортивной зоны и здания школы.</w:t>
            </w:r>
            <w:r/>
          </w:p>
          <w:p>
            <w:pPr>
              <w:ind w:left="142" w:right="207"/>
              <w:jc w:val="both"/>
              <w:tabs>
                <w:tab w:val="left" w:pos="3071" w:leader="none"/>
              </w:tabs>
            </w:pPr>
            <w:r>
              <w:t xml:space="preserve">В условиях реконструкции возможно уменьшение на 20 % или увеличение на 30 % - в сельских поселениях, если для организации учебно-опытной работы не предусмотрены специальные участки на землях сельскохозяйственного использования.</w:t>
            </w:r>
            <w:r/>
          </w:p>
          <w:p>
            <w:pPr>
              <w:ind w:left="142" w:right="207"/>
              <w:jc w:val="both"/>
              <w:tabs>
                <w:tab w:val="left" w:pos="3071" w:leader="none"/>
              </w:tabs>
            </w:pPr>
            <w:r>
              <w:t xml:space="preserve">В сложившейся плотной застройке, при дефиците уча</w:t>
            </w:r>
            <w:r>
              <w:t xml:space="preserve">стка территории, допускается располагать отдельные зоны территории общеобразовательной организации (физкультурно-оздоровительную, учебно-опытную и т.д.) на автономных участках, находящихся в пешеходной доступности от здания общеобразовательной организации.</w:t>
            </w:r>
            <w:r/>
          </w:p>
          <w:p>
            <w:pPr>
              <w:ind w:left="142" w:right="207"/>
              <w:jc w:val="both"/>
              <w:tabs>
                <w:tab w:val="left" w:pos="3071" w:leader="none"/>
              </w:tabs>
            </w:pPr>
            <w:r/>
            <w:r/>
          </w:p>
          <w:p>
            <w:pPr>
              <w:ind w:left="142" w:right="207"/>
              <w:jc w:val="both"/>
              <w:tabs>
                <w:tab w:val="left" w:pos="3071" w:leader="none"/>
              </w:tabs>
              <w:rPr>
                <w:rFonts w:eastAsia="SimSun"/>
                <w:lang w:eastAsia="zh-CN" w:bidi="ru-RU"/>
              </w:rPr>
            </w:pPr>
            <w:r>
              <w:rPr>
                <w:rFonts w:eastAsia="SimSun"/>
                <w:lang w:eastAsia="zh-CN" w:bidi="ru-RU"/>
              </w:rPr>
              <w:t xml:space="preserve">Наземные стоянки и парковки для обеспечения планируемых к строительству или реконструкции </w:t>
            </w:r>
            <w:r>
              <w:rPr>
                <w:rFonts w:eastAsia="SimSun"/>
                <w:lang w:eastAsia="zh-CN" w:bidi="ru-RU"/>
              </w:rPr>
              <w:t xml:space="preserve">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r/>
          </w:p>
          <w:p>
            <w:pPr>
              <w:ind w:left="142" w:right="207"/>
              <w:jc w:val="both"/>
              <w:tabs>
                <w:tab w:val="left" w:pos="3071" w:leader="none"/>
              </w:tabs>
              <w:rPr>
                <w:rFonts w:eastAsia="SimSun"/>
                <w:lang w:eastAsia="zh-CN" w:bidi="ru-RU"/>
              </w:rPr>
            </w:pPr>
            <w:r>
              <w:rPr>
                <w:rFonts w:eastAsia="SimSun"/>
                <w:lang w:eastAsia="zh-CN" w:bidi="ru-RU"/>
              </w:rPr>
            </w:r>
            <w:r/>
          </w:p>
          <w:p>
            <w:pPr>
              <w:ind w:left="142" w:right="207"/>
              <w:jc w:val="both"/>
              <w:tabs>
                <w:tab w:val="left" w:pos="3071" w:leader="none"/>
              </w:tabs>
            </w:pPr>
            <w: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r/>
          </w:p>
          <w:p>
            <w:pPr>
              <w:ind w:left="142" w:right="207"/>
              <w:jc w:val="both"/>
              <w:widowControl/>
              <w:rPr>
                <w:lang w:eastAsia="ru-RU"/>
              </w:rPr>
            </w:pPr>
            <w:r>
              <w:rPr>
                <w:lang w:eastAsia="ru-RU"/>
              </w:rPr>
            </w:r>
            <w:r/>
          </w:p>
          <w:p>
            <w:pPr>
              <w:ind w:left="142" w:right="207"/>
              <w:jc w:val="both"/>
              <w:widowControl/>
              <w:rPr>
                <w:lang w:eastAsia="ru-RU"/>
              </w:rPr>
            </w:pPr>
            <w:r>
              <w:rPr>
                <w:lang w:eastAsia="ru-RU"/>
              </w:rPr>
              <w:t xml:space="preserve">Объекты по оказанию услуг и обслуживанию населения допускается размещать в отдельно стоящих, встроенных или пристроенных строениях с изолированными от жилых зданий или их частей входами с учетом следующих условий:</w:t>
            </w:r>
            <w:r/>
          </w:p>
          <w:p>
            <w:pPr>
              <w:ind w:left="142" w:right="207"/>
              <w:jc w:val="both"/>
              <w:widowControl/>
              <w:rPr>
                <w:lang w:eastAsia="ru-RU"/>
              </w:rPr>
            </w:pPr>
            <w:r>
              <w:rPr>
                <w:lang w:eastAsia="ru-RU"/>
              </w:rPr>
              <w:t xml:space="preserve">обустройство входа с созданием условий для беспрепятственного доступа маломобильных граждан к месту получения услуги (обслуживания);</w:t>
            </w:r>
            <w:r/>
          </w:p>
          <w:p>
            <w:pPr>
              <w:ind w:left="142" w:right="207"/>
              <w:jc w:val="both"/>
              <w:widowControl/>
              <w:rPr>
                <w:lang w:eastAsia="ru-RU"/>
              </w:rPr>
            </w:pPr>
            <w:r>
              <w:rPr>
                <w:lang w:eastAsia="ru-RU"/>
              </w:rPr>
              <w:t xml:space="preserve">оборудование площадок для стоянки автомобилей посетителей;</w:t>
            </w:r>
            <w:r/>
          </w:p>
          <w:p>
            <w:pPr>
              <w:ind w:left="142" w:right="207"/>
              <w:jc w:val="both"/>
              <w:widowControl/>
              <w:tabs>
                <w:tab w:val="left" w:pos="416" w:leader="none"/>
                <w:tab w:val="left" w:pos="1266" w:leader="none"/>
              </w:tabs>
              <w:rPr>
                <w:lang w:eastAsia="ru-RU"/>
              </w:rPr>
            </w:pPr>
            <w:r>
              <w:rPr>
                <w:lang w:eastAsia="ru-RU"/>
              </w:rPr>
              <w:t xml:space="preserve">соблюдение норм благоустройства, установленных соответствующими муниципальными правовыми актами.</w:t>
            </w:r>
            <w:r/>
          </w:p>
          <w:p>
            <w:pPr>
              <w:ind w:left="142" w:right="207"/>
              <w:jc w:val="both"/>
              <w:widowControl/>
              <w:tabs>
                <w:tab w:val="left" w:pos="416" w:leader="none"/>
                <w:tab w:val="left" w:pos="1266" w:leader="none"/>
              </w:tabs>
              <w:rPr>
                <w:lang w:eastAsia="ru-RU"/>
              </w:rPr>
            </w:pPr>
            <w:r>
              <w:rPr>
                <w:lang w:eastAsia="ru-RU"/>
              </w:rPr>
            </w:r>
            <w:r/>
          </w:p>
          <w:p>
            <w:pPr>
              <w:ind w:left="142" w:right="207"/>
              <w:jc w:val="both"/>
              <w:rPr>
                <w:rFonts w:eastAsia="Calibri"/>
              </w:rPr>
            </w:pPr>
            <w:r>
              <w:rPr>
                <w:rFonts w:eastAsia="Calibri"/>
              </w:rPr>
              <w:t xml:space="preserve">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r/>
          </w:p>
          <w:p>
            <w:pPr>
              <w:ind w:left="142" w:right="207"/>
              <w:jc w:val="both"/>
              <w:rPr>
                <w:rFonts w:eastAsia="Calibri"/>
              </w:rPr>
            </w:pPr>
            <w:r>
              <w:rPr>
                <w:lang w:eastAsia="ru-RU"/>
              </w:rPr>
              <w:t xml:space="preserve">Расчетное количество машино-мест (парковочных мест) на автостоянках для парковки автомобилей в границах отведенного земельного участка для объектов общественного назначения следует принимать в значениях, указанных в части 8 статьи 19 настоящих Правил.</w:t>
            </w:r>
            <w:r/>
          </w:p>
          <w:p>
            <w:pPr>
              <w:ind w:left="142" w:right="207"/>
              <w:jc w:val="both"/>
              <w:rPr>
                <w:rFonts w:eastAsia="Calibri"/>
              </w:rPr>
            </w:pPr>
            <w:r>
              <w:rPr>
                <w:rFonts w:eastAsia="Calibri"/>
              </w:rPr>
            </w:r>
            <w:r/>
          </w:p>
          <w:p>
            <w:pPr>
              <w:ind w:left="142" w:right="207"/>
              <w:jc w:val="both"/>
              <w:rPr>
                <w:rFonts w:eastAsia="Calibri"/>
              </w:rPr>
            </w:pPr>
            <w:r>
              <w:rPr>
                <w:rFonts w:eastAsia="Calibri"/>
              </w:rPr>
              <w:t xml:space="preserve">Допус</w:t>
            </w:r>
            <w:r>
              <w:rPr>
                <w:rFonts w:eastAsia="Calibri"/>
              </w:rPr>
              <w:t xml:space="preserve">кается размещение парковок на землях общего пользования при наличии таких парковок с необходимым количеством парковочных мест по письменному согласованию с органами местного самоуправления сельского поселения в соответствии с действующим законодательством.</w:t>
            </w:r>
            <w:r/>
          </w:p>
          <w:p>
            <w:pPr>
              <w:ind w:left="142" w:right="207"/>
              <w:jc w:val="both"/>
              <w:rPr>
                <w:rFonts w:eastAsia="Calibri"/>
              </w:rPr>
            </w:pPr>
            <w:r>
              <w:rPr>
                <w:rFonts w:eastAsia="Calibri"/>
              </w:rPr>
            </w:r>
            <w:r/>
          </w:p>
          <w:p>
            <w:pPr>
              <w:ind w:left="142" w:right="207"/>
              <w:jc w:val="both"/>
              <w:rPr>
                <w:shd w:val="clear" w:color="auto" w:fill="ffffff"/>
              </w:rPr>
            </w:pPr>
            <w:r>
              <w:rPr>
                <w:rFonts w:eastAsia="Calibri"/>
              </w:rPr>
              <w:t xml:space="preserve">При отсутствии в материалах проектной документации расчета СЗЗ, СЗЗ принимать в соответствии с СанПиН</w:t>
            </w:r>
            <w:r>
              <w:rPr>
                <w:shd w:val="clear" w:color="auto" w:fill="ffffff"/>
              </w:rPr>
              <w:t xml:space="preserve">2.2.1/2.1.1.1200-03 "</w:t>
            </w:r>
            <w:r>
              <w:rPr>
                <w:bCs/>
                <w:shd w:val="clear" w:color="auto" w:fill="ffffff"/>
              </w:rPr>
              <w:t xml:space="preserve">Санитарно защитные</w:t>
            </w:r>
            <w:r>
              <w:rPr>
                <w:shd w:val="clear" w:color="auto" w:fill="ffffff"/>
              </w:rPr>
              <w:t xml:space="preserve"> </w:t>
            </w:r>
            <w:r>
              <w:rPr>
                <w:bCs/>
                <w:shd w:val="clear" w:color="auto" w:fill="ffffff"/>
              </w:rPr>
              <w:t xml:space="preserve">зоны</w:t>
            </w:r>
            <w:r>
              <w:rPr>
                <w:shd w:val="clear" w:color="auto" w:fill="ffffff"/>
              </w:rPr>
              <w:t xml:space="preserve"> и </w:t>
            </w:r>
            <w:r>
              <w:rPr>
                <w:bCs/>
                <w:shd w:val="clear" w:color="auto" w:fill="ffffff"/>
              </w:rPr>
              <w:t xml:space="preserve">санитарная</w:t>
            </w:r>
            <w:r>
              <w:rPr>
                <w:shd w:val="clear" w:color="auto" w:fill="ffffff"/>
              </w:rPr>
              <w:t xml:space="preserve"> </w:t>
            </w:r>
            <w:r>
              <w:rPr>
                <w:bCs/>
                <w:shd w:val="clear" w:color="auto" w:fill="ffffff"/>
              </w:rPr>
              <w:t xml:space="preserve">классификация</w:t>
            </w:r>
            <w:r>
              <w:rPr>
                <w:shd w:val="clear" w:color="auto" w:fill="ffffff"/>
              </w:rPr>
              <w:t xml:space="preserve"> </w:t>
            </w:r>
            <w:r>
              <w:rPr>
                <w:bCs/>
                <w:shd w:val="clear" w:color="auto" w:fill="ffffff"/>
              </w:rPr>
              <w:t xml:space="preserve">предприятий</w:t>
            </w:r>
            <w:r>
              <w:rPr>
                <w:shd w:val="clear" w:color="auto" w:fill="ffffff"/>
              </w:rPr>
              <w:t xml:space="preserve">, </w:t>
            </w:r>
            <w:r>
              <w:rPr>
                <w:bCs/>
                <w:shd w:val="clear" w:color="auto" w:fill="ffffff"/>
              </w:rPr>
              <w:t xml:space="preserve">сооружений</w:t>
            </w:r>
            <w:r>
              <w:rPr>
                <w:shd w:val="clear" w:color="auto" w:fill="ffffff"/>
              </w:rPr>
              <w:t xml:space="preserve"> и иных объектов".</w:t>
            </w:r>
            <w:r/>
          </w:p>
          <w:p>
            <w:pPr>
              <w:ind w:left="142" w:right="207"/>
              <w:jc w:val="both"/>
              <w:tabs>
                <w:tab w:val="left" w:pos="3071" w:leader="none"/>
              </w:tabs>
              <w:rPr>
                <w:rFonts w:eastAsia="SimSun"/>
                <w:lang w:eastAsia="zh-CN" w:bidi="ru-RU"/>
              </w:rPr>
            </w:pPr>
            <w:r>
              <w:rPr>
                <w:rFonts w:eastAsia="SimSun"/>
                <w:lang w:eastAsia="zh-CN" w:bidi="ru-RU"/>
              </w:rPr>
            </w:r>
            <w:r/>
          </w:p>
          <w:p>
            <w:pPr>
              <w:ind w:left="142" w:right="207"/>
              <w:jc w:val="both"/>
              <w:rPr>
                <w:rFonts w:eastAsia="Calibri"/>
              </w:rPr>
            </w:pPr>
            <w:r>
              <w:rPr>
                <w:shd w:val="clear" w:color="auto" w:fill="ffffff"/>
              </w:rPr>
              <w:t xml:space="preserve">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w:t>
            </w:r>
            <w:r/>
          </w:p>
          <w:p>
            <w:pPr>
              <w:ind w:left="142" w:right="207"/>
              <w:jc w:val="both"/>
              <w:rPr>
                <w:rFonts w:cs="Arial"/>
                <w:lang w:eastAsia="ru-RU"/>
              </w:rPr>
            </w:pPr>
            <w:r>
              <w:rPr>
                <w:rFonts w:cs="Arial"/>
                <w:lang w:eastAsia="ru-RU"/>
              </w:rPr>
              <w:t xml:space="preserve">Режимы использования земель и требования к градостроительным регламентам в границах зон охраны объекта культурного наследия не применяются к правоотношениям, связанны</w:t>
            </w:r>
            <w:r>
              <w:rPr>
                <w:rFonts w:cs="Arial"/>
                <w:lang w:eastAsia="ru-RU"/>
              </w:rPr>
              <w:t xml:space="preserve">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 до вступления в силу правового акта об утверждении зон охраны объекта культурного наследия.</w:t>
            </w:r>
            <w:r/>
          </w:p>
          <w:p>
            <w:pPr>
              <w:ind w:left="142" w:right="207"/>
              <w:jc w:val="both"/>
              <w:rPr>
                <w:rFonts w:cs="Arial"/>
                <w:lang w:eastAsia="ru-RU"/>
              </w:rPr>
            </w:pPr>
            <w:r>
              <w:rPr>
                <w:rFonts w:cs="Arial"/>
                <w:lang w:eastAsia="ru-RU"/>
              </w:rPr>
              <w:t xml:space="preserve">  Реконструкция объектов капитального строительства и их частей может осуществляться только путем приведения таких объектов в соответствие с режимами </w:t>
            </w:r>
            <w:r>
              <w:rPr>
                <w:rFonts w:cs="Arial"/>
                <w:lang w:eastAsia="ru-RU"/>
              </w:rPr>
              <w:t xml:space="preserve">использования земель и градостроительными регламентами, установленными в границах зон охраны объекта культурного наследия, или путем уменьшения их несоответствия установленным предельным параметрам разрешенного строительства.</w:t>
            </w:r>
            <w:r/>
          </w:p>
          <w:p>
            <w:pPr>
              <w:ind w:left="142" w:right="207"/>
              <w:jc w:val="both"/>
              <w:rPr>
                <w:rFonts w:cs="Arial"/>
                <w:lang w:eastAsia="ru-RU"/>
              </w:rPr>
            </w:pPr>
            <w:r>
              <w:rPr>
                <w:rFonts w:cs="Arial"/>
                <w:lang w:eastAsia="ru-RU"/>
              </w:rPr>
              <w:t xml:space="preserve">На территориях общего пользования не разрешается возведение объектов капитального с</w:t>
            </w:r>
            <w:r>
              <w:rPr>
                <w:rFonts w:cs="Arial"/>
                <w:lang w:eastAsia="ru-RU"/>
              </w:rPr>
              <w:t xml:space="preserve">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r/>
          </w:p>
          <w:p>
            <w:pPr>
              <w:ind w:left="142" w:right="207"/>
              <w:jc w:val="both"/>
              <w:rPr>
                <w:rFonts w:cs="Arial"/>
                <w:lang w:eastAsia="ru-RU"/>
              </w:rPr>
            </w:pPr>
            <w:r>
              <w:rPr>
                <w:rFonts w:cs="Arial"/>
                <w:lang w:eastAsia="ru-RU"/>
              </w:rPr>
              <w:t xml:space="preserve">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r/>
          </w:p>
        </w:tc>
      </w:tr>
      <w:tr>
        <w:trPr>
          <w:trHeight w:val="284"/>
        </w:trPr>
        <w:tc>
          <w:tcPr>
            <w:tcW w:w="2562" w:type="dxa"/>
            <w:textDirection w:val="lrTb"/>
            <w:noWrap w:val="false"/>
          </w:tcPr>
          <w:p>
            <w:pPr>
              <w:ind w:left="142" w:right="207"/>
            </w:pPr>
            <w:r>
              <w:t xml:space="preserve">[2.2]</w:t>
            </w:r>
            <w:r/>
          </w:p>
          <w:p>
            <w:pPr>
              <w:ind w:left="142" w:right="207"/>
            </w:pPr>
            <w:r>
              <w:t xml:space="preserve">Для ведения личного подсобного хозяйства (приусадебный земельный участок) </w:t>
            </w:r>
            <w:r/>
          </w:p>
        </w:tc>
        <w:tc>
          <w:tcPr>
            <w:gridSpan w:val="2"/>
            <w:tcW w:w="4320" w:type="dxa"/>
            <w:textDirection w:val="lrTb"/>
            <w:noWrap w:val="false"/>
          </w:tcPr>
          <w:p>
            <w:pPr>
              <w:ind w:left="142" w:right="207"/>
              <w:jc w:val="both"/>
              <w:widowControl/>
            </w:pPr>
            <w:r>
              <w:t xml:space="preserve"> Размещение жилого дома, указанного в описании вида разрешенного использования с </w:t>
            </w:r>
            <w:hyperlink r:id="rId57" w:tooltip="../Правила/Кавказская%20зона%202020%20новое%20ИЗМЕНЕНИЯ.doc#sub_1021" w:anchor="sub_1021" w:history="1">
              <w:r>
                <w:rPr>
                  <w:rFonts w:eastAsia="SimSun"/>
                </w:rPr>
                <w:t xml:space="preserve">кодом 2.1</w:t>
              </w:r>
            </w:hyperlink>
            <w:r>
              <w:t xml:space="preserve">;</w:t>
            </w:r>
            <w:r/>
          </w:p>
          <w:p>
            <w:pPr>
              <w:ind w:left="142" w:right="207"/>
              <w:jc w:val="both"/>
              <w:widowControl/>
            </w:pPr>
            <w:r>
              <w:t xml:space="preserve">производство сельскохозяйственной продукции;</w:t>
            </w:r>
            <w:r/>
          </w:p>
          <w:p>
            <w:pPr>
              <w:ind w:left="142" w:right="207"/>
              <w:jc w:val="both"/>
              <w:widowControl/>
            </w:pPr>
            <w:r>
              <w:t xml:space="preserve">размещение гаража и иных вспомогательных сооружений;</w:t>
            </w:r>
            <w:r/>
          </w:p>
          <w:p>
            <w:pPr>
              <w:ind w:left="142" w:right="207"/>
              <w:jc w:val="both"/>
            </w:pPr>
            <w:r>
              <w:t xml:space="preserve">содержание сельскохозяйственных животных</w:t>
            </w:r>
            <w:r/>
          </w:p>
        </w:tc>
        <w:tc>
          <w:tcPr>
            <w:tcW w:w="4610" w:type="dxa"/>
            <w:textDirection w:val="lrTb"/>
            <w:noWrap w:val="false"/>
          </w:tcPr>
          <w:p>
            <w:pPr>
              <w:ind w:left="142" w:right="207"/>
              <w:jc w:val="both"/>
              <w:tabs>
                <w:tab w:val="left" w:pos="5660" w:leader="none"/>
              </w:tabs>
            </w:pPr>
            <w:r>
              <w:t xml:space="preserve">минимальная/максимальная площадь земельных участков –600/5000 кв. м;</w:t>
            </w:r>
            <w:r/>
          </w:p>
          <w:p>
            <w:pPr>
              <w:ind w:left="142" w:right="207"/>
              <w:jc w:val="both"/>
              <w:tabs>
                <w:tab w:val="left" w:pos="5660" w:leader="none"/>
              </w:tabs>
            </w:pPr>
            <w:r>
              <w:t xml:space="preserve">минимальная ширина земельных участков вдоль фронта улицы (проезда) – 12 м; </w:t>
            </w:r>
            <w:r/>
          </w:p>
          <w:p>
            <w:pPr>
              <w:ind w:left="142" w:right="207"/>
              <w:jc w:val="both"/>
              <w:tabs>
                <w:tab w:val="left" w:pos="5660" w:leader="none"/>
              </w:tabs>
            </w:pPr>
            <w:r>
              <w:t xml:space="preserve">максимальное количество надземных этажей зданий – 3 этажа (включая мансардный этаж); </w:t>
            </w:r>
            <w:r/>
          </w:p>
          <w:p>
            <w:pPr>
              <w:ind w:left="142" w:right="207"/>
              <w:jc w:val="both"/>
              <w:tabs>
                <w:tab w:val="left" w:pos="5660" w:leader="none"/>
              </w:tabs>
            </w:pPr>
            <w:r>
              <w:t xml:space="preserve">максимальная высота зданий от уровня земли до верха перекрытия последнего этажа (или конька кровли) -  20  м;</w:t>
            </w:r>
            <w:r/>
          </w:p>
          <w:p>
            <w:pPr>
              <w:ind w:left="142" w:right="207"/>
              <w:jc w:val="both"/>
              <w:tabs>
                <w:tab w:val="left" w:pos="5660" w:leader="none"/>
              </w:tabs>
            </w:pPr>
            <w:r>
              <w:t xml:space="preserve">максимальный процент застройки в границах земельного участка – 60 %; </w:t>
            </w:r>
            <w:r/>
          </w:p>
          <w:p>
            <w:pPr>
              <w:ind w:left="142" w:right="207"/>
              <w:jc w:val="both"/>
              <w:tabs>
                <w:tab w:val="left" w:pos="5660" w:leader="none"/>
              </w:tabs>
            </w:pPr>
            <w:r>
              <w:t xml:space="preserve">минимальные отступы от красной линии – 5 м или по линии застройки в сложившейся застройке; </w:t>
            </w:r>
            <w:r/>
          </w:p>
          <w:p>
            <w:pPr>
              <w:ind w:left="142" w:right="207"/>
              <w:jc w:val="both"/>
              <w:tabs>
                <w:tab w:val="left" w:pos="5660" w:leader="none"/>
              </w:tabs>
            </w:pPr>
            <w:r>
              <w:t xml:space="preserve">от иных границ – 3 м, при блокировке зданий от </w:t>
            </w:r>
            <w:r>
              <w:t xml:space="preserve">границы блокирования – 0 м.</w:t>
            </w:r>
            <w:r/>
          </w:p>
          <w:p>
            <w:pPr>
              <w:ind w:left="142" w:right="207"/>
              <w:jc w:val="both"/>
              <w:tabs>
                <w:tab w:val="left" w:pos="5660" w:leader="none"/>
              </w:tabs>
            </w:pPr>
            <w:r>
              <w:t xml:space="preserve">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r/>
          </w:p>
          <w:p>
            <w:pPr>
              <w:ind w:left="142" w:right="207"/>
              <w:jc w:val="both"/>
              <w:tabs>
                <w:tab w:val="left" w:pos="5660" w:leader="none"/>
              </w:tabs>
            </w:pPr>
            <w:r>
              <w:t xml:space="preserve">1,0 м - для одноэтажного жилого дома;</w:t>
            </w:r>
            <w:r/>
          </w:p>
          <w:p>
            <w:pPr>
              <w:ind w:left="142" w:right="207"/>
              <w:jc w:val="both"/>
              <w:tabs>
                <w:tab w:val="left" w:pos="5660" w:leader="none"/>
              </w:tabs>
            </w:pPr>
            <w:r>
              <w:t xml:space="preserve">1,5 м - для двухэтажного жилого дома;</w:t>
            </w:r>
            <w:r/>
          </w:p>
          <w:p>
            <w:pPr>
              <w:ind w:left="142" w:right="207"/>
              <w:jc w:val="both"/>
              <w:tabs>
                <w:tab w:val="left" w:pos="5660" w:leader="none"/>
              </w:tabs>
            </w:pPr>
            <w:r>
              <w:t xml:space="preserve">2,0 м - для трехэтажного жилого дома.</w:t>
            </w:r>
            <w:r/>
          </w:p>
          <w:p>
            <w:pPr>
              <w:ind w:left="142" w:right="207"/>
              <w:jc w:val="both"/>
              <w:rPr>
                <w:rFonts w:eastAsia="SimSun"/>
                <w:lang w:eastAsia="zh-CN" w:bidi="ru-RU"/>
              </w:rPr>
            </w:pPr>
            <w:r>
              <w:t xml:space="preserve">минимальный/максимальный коэффициент использования территории - 0,4 - 0,6</w:t>
            </w:r>
            <w:r/>
          </w:p>
        </w:tc>
        <w:tc>
          <w:tcPr>
            <w:tcW w:w="3781" w:type="dxa"/>
            <w:vMerge w:val="continue"/>
            <w:textDirection w:val="lrTb"/>
            <w:noWrap w:val="false"/>
          </w:tcPr>
          <w:p>
            <w:pPr>
              <w:ind w:left="142" w:right="207"/>
              <w:jc w:val="both"/>
              <w:rPr>
                <w:shd w:val="clear" w:color="auto" w:fill="ffffff"/>
              </w:rPr>
            </w:pPr>
            <w:r>
              <w:rPr>
                <w:shd w:val="clear" w:color="auto" w:fill="ffffff"/>
              </w:rPr>
            </w:r>
            <w:r/>
          </w:p>
        </w:tc>
      </w:tr>
      <w:tr>
        <w:trPr>
          <w:trHeight w:val="284"/>
        </w:trPr>
        <w:tc>
          <w:tcPr>
            <w:tcW w:w="2562" w:type="dxa"/>
            <w:textDirection w:val="lrTb"/>
            <w:noWrap w:val="false"/>
          </w:tcPr>
          <w:p>
            <w:pPr>
              <w:ind w:left="142" w:right="207"/>
            </w:pPr>
            <w:r>
              <w:t xml:space="preserve">[2.3.]  </w:t>
            </w:r>
            <w:r/>
          </w:p>
          <w:p>
            <w:pPr>
              <w:ind w:left="142" w:right="207"/>
            </w:pPr>
            <w:r>
              <w:t xml:space="preserve">Блокированная жилая застройка</w:t>
            </w:r>
            <w:r/>
          </w:p>
        </w:tc>
        <w:tc>
          <w:tcPr>
            <w:gridSpan w:val="2"/>
            <w:tcW w:w="4320" w:type="dxa"/>
            <w:textDirection w:val="lrTb"/>
            <w:noWrap w:val="false"/>
          </w:tcPr>
          <w:p>
            <w:pPr>
              <w:ind w:left="142" w:right="207"/>
              <w:jc w:val="both"/>
            </w:pPr>
            <w:r>
              <w:rPr>
                <w:shd w:val="clear" w:color="auto" w:fill="ffffff"/>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w:t>
            </w:r>
            <w:r>
              <w:rPr>
                <w:shd w:val="clear" w:color="auto" w:fill="ffffff"/>
              </w:rPr>
              <w:t xml:space="preserve">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r/>
          </w:p>
        </w:tc>
        <w:tc>
          <w:tcPr>
            <w:tcW w:w="4610" w:type="dxa"/>
            <w:textDirection w:val="lrTb"/>
            <w:noWrap w:val="false"/>
          </w:tcPr>
          <w:p>
            <w:pPr>
              <w:ind w:left="142" w:right="207"/>
              <w:jc w:val="both"/>
              <w:tabs>
                <w:tab w:val="left" w:pos="5642" w:leader="none"/>
              </w:tabs>
            </w:pPr>
            <w:r>
              <w:t xml:space="preserve">минимальная/максимальная площадь земельных участков –100/2000 кв. м. </w:t>
            </w:r>
            <w:r/>
          </w:p>
          <w:p>
            <w:pPr>
              <w:ind w:left="142" w:right="207"/>
              <w:jc w:val="both"/>
              <w:tabs>
                <w:tab w:val="left" w:pos="5642" w:leader="none"/>
              </w:tabs>
            </w:pPr>
            <w:r>
              <w:t xml:space="preserve">минимальная ширина земельных участков вдоль фронта улицы (проезда) – 6 м; </w:t>
            </w:r>
            <w:r/>
          </w:p>
          <w:p>
            <w:pPr>
              <w:ind w:left="142" w:right="207"/>
              <w:jc w:val="both"/>
              <w:tabs>
                <w:tab w:val="left" w:pos="5642" w:leader="none"/>
              </w:tabs>
            </w:pPr>
            <w:r>
              <w:t xml:space="preserve">максимальное количество надземных этажей зданий – 3 этажа (включая мансардный этаж); </w:t>
            </w:r>
            <w:r/>
          </w:p>
          <w:p>
            <w:pPr>
              <w:ind w:left="142" w:right="207"/>
              <w:jc w:val="both"/>
              <w:tabs>
                <w:tab w:val="left" w:pos="5642" w:leader="none"/>
              </w:tabs>
            </w:pPr>
            <w:r>
              <w:t xml:space="preserve">максимальная высота зданий от уровня земли до верха перекрытия последнего этажа (или конька кровли) - 20 м;</w:t>
            </w:r>
            <w:r/>
          </w:p>
          <w:p>
            <w:pPr>
              <w:ind w:left="142" w:right="207"/>
              <w:jc w:val="both"/>
              <w:tabs>
                <w:tab w:val="left" w:pos="5642" w:leader="none"/>
              </w:tabs>
            </w:pPr>
            <w:r>
              <w:t xml:space="preserve">максимальный процент застройки в границах земельного участка – 60%.</w:t>
            </w:r>
            <w:r/>
          </w:p>
          <w:p>
            <w:pPr>
              <w:ind w:left="142" w:right="207"/>
              <w:jc w:val="both"/>
              <w:tabs>
                <w:tab w:val="left" w:pos="5642" w:leader="none"/>
              </w:tabs>
            </w:pPr>
            <w:r>
              <w:t xml:space="preserve">Процент застройки подземной части не регламентируется.</w:t>
            </w:r>
            <w:r/>
          </w:p>
          <w:p>
            <w:pPr>
              <w:ind w:left="142" w:right="207"/>
              <w:jc w:val="both"/>
              <w:tabs>
                <w:tab w:val="left" w:pos="5642" w:leader="none"/>
              </w:tabs>
            </w:pPr>
            <w:r>
              <w:t xml:space="preserve">Минимальные отступы от красной линии – 5 м или по линии застройки в сложившейся застройке; </w:t>
            </w:r>
            <w:r/>
          </w:p>
          <w:p>
            <w:pPr>
              <w:ind w:left="142" w:right="207"/>
              <w:jc w:val="both"/>
              <w:tabs>
                <w:tab w:val="left" w:pos="5642" w:leader="none"/>
              </w:tabs>
            </w:pPr>
            <w:r>
              <w:t xml:space="preserve">от иных границ – 3 м, за исключением блокировки жилых домов, в таких случаях блокированные дома располагаются по границе общей стеной (без проемов) с отступом 0 м,</w:t>
            </w:r>
            <w:r/>
          </w:p>
          <w:p>
            <w:pPr>
              <w:ind w:left="142" w:right="207"/>
            </w:pPr>
            <w:r>
              <w:t xml:space="preserve">минимальный коэффициент использования территории  – 0,8; максимальный – 1,6.</w:t>
            </w:r>
            <w:r/>
          </w:p>
        </w:tc>
        <w:tc>
          <w:tcPr>
            <w:tcW w:w="3781" w:type="dxa"/>
            <w:vMerge w:val="continue"/>
            <w:textDirection w:val="lrTb"/>
            <w:noWrap w:val="false"/>
          </w:tcPr>
          <w:p>
            <w:pPr>
              <w:ind w:left="142" w:right="207"/>
              <w:jc w:val="both"/>
              <w:rPr>
                <w:shd w:val="clear" w:color="auto" w:fill="ffffff"/>
              </w:rPr>
            </w:pPr>
            <w:r>
              <w:rPr>
                <w:shd w:val="clear" w:color="auto" w:fill="ffffff"/>
              </w:rPr>
            </w:r>
            <w:r/>
          </w:p>
        </w:tc>
      </w:tr>
      <w:tr>
        <w:trPr>
          <w:trHeight w:val="284"/>
        </w:trPr>
        <w:tc>
          <w:tcPr>
            <w:tcW w:w="2562" w:type="dxa"/>
            <w:textDirection w:val="lrTb"/>
            <w:noWrap w:val="false"/>
          </w:tcPr>
          <w:p>
            <w:pPr>
              <w:ind w:left="142" w:right="207"/>
            </w:pPr>
            <w:r>
              <w:t xml:space="preserve">[2.1.1]  Малоэтажная многоквартирная жилая застройка</w:t>
            </w:r>
            <w:r/>
          </w:p>
        </w:tc>
        <w:tc>
          <w:tcPr>
            <w:tcW w:w="4314" w:type="dxa"/>
            <w:textDirection w:val="lrTb"/>
            <w:noWrap w:val="false"/>
          </w:tcPr>
          <w:p>
            <w:pPr>
              <w:ind w:left="142" w:right="207"/>
              <w:jc w:val="both"/>
            </w:pPr>
            <w:r>
              <w:t xml:space="preserve">Размещение малоэтажных многоквартирных домов (многоквартирные дома высотой до 4 этажей, включая мансардный);</w:t>
            </w:r>
            <w:r/>
          </w:p>
          <w:p>
            <w:pPr>
              <w:ind w:left="142" w:right="207"/>
              <w:jc w:val="both"/>
              <w:rPr>
                <w:lang w:eastAsia="ru-RU" w:bidi="ru-RU"/>
              </w:rPr>
            </w:pPr>
            <w:r>
              <w:rPr>
                <w:lang w:eastAsia="ru-RU" w:bidi="ru-RU"/>
              </w:rPr>
              <w:t xml:space="preserve">обустройство спортивных и детских площадок, площадок для отдыха;</w:t>
            </w:r>
            <w:r/>
          </w:p>
          <w:p>
            <w:pPr>
              <w:ind w:left="142" w:right="207"/>
              <w:jc w:val="both"/>
            </w:pPr>
            <w:r>
              <w:rPr>
                <w:lang w:eastAsia="ru-RU" w:bidi="ru-RU"/>
              </w:rPr>
              <w:t xml:space="preserve">размещение объе</w:t>
            </w:r>
            <w:r>
              <w:rPr>
                <w:lang w:eastAsia="ru-RU" w:bidi="ru-RU"/>
              </w:rPr>
              <w:t xml:space="preserve">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r/>
          </w:p>
          <w:p>
            <w:pPr>
              <w:ind w:left="142" w:right="207"/>
              <w:jc w:val="both"/>
              <w:rPr>
                <w:strike/>
              </w:rPr>
            </w:pPr>
            <w:r>
              <w:rPr>
                <w:strike/>
              </w:rPr>
            </w:r>
            <w:r/>
          </w:p>
        </w:tc>
        <w:tc>
          <w:tcPr>
            <w:gridSpan w:val="2"/>
            <w:tcW w:w="4616" w:type="dxa"/>
            <w:textDirection w:val="lrTb"/>
            <w:noWrap w:val="false"/>
          </w:tcPr>
          <w:p>
            <w:pPr>
              <w:ind w:left="142" w:right="207"/>
              <w:jc w:val="both"/>
              <w:tabs>
                <w:tab w:val="left" w:pos="3071" w:leader="none"/>
              </w:tabs>
            </w:pPr>
            <w:r>
              <w:t xml:space="preserve">Минимальная/максимальная площадь земельных участков   – 1000/10000 кв.м;</w:t>
            </w:r>
            <w:r/>
          </w:p>
          <w:p>
            <w:pPr>
              <w:ind w:left="142" w:right="207"/>
              <w:jc w:val="both"/>
              <w:tabs>
                <w:tab w:val="left" w:pos="3071" w:leader="none"/>
              </w:tabs>
            </w:pPr>
            <w:r>
              <w:t xml:space="preserve">минимальная ширина земельных участков вдоль фронта улицы (проезда) – не регламентируется;</w:t>
            </w:r>
            <w:r/>
          </w:p>
          <w:p>
            <w:pPr>
              <w:ind w:left="142" w:right="207"/>
              <w:jc w:val="both"/>
              <w:tabs>
                <w:tab w:val="left" w:pos="3071" w:leader="none"/>
              </w:tabs>
            </w:pPr>
            <w:r>
              <w:t xml:space="preserve">максимальное количество надземных этажей зданий – 4 этажа (включая мансардный этаж); </w:t>
            </w:r>
            <w:r/>
          </w:p>
          <w:p>
            <w:pPr>
              <w:ind w:left="142" w:right="207"/>
              <w:jc w:val="both"/>
              <w:tabs>
                <w:tab w:val="left" w:pos="3071" w:leader="none"/>
              </w:tabs>
            </w:pPr>
            <w:r>
              <w:t xml:space="preserve">максимальная высота зданий от уровня земли до верха перекрытия последнего этажа (или конька кровли) -25 м;</w:t>
            </w:r>
            <w:r/>
          </w:p>
          <w:p>
            <w:pPr>
              <w:ind w:left="142" w:right="207"/>
              <w:jc w:val="both"/>
              <w:tabs>
                <w:tab w:val="left" w:pos="3071" w:leader="none"/>
              </w:tabs>
            </w:pPr>
            <w:r>
              <w:t xml:space="preserve">максимальный процент застройки в границах земельного участка – 40%; </w:t>
            </w:r>
            <w:r/>
          </w:p>
          <w:p>
            <w:pPr>
              <w:ind w:left="142" w:right="207"/>
              <w:jc w:val="both"/>
              <w:tabs>
                <w:tab w:val="left" w:pos="3071" w:leader="none"/>
              </w:tabs>
            </w:pPr>
            <w:r>
              <w:t xml:space="preserve">при реконструкции – 60%;</w:t>
            </w:r>
            <w:r/>
          </w:p>
          <w:p>
            <w:pPr>
              <w:ind w:left="142" w:right="207"/>
              <w:jc w:val="both"/>
              <w:tabs>
                <w:tab w:val="left" w:pos="3071" w:leader="none"/>
              </w:tabs>
            </w:pPr>
            <w:r>
              <w:t xml:space="preserve">минимальный/максимальный коэффициент использования территории – 0,4/ 0,8;</w:t>
            </w:r>
            <w:r/>
          </w:p>
          <w:p>
            <w:pPr>
              <w:ind w:left="142" w:right="207"/>
              <w:jc w:val="both"/>
              <w:tabs>
                <w:tab w:val="left" w:pos="3071" w:leader="none"/>
              </w:tabs>
            </w:pPr>
            <w:r>
              <w:t xml:space="preserve">Процент застройки подземной части не регламентируется.</w:t>
            </w:r>
            <w:r/>
          </w:p>
          <w:p>
            <w:pPr>
              <w:ind w:left="142" w:right="207"/>
              <w:jc w:val="both"/>
              <w:tabs>
                <w:tab w:val="left" w:pos="3071" w:leader="none"/>
              </w:tabs>
            </w:pPr>
            <w:r>
              <w:t xml:space="preserve">Минимальный процент озеленения земельного участка для всех типов многоквартирной жилой застройки – 15%.</w:t>
            </w:r>
            <w:r/>
          </w:p>
          <w:p>
            <w:pPr>
              <w:ind w:left="142" w:right="207"/>
              <w:jc w:val="both"/>
              <w:tabs>
                <w:tab w:val="left" w:pos="3071" w:leader="none"/>
              </w:tabs>
            </w:pPr>
            <w:r>
              <w:t xml:space="preserve">Минимальные отступы до красной линии – 5 м или по линии застройки в сложившейся застройке при реконструкции; до иных границ – 3 м. </w:t>
            </w:r>
            <w:r/>
          </w:p>
          <w:p>
            <w:pPr>
              <w:ind w:left="142" w:right="65"/>
              <w:jc w:val="both"/>
              <w:tabs>
                <w:tab w:val="left" w:pos="3071" w:leader="none"/>
              </w:tabs>
              <w:rPr>
                <w:rFonts w:eastAsia="Calibri"/>
                <w:lang w:eastAsia="en-US"/>
              </w:rPr>
            </w:pPr>
            <w:r>
              <w:rPr>
                <w:rFonts w:eastAsia="Calibri"/>
                <w:lang w:eastAsia="en-US"/>
              </w:rPr>
              <w:t xml:space="preserve">Устройство ограждений земельных участков многоквартирных домов не допускается.</w:t>
            </w:r>
            <w:r/>
          </w:p>
        </w:tc>
        <w:tc>
          <w:tcPr>
            <w:tcW w:w="3781" w:type="dxa"/>
            <w:textDirection w:val="lrTb"/>
            <w:noWrap w:val="false"/>
          </w:tcPr>
          <w:p>
            <w:pPr>
              <w:ind w:left="142" w:right="207"/>
              <w:jc w:val="both"/>
              <w:rPr>
                <w:rFonts w:eastAsia="SimSun"/>
                <w:lang w:eastAsia="zh-CN" w:bidi="ru-RU"/>
              </w:rPr>
            </w:pPr>
            <w:r>
              <w:rPr>
                <w:rFonts w:eastAsia="SimSun"/>
                <w:lang w:eastAsia="zh-CN" w:bidi="ru-RU"/>
              </w:rPr>
            </w:r>
            <w:r/>
          </w:p>
        </w:tc>
      </w:tr>
      <w:tr>
        <w:trPr>
          <w:trHeight w:val="284"/>
        </w:trPr>
        <w:tc>
          <w:tcPr>
            <w:tcW w:w="2562" w:type="dxa"/>
            <w:textDirection w:val="lrTb"/>
            <w:noWrap w:val="false"/>
          </w:tcPr>
          <w:p>
            <w:pPr>
              <w:ind w:left="142" w:right="207"/>
              <w:rPr>
                <w:rFonts w:eastAsia="SimSun"/>
                <w:lang w:eastAsia="zh-CN" w:bidi="ru-RU"/>
              </w:rPr>
            </w:pPr>
            <w:r>
              <w:rPr>
                <w:rFonts w:eastAsia="SimSun"/>
                <w:lang w:eastAsia="zh-CN" w:bidi="ru-RU"/>
              </w:rPr>
              <w:t xml:space="preserve">[3.5.1] - Дошкольное, начальное и среднее общее образование</w:t>
            </w:r>
            <w:r/>
          </w:p>
        </w:tc>
        <w:tc>
          <w:tcPr>
            <w:gridSpan w:val="2"/>
            <w:tcW w:w="4320" w:type="dxa"/>
            <w:textDirection w:val="lrTb"/>
            <w:noWrap w:val="false"/>
          </w:tcPr>
          <w:p>
            <w:pPr>
              <w:ind w:left="142" w:right="207"/>
              <w:jc w:val="both"/>
              <w:rPr>
                <w:rFonts w:eastAsia="SimSun"/>
                <w:lang w:eastAsia="zh-CN" w:bidi="ru-RU"/>
              </w:rPr>
            </w:pPr>
            <w:r>
              <w:rPr>
                <w:lang w:eastAsia="ru-RU" w:bidi="ru-RU"/>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w:t>
            </w:r>
            <w:r>
              <w:rPr>
                <w:lang w:eastAsia="ru-RU" w:bidi="ru-RU"/>
              </w:rPr>
              <w:t xml:space="preserve">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r/>
          </w:p>
        </w:tc>
        <w:tc>
          <w:tcPr>
            <w:tcW w:w="4610" w:type="dxa"/>
            <w:textDirection w:val="lrTb"/>
            <w:noWrap w:val="false"/>
          </w:tcPr>
          <w:p>
            <w:pPr>
              <w:ind w:left="142" w:right="207"/>
              <w:jc w:val="both"/>
              <w:tabs>
                <w:tab w:val="left" w:pos="3071" w:leader="none"/>
              </w:tabs>
            </w:pPr>
            <w:r>
              <w:t xml:space="preserve">Минимальная/максимальная площадь земельных участков   – 700/10000 кв. м;</w:t>
            </w:r>
            <w:r/>
          </w:p>
          <w:p>
            <w:pPr>
              <w:ind w:left="142" w:right="207"/>
              <w:jc w:val="both"/>
              <w:tabs>
                <w:tab w:val="left" w:pos="3071" w:leader="none"/>
              </w:tabs>
            </w:pPr>
            <w:r>
              <w:t xml:space="preserve">максимальное количество надземных этажей зданий – 3 этажа; </w:t>
            </w:r>
            <w:r/>
          </w:p>
          <w:p>
            <w:pPr>
              <w:ind w:left="142" w:right="207"/>
              <w:jc w:val="both"/>
              <w:tabs>
                <w:tab w:val="left" w:pos="3071" w:leader="none"/>
              </w:tabs>
            </w:pPr>
            <w:r>
              <w:t xml:space="preserve">максимальная высота зданий от уровня земли до верха перекрытия последнего этажа (или конька кровли) - 20 м;</w:t>
            </w:r>
            <w:r/>
          </w:p>
          <w:p>
            <w:pPr>
              <w:ind w:left="142" w:right="207"/>
              <w:jc w:val="both"/>
              <w:tabs>
                <w:tab w:val="left" w:pos="3071" w:leader="none"/>
              </w:tabs>
            </w:pPr>
            <w:r>
              <w:t xml:space="preserve">максимальный процент застройки – 40%;</w:t>
            </w:r>
            <w:r/>
          </w:p>
          <w:p>
            <w:pPr>
              <w:ind w:left="142" w:right="207"/>
              <w:jc w:val="both"/>
              <w:tabs>
                <w:tab w:val="left" w:pos="3071" w:leader="none"/>
              </w:tabs>
            </w:pPr>
            <w:r>
              <w:t xml:space="preserve">коэффициент использования территории не более - 2,4;</w:t>
            </w:r>
            <w:r/>
          </w:p>
          <w:p>
            <w:pPr>
              <w:ind w:left="142" w:right="207"/>
              <w:jc w:val="both"/>
              <w:tabs>
                <w:tab w:val="left" w:pos="3071" w:leader="none"/>
              </w:tabs>
            </w:pPr>
            <w:r>
              <w:t xml:space="preserve">минимальные отступы от красной линии до дошкольных    образовательных учреждений и общеобразовательных школ (от стены здания) -10 м или по сложившейся линии застройки при реконструкции; </w:t>
            </w:r>
            <w:r/>
          </w:p>
          <w:p>
            <w:pPr>
              <w:ind w:left="142" w:right="207"/>
              <w:jc w:val="both"/>
              <w:tabs>
                <w:tab w:val="left" w:pos="3071" w:leader="none"/>
              </w:tabs>
            </w:pPr>
            <w:r>
              <w:t xml:space="preserve">минимальные отступы от границ земельных участков до зданий, строений, сооружений – 3 м;  </w:t>
            </w:r>
            <w:r/>
          </w:p>
          <w:p>
            <w:pPr>
              <w:ind w:left="142" w:right="207"/>
              <w:jc w:val="both"/>
              <w:tabs>
                <w:tab w:val="left" w:pos="3071" w:leader="none"/>
              </w:tabs>
            </w:pPr>
            <w:r>
              <w:t xml:space="preserve">Минимальный процент озеленения земельного участка 30%.</w:t>
            </w:r>
            <w:r/>
          </w:p>
        </w:tc>
        <w:tc>
          <w:tcPr>
            <w:tcW w:w="3781" w:type="dxa"/>
            <w:vMerge w:val="restart"/>
            <w:textDirection w:val="lrTb"/>
            <w:noWrap w:val="false"/>
          </w:tcPr>
          <w:p>
            <w:pPr>
              <w:ind w:left="142" w:right="207"/>
              <w:jc w:val="both"/>
              <w:rPr>
                <w:rFonts w:eastAsia="Calibri"/>
              </w:rPr>
            </w:pPr>
            <w:r>
              <w:rPr>
                <w:rFonts w:eastAsia="Calibri"/>
              </w:rPr>
            </w:r>
            <w:r/>
          </w:p>
        </w:tc>
      </w:tr>
      <w:tr>
        <w:trPr>
          <w:trHeight w:val="284"/>
        </w:trPr>
        <w:tc>
          <w:tcPr>
            <w:tcW w:w="2562" w:type="dxa"/>
            <w:textDirection w:val="lrTb"/>
            <w:noWrap w:val="false"/>
          </w:tcPr>
          <w:p>
            <w:pPr>
              <w:ind w:left="142" w:right="207"/>
              <w:jc w:val="both"/>
              <w:tabs>
                <w:tab w:val="left" w:pos="728" w:leader="none"/>
              </w:tabs>
            </w:pPr>
            <w:r>
              <w:t xml:space="preserve">[3.1.1.] Предоставление коммунальных услуг</w:t>
            </w:r>
            <w:r/>
          </w:p>
        </w:tc>
        <w:tc>
          <w:tcPr>
            <w:gridSpan w:val="2"/>
            <w:tcW w:w="4320" w:type="dxa"/>
            <w:textDirection w:val="lrTb"/>
            <w:noWrap w:val="false"/>
          </w:tcPr>
          <w:p>
            <w:pPr>
              <w:ind w:left="142" w:right="207"/>
              <w:jc w:val="both"/>
            </w:pPr>
            <w: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w:t>
            </w:r>
            <w:r>
              <w:t xml:space="preserve">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r/>
          </w:p>
        </w:tc>
        <w:tc>
          <w:tcPr>
            <w:tcW w:w="4610" w:type="dxa"/>
            <w:textDirection w:val="lrTb"/>
            <w:noWrap w:val="false"/>
          </w:tcPr>
          <w:p>
            <w:pPr>
              <w:ind w:left="142" w:right="207"/>
              <w:jc w:val="both"/>
            </w:pPr>
            <w:r>
              <w:t xml:space="preserve">Минимальная/максимальная площадь земельных участков – 10 /1000 кв. м</w:t>
            </w:r>
            <w:r/>
          </w:p>
          <w:p>
            <w:pPr>
              <w:ind w:left="142" w:right="207"/>
              <w:jc w:val="both"/>
            </w:pPr>
            <w:r>
              <w:t xml:space="preserve">максимальное количество надземных этажей зданий – 2 этажа;</w:t>
            </w:r>
            <w:r/>
          </w:p>
          <w:p>
            <w:pPr>
              <w:ind w:left="142" w:right="207"/>
              <w:jc w:val="both"/>
            </w:pPr>
            <w:r>
              <w:t xml:space="preserve">максимальная высота зданий, строений, сооружений от уровня земли - 20 м;</w:t>
            </w:r>
            <w:r/>
          </w:p>
          <w:p>
            <w:pPr>
              <w:ind w:left="142" w:right="207"/>
              <w:jc w:val="both"/>
            </w:pPr>
            <w:r>
              <w:t xml:space="preserve">максимальный процент застройки в границах земельного участка – 60%;  </w:t>
            </w:r>
            <w:r/>
          </w:p>
          <w:p>
            <w:pPr>
              <w:ind w:left="142" w:right="207"/>
              <w:jc w:val="both"/>
            </w:pPr>
            <w:r>
              <w:t xml:space="preserve">минимальные отступы до основного строения от красной линии – 5 м или по сложившейся линии застройки. Для линейных объектов минимальные отступы – не регламентируются; до иных границ – 3 м.</w:t>
            </w:r>
            <w:r/>
          </w:p>
          <w:p>
            <w:pPr>
              <w:ind w:left="142" w:right="207"/>
              <w:jc w:val="both"/>
            </w:pPr>
            <w:r>
              <w:t xml:space="preserve">Минимальный процент озеленения земельного участка 15% (за исключением линейных объектов).</w:t>
            </w:r>
            <w:r/>
          </w:p>
        </w:tc>
        <w:tc>
          <w:tcPr>
            <w:tcW w:w="3781" w:type="dxa"/>
            <w:vMerge w:val="continue"/>
            <w:textDirection w:val="lrTb"/>
            <w:noWrap w:val="false"/>
          </w:tcPr>
          <w:p>
            <w:pPr>
              <w:ind w:left="142" w:right="207"/>
              <w:jc w:val="both"/>
              <w:rPr>
                <w:rFonts w:eastAsia="SimSun"/>
                <w:lang w:eastAsia="zh-CN" w:bidi="ru-RU"/>
              </w:rPr>
            </w:pPr>
            <w:r>
              <w:rPr>
                <w:rFonts w:eastAsia="SimSun"/>
                <w:lang w:eastAsia="zh-CN" w:bidi="ru-RU"/>
              </w:rPr>
            </w:r>
            <w:r/>
          </w:p>
        </w:tc>
      </w:tr>
      <w:tr>
        <w:trPr>
          <w:trHeight w:val="284"/>
        </w:trPr>
        <w:tc>
          <w:tcPr>
            <w:tcW w:w="2562" w:type="dxa"/>
            <w:textDirection w:val="lrTb"/>
            <w:noWrap w:val="false"/>
          </w:tcPr>
          <w:p>
            <w:pPr>
              <w:ind w:left="142" w:right="207"/>
            </w:pPr>
            <w:r>
              <w:t xml:space="preserve">[3.1.2.] Административные здания организаций, </w:t>
            </w:r>
            <w:r>
              <w:t xml:space="preserve">обеспечивающих предоставление коммунальных услуг</w:t>
            </w:r>
            <w:r/>
          </w:p>
          <w:p>
            <w:pPr>
              <w:ind w:left="142" w:right="207"/>
              <w:jc w:val="both"/>
            </w:pPr>
            <w:r/>
            <w:r/>
          </w:p>
        </w:tc>
        <w:tc>
          <w:tcPr>
            <w:gridSpan w:val="2"/>
            <w:tcW w:w="4320" w:type="dxa"/>
            <w:textDirection w:val="lrTb"/>
            <w:noWrap w:val="false"/>
          </w:tcPr>
          <w:p>
            <w:pPr>
              <w:ind w:left="142" w:right="207"/>
              <w:jc w:val="both"/>
            </w:pPr>
            <w:r>
              <w:t xml:space="preserve">Размещение зданий, предназначенных</w:t>
            </w:r>
            <w:r>
              <w:br/>
              <w:t xml:space="preserve"> для приема физических и юридических лиц в связи с предоставлением им коммунальных </w:t>
            </w:r>
            <w:r>
              <w:t xml:space="preserve">услуг</w:t>
            </w:r>
            <w:r/>
          </w:p>
          <w:p>
            <w:pPr>
              <w:ind w:left="142" w:right="207"/>
              <w:jc w:val="both"/>
            </w:pPr>
            <w:r/>
            <w:r/>
          </w:p>
        </w:tc>
        <w:tc>
          <w:tcPr>
            <w:tcW w:w="4610" w:type="dxa"/>
            <w:textDirection w:val="lrTb"/>
            <w:noWrap w:val="false"/>
          </w:tcPr>
          <w:p>
            <w:pPr>
              <w:ind w:left="142" w:right="207"/>
              <w:jc w:val="both"/>
            </w:pPr>
            <w:r>
              <w:t xml:space="preserve">Минимальная/максимальная площадь земельных участков – 150 /1000 кв. м</w:t>
            </w:r>
            <w:r/>
          </w:p>
          <w:p>
            <w:pPr>
              <w:ind w:left="142" w:right="207"/>
              <w:jc w:val="both"/>
            </w:pPr>
            <w:r>
              <w:t xml:space="preserve">максимальное количество надземных этажей </w:t>
            </w:r>
            <w:r>
              <w:t xml:space="preserve">зданий – 2 этажа;</w:t>
            </w:r>
            <w:r/>
          </w:p>
          <w:p>
            <w:pPr>
              <w:ind w:left="142" w:right="207"/>
              <w:jc w:val="both"/>
            </w:pPr>
            <w:r>
              <w:t xml:space="preserve">максимальная высота зданий, строений, сооружений от уровня земли - 20 м;</w:t>
            </w:r>
            <w:r/>
          </w:p>
          <w:p>
            <w:pPr>
              <w:ind w:left="142" w:right="207"/>
              <w:jc w:val="both"/>
            </w:pPr>
            <w:r>
              <w:t xml:space="preserve">максимальный процент застройки в границах земельного участка – 60%;  </w:t>
            </w:r>
            <w:r/>
          </w:p>
          <w:p>
            <w:pPr>
              <w:ind w:left="142" w:right="207"/>
              <w:jc w:val="both"/>
            </w:pPr>
            <w:r>
              <w:t xml:space="preserve">минимальные отступы до основного строения от красной линии – 5 м или по сложившейся линии застройки; до иных границ – 3 м.</w:t>
            </w:r>
            <w:r/>
          </w:p>
          <w:p>
            <w:pPr>
              <w:ind w:left="142" w:right="207"/>
              <w:jc w:val="both"/>
            </w:pPr>
            <w:r>
              <w:t xml:space="preserve">Минимальный процент озеленения земельного участка 15%.</w:t>
            </w:r>
            <w:r/>
          </w:p>
        </w:tc>
        <w:tc>
          <w:tcPr>
            <w:tcW w:w="3781" w:type="dxa"/>
            <w:vMerge w:val="continue"/>
            <w:textDirection w:val="lrTb"/>
            <w:noWrap w:val="false"/>
          </w:tcPr>
          <w:p>
            <w:pPr>
              <w:ind w:left="142" w:right="207"/>
              <w:jc w:val="both"/>
              <w:rPr>
                <w:shd w:val="clear" w:color="auto" w:fill="ffffff"/>
              </w:rPr>
            </w:pPr>
            <w:r>
              <w:rPr>
                <w:shd w:val="clear" w:color="auto" w:fill="ffffff"/>
              </w:rPr>
            </w:r>
            <w:r/>
          </w:p>
        </w:tc>
      </w:tr>
      <w:tr>
        <w:trPr>
          <w:trHeight w:val="284"/>
        </w:trPr>
        <w:tc>
          <w:tcPr>
            <w:tcW w:w="2562" w:type="dxa"/>
            <w:textDirection w:val="lrTb"/>
            <w:noWrap w:val="false"/>
          </w:tcPr>
          <w:p>
            <w:pPr>
              <w:ind w:left="142" w:right="207"/>
              <w:rPr>
                <w:lang w:eastAsia="ru-RU" w:bidi="ru-RU"/>
              </w:rPr>
            </w:pPr>
            <w:r>
              <w:rPr>
                <w:lang w:eastAsia="ru-RU" w:bidi="ru-RU"/>
              </w:rPr>
              <w:t xml:space="preserve">[3.2.2] </w:t>
            </w:r>
            <w:r/>
          </w:p>
          <w:p>
            <w:pPr>
              <w:ind w:left="142" w:right="207"/>
              <w:rPr>
                <w:lang w:eastAsia="ru-RU" w:bidi="ru-RU"/>
              </w:rPr>
            </w:pPr>
            <w:r>
              <w:rPr>
                <w:lang w:eastAsia="ru-RU" w:bidi="ru-RU"/>
              </w:rPr>
              <w:t xml:space="preserve">Оказание социальной помощи населению</w:t>
            </w:r>
            <w:r/>
          </w:p>
        </w:tc>
        <w:tc>
          <w:tcPr>
            <w:gridSpan w:val="2"/>
            <w:tcW w:w="4320" w:type="dxa"/>
            <w:textDirection w:val="lrTb"/>
            <w:noWrap w:val="false"/>
          </w:tcPr>
          <w:p>
            <w:pPr>
              <w:ind w:left="142" w:right="207"/>
              <w:rPr>
                <w:lang w:eastAsia="ru-RU" w:bidi="ru-RU"/>
              </w:rPr>
            </w:pPr>
            <w:r>
              <w:rPr>
                <w:lang w:eastAsia="ru-RU" w:bidi="ru-RU"/>
              </w:rPr>
              <w:t xml:space="preserve">Размещение зданий, предназначенных для служб психологической и бесплатной юридической помощи, социальных, пенсионных и иных слу</w:t>
            </w:r>
            <w:r>
              <w:rPr>
                <w:lang w:eastAsia="ru-RU" w:bidi="ru-RU"/>
              </w:rPr>
              <w:t xml:space="preserve">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r/>
          </w:p>
          <w:p>
            <w:pPr>
              <w:ind w:left="142" w:right="207"/>
              <w:rPr>
                <w:lang w:eastAsia="ru-RU" w:bidi="ru-RU"/>
              </w:rPr>
            </w:pPr>
            <w:r>
              <w:rPr>
                <w:lang w:eastAsia="ru-RU" w:bidi="ru-RU"/>
              </w:rPr>
              <w:t xml:space="preserve">некоммерческих фондов, благотворительных </w:t>
            </w:r>
            <w:r>
              <w:rPr>
                <w:lang w:eastAsia="ru-RU" w:bidi="ru-RU"/>
              </w:rPr>
              <w:br/>
              <w:t xml:space="preserve">организаций, клубов по интересам</w:t>
            </w:r>
            <w:r/>
          </w:p>
        </w:tc>
        <w:tc>
          <w:tcPr>
            <w:tcW w:w="4610" w:type="dxa"/>
            <w:textDirection w:val="lrTb"/>
            <w:noWrap w:val="false"/>
          </w:tcPr>
          <w:p>
            <w:pPr>
              <w:ind w:left="142" w:right="207"/>
              <w:jc w:val="both"/>
              <w:tabs>
                <w:tab w:val="left" w:pos="3071" w:leader="none"/>
              </w:tabs>
            </w:pPr>
            <w:r>
              <w:t xml:space="preserve">Минимальная/максимальная площадь земельных участков   – 150/1000 кв. м;</w:t>
            </w:r>
            <w:r/>
          </w:p>
          <w:p>
            <w:pPr>
              <w:ind w:left="142" w:right="207"/>
              <w:jc w:val="both"/>
              <w:tabs>
                <w:tab w:val="left" w:pos="3071" w:leader="none"/>
              </w:tabs>
            </w:pPr>
            <w:r>
              <w:t xml:space="preserve">максимальное количество надземных этажей зданий – 2 этажа; </w:t>
            </w:r>
            <w:r/>
          </w:p>
          <w:p>
            <w:pPr>
              <w:ind w:left="142" w:right="207"/>
              <w:jc w:val="both"/>
              <w:tabs>
                <w:tab w:val="left" w:pos="3071" w:leader="none"/>
              </w:tabs>
            </w:pPr>
            <w:r>
              <w:t xml:space="preserve">максимальная высота зданий от уровня земли до верха перекрытия последнего этажа (или конька кровли) - 12 м;</w:t>
            </w:r>
            <w:r/>
          </w:p>
          <w:p>
            <w:pPr>
              <w:ind w:left="142" w:right="207"/>
              <w:jc w:val="both"/>
              <w:tabs>
                <w:tab w:val="left" w:pos="3071" w:leader="none"/>
              </w:tabs>
            </w:pPr>
            <w:r>
              <w:t xml:space="preserve">максимальный процент застройки – 60%;</w:t>
            </w:r>
            <w:r/>
          </w:p>
          <w:p>
            <w:pPr>
              <w:ind w:left="142" w:right="207"/>
              <w:jc w:val="both"/>
            </w:pPr>
            <w:r>
              <w:t xml:space="preserve">минимальные отступы до основного строения от красной линии – 5 м или по сложившейся линии застройки; до иных границ – 3 м.</w:t>
            </w:r>
            <w:r/>
          </w:p>
          <w:p>
            <w:pPr>
              <w:ind w:left="142" w:right="207"/>
              <w:rPr>
                <w:lang w:eastAsia="ru-RU" w:bidi="ru-RU"/>
              </w:rPr>
            </w:pPr>
            <w:r>
              <w:t xml:space="preserve">минимальный процент озеленения земельного участка 15%.</w:t>
            </w:r>
            <w:r/>
          </w:p>
        </w:tc>
        <w:tc>
          <w:tcPr>
            <w:tcW w:w="3781" w:type="dxa"/>
            <w:vMerge w:val="continue"/>
            <w:textDirection w:val="lrTb"/>
            <w:noWrap w:val="false"/>
          </w:tcPr>
          <w:p>
            <w:pPr>
              <w:ind w:left="142" w:right="207"/>
              <w:jc w:val="both"/>
              <w:rPr>
                <w:shd w:val="clear" w:color="auto" w:fill="ffffff"/>
              </w:rPr>
            </w:pPr>
            <w:r>
              <w:rPr>
                <w:shd w:val="clear" w:color="auto" w:fill="ffffff"/>
              </w:rPr>
            </w:r>
            <w:r/>
          </w:p>
        </w:tc>
      </w:tr>
      <w:tr>
        <w:trPr>
          <w:trHeight w:val="284"/>
        </w:trPr>
        <w:tc>
          <w:tcPr>
            <w:tcW w:w="2562" w:type="dxa"/>
            <w:textDirection w:val="lrTb"/>
            <w:noWrap w:val="false"/>
          </w:tcPr>
          <w:p>
            <w:pPr>
              <w:ind w:left="142" w:right="207"/>
              <w:rPr>
                <w:rFonts w:eastAsia="SimSun"/>
                <w:lang w:eastAsia="zh-CN" w:bidi="ru-RU"/>
              </w:rPr>
            </w:pPr>
            <w:r>
              <w:rPr>
                <w:rFonts w:eastAsia="SimSun"/>
                <w:lang w:eastAsia="zh-CN" w:bidi="ru-RU"/>
              </w:rPr>
              <w:t xml:space="preserve">[</w:t>
            </w:r>
            <w:r>
              <w:rPr>
                <w:lang w:eastAsia="zh-CN" w:bidi="ru-RU"/>
              </w:rPr>
              <w:t xml:space="preserve">3.3</w:t>
            </w:r>
            <w:r>
              <w:rPr>
                <w:rFonts w:eastAsia="SimSun"/>
                <w:lang w:eastAsia="zh-CN" w:bidi="ru-RU"/>
              </w:rPr>
              <w:t xml:space="preserve">] </w:t>
            </w:r>
            <w:r/>
          </w:p>
          <w:p>
            <w:pPr>
              <w:ind w:left="142" w:right="207"/>
              <w:rPr>
                <w:rFonts w:eastAsia="SimSun"/>
                <w:lang w:eastAsia="zh-CN" w:bidi="ru-RU"/>
              </w:rPr>
            </w:pPr>
            <w:r>
              <w:rPr>
                <w:rFonts w:eastAsia="SimSun"/>
                <w:lang w:eastAsia="zh-CN" w:bidi="ru-RU"/>
              </w:rPr>
              <w:t xml:space="preserve">Бытовое обслуживание</w:t>
            </w:r>
            <w:r/>
          </w:p>
          <w:p>
            <w:pPr>
              <w:ind w:left="142" w:right="207"/>
              <w:rPr>
                <w:rFonts w:eastAsia="SimSun"/>
                <w:lang w:eastAsia="zh-CN" w:bidi="ru-RU"/>
              </w:rPr>
            </w:pPr>
            <w:r>
              <w:rPr>
                <w:rFonts w:eastAsia="SimSun"/>
                <w:lang w:eastAsia="zh-CN" w:bidi="ru-RU"/>
              </w:rPr>
            </w:r>
            <w:r/>
          </w:p>
        </w:tc>
        <w:tc>
          <w:tcPr>
            <w:gridSpan w:val="2"/>
            <w:tcW w:w="4320" w:type="dxa"/>
            <w:textDirection w:val="lrTb"/>
            <w:noWrap w:val="false"/>
          </w:tcPr>
          <w:p>
            <w:pPr>
              <w:ind w:left="142" w:right="207"/>
              <w:rPr>
                <w:rFonts w:eastAsia="SimSun"/>
                <w:lang w:eastAsia="zh-CN" w:bidi="ru-RU"/>
              </w:rPr>
            </w:pPr>
            <w:r>
              <w:rPr>
                <w:lang w:eastAsia="ru-RU" w:bidi="ru-RU"/>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p>
        </w:tc>
        <w:tc>
          <w:tcPr>
            <w:tcW w:w="4610" w:type="dxa"/>
            <w:textDirection w:val="lrTb"/>
            <w:noWrap w:val="false"/>
          </w:tcPr>
          <w:p>
            <w:pPr>
              <w:ind w:left="142" w:right="207"/>
              <w:jc w:val="both"/>
              <w:tabs>
                <w:tab w:val="left" w:pos="3071" w:leader="none"/>
              </w:tabs>
            </w:pPr>
            <w:r>
              <w:t xml:space="preserve">Минимальная/максимальная площадь земельных участков   – 100/1000 кв. м;</w:t>
            </w:r>
            <w:r/>
          </w:p>
          <w:p>
            <w:pPr>
              <w:ind w:left="142" w:right="207"/>
              <w:jc w:val="both"/>
              <w:tabs>
                <w:tab w:val="left" w:pos="3071" w:leader="none"/>
              </w:tabs>
            </w:pPr>
            <w:r>
              <w:t xml:space="preserve">максимальное количество надземных этажей зданий – 2 этажа; </w:t>
            </w:r>
            <w:r/>
          </w:p>
          <w:p>
            <w:pPr>
              <w:ind w:left="142" w:right="207"/>
              <w:jc w:val="both"/>
              <w:tabs>
                <w:tab w:val="left" w:pos="3071" w:leader="none"/>
              </w:tabs>
            </w:pPr>
            <w:r>
              <w:t xml:space="preserve">максимальная высота зданий от уровня земли до верха перекрытия последнего этажа (или конька кровли) - 12 м;</w:t>
            </w:r>
            <w:r/>
          </w:p>
          <w:p>
            <w:pPr>
              <w:ind w:left="142" w:right="207"/>
              <w:jc w:val="both"/>
              <w:tabs>
                <w:tab w:val="left" w:pos="3071" w:leader="none"/>
              </w:tabs>
            </w:pPr>
            <w:r>
              <w:t xml:space="preserve">максимальный процент застройки – 60%;</w:t>
            </w:r>
            <w:r/>
          </w:p>
          <w:p>
            <w:pPr>
              <w:ind w:left="142" w:right="207"/>
              <w:jc w:val="both"/>
              <w:tabs>
                <w:tab w:val="left" w:pos="3071" w:leader="none"/>
              </w:tabs>
            </w:pPr>
            <w:r>
              <w:t xml:space="preserve">минимальные отступы от красной линии -5 м; от иных границ – 3 м;  </w:t>
            </w:r>
            <w:r/>
          </w:p>
          <w:p>
            <w:pPr>
              <w:ind w:left="142" w:right="207"/>
              <w:jc w:val="both"/>
            </w:pPr>
            <w:r>
              <w:t xml:space="preserve">минимальный земельного участка 15%.</w:t>
            </w:r>
            <w:r/>
          </w:p>
        </w:tc>
        <w:tc>
          <w:tcPr>
            <w:tcW w:w="3781" w:type="dxa"/>
            <w:vMerge w:val="continue"/>
            <w:textDirection w:val="lrTb"/>
            <w:noWrap w:val="false"/>
          </w:tcPr>
          <w:p>
            <w:pPr>
              <w:ind w:left="142" w:right="207"/>
              <w:jc w:val="both"/>
              <w:rPr>
                <w:shd w:val="clear" w:color="auto" w:fill="ffffff"/>
              </w:rPr>
            </w:pPr>
            <w:r>
              <w:rPr>
                <w:shd w:val="clear" w:color="auto" w:fill="ffffff"/>
              </w:rPr>
            </w:r>
            <w:r/>
          </w:p>
        </w:tc>
      </w:tr>
      <w:tr>
        <w:trPr>
          <w:trHeight w:val="284"/>
        </w:trPr>
        <w:tc>
          <w:tcPr>
            <w:tcW w:w="2562" w:type="dxa"/>
            <w:textDirection w:val="lrTb"/>
            <w:noWrap w:val="false"/>
          </w:tcPr>
          <w:p>
            <w:pPr>
              <w:ind w:left="142" w:right="207"/>
              <w:rPr>
                <w:rFonts w:eastAsia="SimSun"/>
                <w:lang w:eastAsia="zh-CN" w:bidi="ru-RU"/>
              </w:rPr>
            </w:pPr>
            <w:r>
              <w:rPr>
                <w:rFonts w:eastAsia="SimSun"/>
                <w:lang w:eastAsia="zh-CN" w:bidi="ru-RU"/>
              </w:rPr>
              <w:t xml:space="preserve">[</w:t>
            </w:r>
            <w:r>
              <w:rPr>
                <w:lang w:eastAsia="zh-CN" w:bidi="ru-RU"/>
              </w:rPr>
              <w:t xml:space="preserve">4.4</w:t>
            </w:r>
            <w:r>
              <w:rPr>
                <w:rFonts w:eastAsia="SimSun"/>
                <w:lang w:eastAsia="zh-CN" w:bidi="ru-RU"/>
              </w:rPr>
              <w:t xml:space="preserve">] </w:t>
            </w:r>
            <w:r/>
          </w:p>
          <w:p>
            <w:pPr>
              <w:ind w:left="142" w:right="207"/>
              <w:rPr>
                <w:strike/>
              </w:rPr>
            </w:pPr>
            <w:r>
              <w:rPr>
                <w:rFonts w:eastAsia="SimSun"/>
                <w:lang w:eastAsia="zh-CN" w:bidi="ru-RU"/>
              </w:rPr>
              <w:t xml:space="preserve">Магазины</w:t>
            </w:r>
            <w:r/>
          </w:p>
          <w:p>
            <w:pPr>
              <w:ind w:left="142" w:right="207"/>
              <w:rPr>
                <w:rFonts w:eastAsia="SimSun"/>
                <w:highlight w:val="yellow"/>
                <w:lang w:eastAsia="zh-CN" w:bidi="ru-RU"/>
              </w:rPr>
            </w:pPr>
            <w:r>
              <w:rPr>
                <w:rFonts w:eastAsia="SimSun"/>
                <w:highlight w:val="yellow"/>
                <w:lang w:eastAsia="zh-CN" w:bidi="ru-RU"/>
              </w:rPr>
            </w:r>
            <w:r/>
          </w:p>
        </w:tc>
        <w:tc>
          <w:tcPr>
            <w:gridSpan w:val="2"/>
            <w:tcW w:w="4320" w:type="dxa"/>
            <w:textDirection w:val="lrTb"/>
            <w:noWrap w:val="false"/>
          </w:tcPr>
          <w:p>
            <w:pPr>
              <w:ind w:left="142" w:right="207"/>
              <w:rPr>
                <w:highlight w:val="yellow"/>
                <w:lang w:eastAsia="ru-RU" w:bidi="ru-RU"/>
              </w:rPr>
            </w:pPr>
            <w:r>
              <w:rPr>
                <w:rFonts w:ascii="Times New Roman CYR" w:hAnsi="Times New Roman CYR" w:cs="Times New Roman CYR"/>
                <w:lang w:eastAsia="ru-RU" w:bidi="ru-RU"/>
              </w:rPr>
              <w:t xml:space="preserve">Размещение объектов капитального строительства, предназначенных для продажи товаров, торговая площадь которых составляет до 5000 кв. м</w:t>
            </w:r>
            <w:r/>
          </w:p>
        </w:tc>
        <w:tc>
          <w:tcPr>
            <w:tcW w:w="4610" w:type="dxa"/>
            <w:textDirection w:val="lrTb"/>
            <w:noWrap w:val="false"/>
          </w:tcPr>
          <w:p>
            <w:pPr>
              <w:ind w:left="142" w:right="207"/>
              <w:jc w:val="both"/>
              <w:tabs>
                <w:tab w:val="left" w:pos="3071" w:leader="none"/>
              </w:tabs>
            </w:pPr>
            <w:r>
              <w:t xml:space="preserve">Минимальная/максимальная площадь земельных участков   – 100/3000 кв. м;</w:t>
            </w:r>
            <w:r/>
          </w:p>
          <w:p>
            <w:pPr>
              <w:ind w:left="142" w:right="207"/>
              <w:jc w:val="both"/>
              <w:tabs>
                <w:tab w:val="left" w:pos="3071" w:leader="none"/>
              </w:tabs>
            </w:pPr>
            <w:r>
              <w:t xml:space="preserve">максимальное количество надземных этажей зданий – 3 этажа (включая мансардный этаж); </w:t>
            </w:r>
            <w:r/>
          </w:p>
          <w:p>
            <w:pPr>
              <w:ind w:left="142" w:right="207"/>
              <w:jc w:val="both"/>
              <w:tabs>
                <w:tab w:val="left" w:pos="3071" w:leader="none"/>
              </w:tabs>
            </w:pPr>
            <w:r>
              <w:t xml:space="preserve">максимальная высота зданий от уровня земли до верха перекрытия последнего этажа (или конька кровли) - 12 м;</w:t>
            </w:r>
            <w:r/>
          </w:p>
          <w:p>
            <w:pPr>
              <w:ind w:left="142" w:right="207"/>
              <w:jc w:val="both"/>
              <w:tabs>
                <w:tab w:val="left" w:pos="3071" w:leader="none"/>
              </w:tabs>
            </w:pPr>
            <w:r>
              <w:t xml:space="preserve">максимальный процент застройки в границах земельного участка – 60%;</w:t>
            </w:r>
            <w:r/>
          </w:p>
          <w:p>
            <w:pPr>
              <w:ind w:left="142" w:right="207"/>
              <w:jc w:val="both"/>
              <w:tabs>
                <w:tab w:val="left" w:pos="3071" w:leader="none"/>
              </w:tabs>
            </w:pPr>
            <w:r>
              <w:t xml:space="preserve">Минимальные отступы от красной линии – 5 м </w:t>
            </w:r>
            <w:r>
              <w:t xml:space="preserve">или по линии застройки в сложившейся застройке; от иных границ – 3 м, </w:t>
            </w:r>
            <w:r/>
          </w:p>
          <w:p>
            <w:pPr>
              <w:ind w:left="142" w:right="207"/>
              <w:jc w:val="both"/>
              <w:tabs>
                <w:tab w:val="left" w:pos="3071" w:leader="none"/>
              </w:tabs>
              <w:rPr>
                <w:highlight w:val="yellow"/>
              </w:rPr>
            </w:pPr>
            <w:r>
              <w:t xml:space="preserve">Минимальный процент озеленения земельного участка 15%.</w:t>
            </w:r>
            <w:r/>
          </w:p>
        </w:tc>
        <w:tc>
          <w:tcPr>
            <w:tcW w:w="3781" w:type="dxa"/>
            <w:vMerge w:val="continue"/>
            <w:textDirection w:val="lrTb"/>
            <w:noWrap w:val="false"/>
          </w:tcPr>
          <w:p>
            <w:pPr>
              <w:ind w:left="142" w:right="207"/>
              <w:jc w:val="both"/>
              <w:rPr>
                <w:shd w:val="clear" w:color="auto" w:fill="ffffff"/>
              </w:rPr>
            </w:pPr>
            <w:r>
              <w:rPr>
                <w:shd w:val="clear" w:color="auto" w:fill="ffffff"/>
              </w:rPr>
            </w:r>
            <w:r/>
          </w:p>
        </w:tc>
      </w:tr>
      <w:tr>
        <w:trPr>
          <w:trHeight w:val="284"/>
        </w:trPr>
        <w:tc>
          <w:tcPr>
            <w:tcW w:w="2562" w:type="dxa"/>
            <w:textDirection w:val="lrTb"/>
            <w:noWrap w:val="false"/>
          </w:tcPr>
          <w:p>
            <w:pPr>
              <w:ind w:left="142" w:right="207"/>
              <w:tabs>
                <w:tab w:val="left" w:pos="2520" w:leader="none"/>
              </w:tabs>
            </w:pPr>
            <w:r>
              <w:t xml:space="preserve">[5.1.3] </w:t>
            </w:r>
            <w:r/>
          </w:p>
          <w:p>
            <w:pPr>
              <w:ind w:left="142" w:right="207"/>
              <w:tabs>
                <w:tab w:val="left" w:pos="2520" w:leader="none"/>
              </w:tabs>
            </w:pPr>
            <w:r>
              <w:t xml:space="preserve">Площадки для занятий спортом</w:t>
            </w:r>
            <w:r/>
          </w:p>
          <w:p>
            <w:pPr>
              <w:ind w:left="142" w:right="207"/>
              <w:rPr>
                <w:rFonts w:eastAsia="SimSun"/>
                <w:highlight w:val="yellow"/>
                <w:lang w:eastAsia="zh-CN" w:bidi="ru-RU"/>
              </w:rPr>
            </w:pPr>
            <w:r>
              <w:rPr>
                <w:rFonts w:eastAsia="SimSun"/>
                <w:highlight w:val="yellow"/>
                <w:lang w:eastAsia="zh-CN" w:bidi="ru-RU"/>
              </w:rPr>
            </w:r>
            <w:r/>
          </w:p>
        </w:tc>
        <w:tc>
          <w:tcPr>
            <w:gridSpan w:val="2"/>
            <w:tcW w:w="4320" w:type="dxa"/>
            <w:textDirection w:val="lrTb"/>
            <w:noWrap w:val="false"/>
          </w:tcPr>
          <w:p>
            <w:pPr>
              <w:ind w:left="142" w:right="207"/>
              <w:jc w:val="both"/>
            </w:pPr>
            <w:r>
              <w:t xml:space="preserve">Размещение площадок для занятия спортом и физкультурой на открытом воздухе (физкультурные площадки, беговые дорожки, поля для спортивной игры)</w:t>
            </w:r>
            <w:r/>
          </w:p>
          <w:p>
            <w:pPr>
              <w:ind w:left="142" w:right="207"/>
              <w:jc w:val="both"/>
            </w:pPr>
            <w:r/>
            <w:r/>
          </w:p>
          <w:p>
            <w:pPr>
              <w:ind w:left="142" w:right="207"/>
              <w:rPr>
                <w:highlight w:val="yellow"/>
                <w:lang w:eastAsia="ru-RU" w:bidi="ru-RU"/>
              </w:rPr>
            </w:pPr>
            <w:r>
              <w:rPr>
                <w:highlight w:val="yellow"/>
                <w:lang w:eastAsia="ru-RU" w:bidi="ru-RU"/>
              </w:rPr>
            </w:r>
            <w:r/>
          </w:p>
        </w:tc>
        <w:tc>
          <w:tcPr>
            <w:tcW w:w="4610" w:type="dxa"/>
            <w:textDirection w:val="lrTb"/>
            <w:noWrap w:val="false"/>
          </w:tcPr>
          <w:p>
            <w:pPr>
              <w:ind w:left="142" w:right="207"/>
              <w:jc w:val="both"/>
              <w:tabs>
                <w:tab w:val="left" w:pos="2520" w:leader="none"/>
              </w:tabs>
            </w:pPr>
            <w:r>
              <w:t xml:space="preserve">Минимальная/максимальная площадь земельных участков –300/50000 кв. м;</w:t>
            </w:r>
            <w:r/>
          </w:p>
          <w:p>
            <w:pPr>
              <w:ind w:left="142" w:right="207"/>
              <w:jc w:val="both"/>
              <w:tabs>
                <w:tab w:val="left" w:pos="2520" w:leader="none"/>
              </w:tabs>
            </w:pPr>
            <w:r>
              <w:t xml:space="preserve">максимальная высота сооружений от уровня земли – 6 м;</w:t>
            </w:r>
            <w:r/>
          </w:p>
          <w:p>
            <w:pPr>
              <w:ind w:left="142" w:right="207"/>
              <w:jc w:val="both"/>
              <w:tabs>
                <w:tab w:val="left" w:pos="2520" w:leader="none"/>
              </w:tabs>
            </w:pPr>
            <w:r>
              <w:t xml:space="preserve">максимальный процент застройки в границах земельного участка – 80 %;</w:t>
            </w:r>
            <w:r/>
          </w:p>
          <w:p>
            <w:pPr>
              <w:ind w:left="142" w:right="207"/>
              <w:jc w:val="both"/>
              <w:tabs>
                <w:tab w:val="left" w:pos="2520" w:leader="none"/>
              </w:tabs>
            </w:pPr>
            <w:r>
              <w:t xml:space="preserve">минимальные отступы от красной линии – 5 м; от иных границ – 1 м.</w:t>
            </w:r>
            <w:r/>
          </w:p>
          <w:p>
            <w:pPr>
              <w:ind w:left="142" w:right="207"/>
              <w:jc w:val="both"/>
              <w:tabs>
                <w:tab w:val="left" w:pos="3071" w:leader="none"/>
              </w:tabs>
              <w:rPr>
                <w:highlight w:val="yellow"/>
              </w:rPr>
            </w:pPr>
            <w:r>
              <w:t xml:space="preserve">Минимальный процент озеленения земельного участка 10%.</w:t>
            </w:r>
            <w:r/>
          </w:p>
        </w:tc>
        <w:tc>
          <w:tcPr>
            <w:tcW w:w="3781" w:type="dxa"/>
            <w:vMerge w:val="continue"/>
            <w:textDirection w:val="lrTb"/>
            <w:noWrap w:val="false"/>
          </w:tcPr>
          <w:p>
            <w:pPr>
              <w:ind w:left="142" w:right="207"/>
              <w:jc w:val="both"/>
              <w:rPr>
                <w:shd w:val="clear" w:color="auto" w:fill="ffffff"/>
              </w:rPr>
            </w:pPr>
            <w:r>
              <w:rPr>
                <w:shd w:val="clear" w:color="auto" w:fill="ffffff"/>
              </w:rPr>
            </w:r>
            <w:r/>
          </w:p>
        </w:tc>
      </w:tr>
      <w:tr>
        <w:trPr>
          <w:trHeight w:val="284"/>
        </w:trPr>
        <w:tc>
          <w:tcPr>
            <w:tcW w:w="2562" w:type="dxa"/>
            <w:textDirection w:val="lrTb"/>
            <w:noWrap w:val="false"/>
          </w:tcPr>
          <w:p>
            <w:pPr>
              <w:ind w:left="142" w:right="207"/>
              <w:tabs>
                <w:tab w:val="left" w:pos="2520" w:leader="none"/>
              </w:tabs>
            </w:pPr>
            <w:r>
              <w:t xml:space="preserve">[3.6.2]  </w:t>
            </w:r>
            <w:r/>
          </w:p>
          <w:p>
            <w:pPr>
              <w:ind w:left="142" w:right="207"/>
              <w:tabs>
                <w:tab w:val="left" w:pos="2520" w:leader="none"/>
              </w:tabs>
            </w:pPr>
            <w:r>
              <w:t xml:space="preserve">Парки культуры и отдыха</w:t>
            </w:r>
            <w:r/>
          </w:p>
          <w:p>
            <w:pPr>
              <w:ind w:left="142" w:right="207"/>
              <w:rPr>
                <w:strike/>
              </w:rPr>
            </w:pPr>
            <w:r>
              <w:rPr>
                <w:strike/>
              </w:rPr>
            </w:r>
            <w:r/>
          </w:p>
        </w:tc>
        <w:tc>
          <w:tcPr>
            <w:gridSpan w:val="2"/>
            <w:tcW w:w="4320" w:type="dxa"/>
            <w:textDirection w:val="lrTb"/>
            <w:noWrap w:val="false"/>
          </w:tcPr>
          <w:p>
            <w:pPr>
              <w:ind w:right="207"/>
              <w:jc w:val="both"/>
              <w:rPr>
                <w:strike/>
              </w:rPr>
            </w:pPr>
            <w:r>
              <w:t xml:space="preserve">Размещение парков культуры и отдыха</w:t>
            </w:r>
            <w:r/>
          </w:p>
        </w:tc>
        <w:tc>
          <w:tcPr>
            <w:tcW w:w="4610" w:type="dxa"/>
            <w:textDirection w:val="lrTb"/>
            <w:noWrap w:val="false"/>
          </w:tcPr>
          <w:p>
            <w:pPr>
              <w:ind w:left="142" w:right="207"/>
              <w:jc w:val="both"/>
              <w:tabs>
                <w:tab w:val="left" w:pos="2520" w:leader="none"/>
              </w:tabs>
            </w:pPr>
            <w:r>
              <w:t xml:space="preserve">Минимальная/максимальная площадь земельных участков –500/10000 кв. м;</w:t>
            </w:r>
            <w:r/>
          </w:p>
          <w:p>
            <w:pPr>
              <w:ind w:left="142" w:right="207"/>
              <w:jc w:val="both"/>
              <w:rPr>
                <w:rFonts w:eastAsia="SimSun"/>
                <w:lang w:eastAsia="zh-CN" w:bidi="ru-RU"/>
              </w:rPr>
            </w:pPr>
            <w:r>
              <w:t xml:space="preserve">минимальный процент озеленения земельного участка 75%.</w:t>
            </w:r>
            <w:r/>
          </w:p>
        </w:tc>
        <w:tc>
          <w:tcPr>
            <w:tcW w:w="3781" w:type="dxa"/>
            <w:vMerge w:val="continue"/>
            <w:textDirection w:val="lrTb"/>
            <w:noWrap w:val="false"/>
          </w:tcPr>
          <w:p>
            <w:pPr>
              <w:ind w:left="142" w:right="207"/>
              <w:jc w:val="both"/>
              <w:rPr>
                <w:shd w:val="clear" w:color="auto" w:fill="ffffff"/>
              </w:rPr>
            </w:pPr>
            <w:r>
              <w:rPr>
                <w:shd w:val="clear" w:color="auto" w:fill="ffffff"/>
              </w:rPr>
            </w:r>
            <w:r/>
          </w:p>
        </w:tc>
      </w:tr>
      <w:tr>
        <w:trPr>
          <w:trHeight w:val="284"/>
        </w:trPr>
        <w:tc>
          <w:tcPr>
            <w:tcW w:w="2562" w:type="dxa"/>
            <w:textDirection w:val="lrTb"/>
            <w:noWrap w:val="false"/>
          </w:tcPr>
          <w:p>
            <w:pPr>
              <w:ind w:left="142" w:right="207"/>
              <w:tabs>
                <w:tab w:val="left" w:pos="2520" w:leader="none"/>
              </w:tabs>
            </w:pPr>
            <w:r>
              <w:t xml:space="preserve">[2.7.1] </w:t>
            </w:r>
            <w:r/>
          </w:p>
          <w:p>
            <w:pPr>
              <w:ind w:left="142" w:right="207"/>
              <w:tabs>
                <w:tab w:val="left" w:pos="2520" w:leader="none"/>
              </w:tabs>
            </w:pPr>
            <w:r>
              <w:t xml:space="preserve">Хранение автотранспорта</w:t>
            </w:r>
            <w:r/>
          </w:p>
        </w:tc>
        <w:tc>
          <w:tcPr>
            <w:gridSpan w:val="2"/>
            <w:tcW w:w="4320" w:type="dxa"/>
            <w:textDirection w:val="lrTb"/>
            <w:noWrap w:val="false"/>
          </w:tcPr>
          <w:p>
            <w:pPr>
              <w:ind w:left="142" w:right="207"/>
              <w:jc w:val="both"/>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w:t>
            </w:r>
            <w:r>
              <w:rPr>
                <w:shd w:val="clear" w:color="auto" w:fill="ffffff"/>
              </w:rPr>
              <w:t xml:space="preserve">за исключением гаражей, размещение которых предусмотрено содержанием вида разрешенного использования с </w:t>
            </w:r>
            <w:hyperlink r:id="rId58" w:tooltip="https://base.garant.ru/70736874/53f89421bbdaf741eb2d1ecc4ddb4c33/#block_1049" w:anchor="block_1049" w:history="1">
              <w:r>
                <w:rPr>
                  <w:shd w:val="clear" w:color="auto" w:fill="ffffff"/>
                </w:rPr>
                <w:t xml:space="preserve">кодом 4.9</w:t>
              </w:r>
            </w:hyperlink>
            <w:r>
              <w:t xml:space="preserve"> (</w:t>
            </w:r>
            <w:r>
              <w:rPr>
                <w:shd w:val="clear" w:color="auto" w:fill="ffffff"/>
              </w:rPr>
              <w:t xml:space="preserve">Служебные гаражи)</w:t>
            </w:r>
            <w:r/>
          </w:p>
        </w:tc>
        <w:tc>
          <w:tcPr>
            <w:tcW w:w="4610" w:type="dxa"/>
            <w:textDirection w:val="lrTb"/>
            <w:noWrap w:val="false"/>
          </w:tcPr>
          <w:p>
            <w:pPr>
              <w:ind w:left="142" w:right="207"/>
              <w:jc w:val="both"/>
              <w:tabs>
                <w:tab w:val="left" w:pos="1134" w:leader="none"/>
              </w:tabs>
            </w:pPr>
            <w:r>
              <w:t xml:space="preserve">Минимальная/максимальная площадь земельных участков – 15/100 кв. м;</w:t>
            </w:r>
            <w:r/>
          </w:p>
          <w:p>
            <w:pPr>
              <w:ind w:left="142" w:right="207"/>
              <w:jc w:val="both"/>
              <w:tabs>
                <w:tab w:val="left" w:pos="1134" w:leader="none"/>
              </w:tabs>
            </w:pPr>
            <w:r>
              <w:t xml:space="preserve">максимальное количество надземных этажей зданий – 2;</w:t>
            </w:r>
            <w:r/>
          </w:p>
          <w:p>
            <w:pPr>
              <w:ind w:left="142" w:right="207"/>
              <w:jc w:val="both"/>
            </w:pPr>
            <w:r>
              <w:t xml:space="preserve">максимальная высота зданий, строений, сооружений от уровня земли – 6 м;</w:t>
            </w:r>
            <w:r/>
          </w:p>
          <w:p>
            <w:pPr>
              <w:ind w:left="142" w:right="207"/>
              <w:jc w:val="both"/>
              <w:tabs>
                <w:tab w:val="left" w:pos="2520" w:leader="none"/>
              </w:tabs>
            </w:pPr>
            <w:r>
              <w:t xml:space="preserve">минимальные отступы от красной линии – 5 м; от иных границ – 3 м;</w:t>
            </w:r>
            <w:r/>
          </w:p>
          <w:p>
            <w:pPr>
              <w:ind w:left="142" w:right="207"/>
              <w:jc w:val="both"/>
              <w:tabs>
                <w:tab w:val="left" w:pos="2520" w:leader="none"/>
              </w:tabs>
              <w:rPr>
                <w:rFonts w:eastAsia="SimSun"/>
                <w:lang w:eastAsia="zh-CN" w:bidi="ru-RU"/>
              </w:rPr>
            </w:pPr>
            <w:r>
              <w:t xml:space="preserve">максимальный процент застройки в границах земельного участка – не регламентируется</w:t>
            </w:r>
            <w:r/>
          </w:p>
        </w:tc>
        <w:tc>
          <w:tcPr>
            <w:tcW w:w="3781" w:type="dxa"/>
            <w:vMerge w:val="continue"/>
            <w:textDirection w:val="lrTb"/>
            <w:noWrap w:val="false"/>
          </w:tcPr>
          <w:p>
            <w:pPr>
              <w:ind w:left="142" w:right="207"/>
              <w:jc w:val="both"/>
              <w:rPr>
                <w:shd w:val="clear" w:color="auto" w:fill="ffffff"/>
              </w:rPr>
            </w:pPr>
            <w:r>
              <w:rPr>
                <w:shd w:val="clear" w:color="auto" w:fill="ffffff"/>
              </w:rPr>
            </w:r>
            <w:r/>
          </w:p>
        </w:tc>
      </w:tr>
      <w:tr>
        <w:trPr>
          <w:trHeight w:val="284"/>
        </w:trPr>
        <w:tc>
          <w:tcPr>
            <w:tcW w:w="2562" w:type="dxa"/>
            <w:textDirection w:val="lrTb"/>
            <w:noWrap w:val="false"/>
          </w:tcPr>
          <w:p>
            <w:pPr>
              <w:ind w:left="142" w:right="117"/>
              <w:rPr>
                <w:rFonts w:eastAsia="SimSun"/>
                <w:lang w:eastAsia="zh-CN" w:bidi="ru-RU"/>
              </w:rPr>
            </w:pPr>
            <w:r>
              <w:rPr>
                <w:rFonts w:eastAsia="SimSun"/>
                <w:lang w:eastAsia="zh-CN" w:bidi="ru-RU"/>
              </w:rPr>
              <w:t xml:space="preserve">[2.7.2]</w:t>
            </w:r>
            <w:r/>
          </w:p>
          <w:p>
            <w:pPr>
              <w:ind w:left="142" w:right="117"/>
              <w:rPr>
                <w:rFonts w:eastAsia="SimSun"/>
                <w:lang w:eastAsia="zh-CN" w:bidi="ru-RU"/>
              </w:rPr>
            </w:pPr>
            <w:r>
              <w:t xml:space="preserve">Размещение гаражей для собственных нужд</w:t>
            </w:r>
            <w:r/>
          </w:p>
        </w:tc>
        <w:tc>
          <w:tcPr>
            <w:gridSpan w:val="2"/>
            <w:tcW w:w="4320" w:type="dxa"/>
            <w:textDirection w:val="lrTb"/>
            <w:noWrap w:val="false"/>
          </w:tcPr>
          <w:p>
            <w:pPr>
              <w:ind w:left="142" w:right="117"/>
              <w:jc w:val="both"/>
              <w:tabs>
                <w:tab w:val="left" w:pos="2520" w:leader="none"/>
              </w:tabs>
            </w:pPr>
            <w:r>
              <w:t xml:space="preserve">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r/>
          </w:p>
        </w:tc>
        <w:tc>
          <w:tcPr>
            <w:tcW w:w="4610" w:type="dxa"/>
            <w:textDirection w:val="lrTb"/>
            <w:noWrap w:val="false"/>
          </w:tcPr>
          <w:p>
            <w:pPr>
              <w:ind w:left="142" w:right="117"/>
              <w:jc w:val="both"/>
              <w:tabs>
                <w:tab w:val="left" w:pos="1134" w:leader="none"/>
              </w:tabs>
            </w:pPr>
            <w:r>
              <w:t xml:space="preserve">Минимальная/максимальная площадь земельных участков – 15/100 кв. м;</w:t>
            </w:r>
            <w:r/>
          </w:p>
          <w:p>
            <w:pPr>
              <w:ind w:left="142" w:right="117"/>
              <w:jc w:val="both"/>
              <w:tabs>
                <w:tab w:val="left" w:pos="1134" w:leader="none"/>
              </w:tabs>
            </w:pPr>
            <w:r>
              <w:t xml:space="preserve">максимальное количество надземных этажей зданий – 2;</w:t>
            </w:r>
            <w:r/>
          </w:p>
          <w:p>
            <w:pPr>
              <w:ind w:left="142" w:right="117"/>
              <w:jc w:val="both"/>
              <w:tabs>
                <w:tab w:val="left" w:pos="1134" w:leader="none"/>
              </w:tabs>
            </w:pPr>
            <w:r>
              <w:t xml:space="preserve">максимальная высота зданий, строений, сооружений от уровня земли – 6 м;</w:t>
            </w:r>
            <w:r/>
          </w:p>
        </w:tc>
        <w:tc>
          <w:tcPr>
            <w:tcW w:w="3781" w:type="dxa"/>
            <w:vMerge w:val="continue"/>
            <w:textDirection w:val="lrTb"/>
            <w:noWrap w:val="false"/>
          </w:tcPr>
          <w:p>
            <w:pPr>
              <w:ind w:left="142" w:right="207"/>
              <w:jc w:val="both"/>
              <w:rPr>
                <w:shd w:val="clear" w:color="auto" w:fill="ffffff"/>
              </w:rPr>
            </w:pPr>
            <w:r>
              <w:rPr>
                <w:shd w:val="clear" w:color="auto" w:fill="ffffff"/>
              </w:rPr>
            </w:r>
            <w:r/>
          </w:p>
        </w:tc>
      </w:tr>
      <w:tr>
        <w:trPr>
          <w:trHeight w:val="284"/>
        </w:trPr>
        <w:tc>
          <w:tcPr>
            <w:tcW w:w="2562" w:type="dxa"/>
            <w:textDirection w:val="lrTb"/>
            <w:noWrap w:val="false"/>
          </w:tcPr>
          <w:p>
            <w:pPr>
              <w:ind w:left="142" w:right="207"/>
              <w:tabs>
                <w:tab w:val="left" w:pos="2520" w:leader="none"/>
              </w:tabs>
            </w:pPr>
            <w:r>
              <w:t xml:space="preserve">[9.3]</w:t>
            </w:r>
            <w:r/>
          </w:p>
          <w:p>
            <w:pPr>
              <w:ind w:left="142" w:right="207"/>
              <w:tabs>
                <w:tab w:val="left" w:pos="2520" w:leader="none"/>
              </w:tabs>
            </w:pPr>
            <w:r>
              <w:t xml:space="preserve">Историко-культурная деятельность</w:t>
            </w:r>
            <w:r/>
          </w:p>
        </w:tc>
        <w:tc>
          <w:tcPr>
            <w:gridSpan w:val="2"/>
            <w:tcW w:w="4320" w:type="dxa"/>
            <w:textDirection w:val="lrTb"/>
            <w:noWrap w:val="false"/>
          </w:tcPr>
          <w:p>
            <w:pPr>
              <w:ind w:left="142" w:right="207"/>
            </w:pPr>
            <w:r>
              <w:t xml:space="preserve">     Сохранение и изучение объектов к</w:t>
            </w:r>
            <w:r>
              <w:t xml:space="preserve">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w:t>
            </w:r>
            <w:r>
              <w:br/>
              <w:t xml:space="preserve">военных и гражданских захоронений, объектов культурного наследия, </w:t>
            </w:r>
            <w:r>
              <w:t xml:space="preserve">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r/>
          </w:p>
        </w:tc>
        <w:tc>
          <w:tcPr>
            <w:tcW w:w="4610" w:type="dxa"/>
            <w:textDirection w:val="lrTb"/>
            <w:noWrap w:val="false"/>
          </w:tcPr>
          <w:p>
            <w:pPr>
              <w:ind w:left="142" w:right="207"/>
              <w:jc w:val="center"/>
              <w:tabs>
                <w:tab w:val="left" w:pos="1134" w:leader="none"/>
              </w:tabs>
            </w:pPr>
            <w:r>
              <w:t xml:space="preserve">Регламенты не распространяются</w:t>
            </w:r>
            <w:r/>
          </w:p>
          <w:p>
            <w:pPr>
              <w:ind w:left="142" w:right="207"/>
              <w:jc w:val="center"/>
              <w:tabs>
                <w:tab w:val="left" w:pos="2520" w:leader="none"/>
              </w:tabs>
            </w:pPr>
            <w:r>
              <w:t xml:space="preserve">(не подлежат установлению)</w:t>
            </w:r>
            <w:r/>
          </w:p>
          <w:p>
            <w:pPr>
              <w:ind w:left="142" w:right="207"/>
              <w:jc w:val="center"/>
              <w:tabs>
                <w:tab w:val="left" w:pos="2520" w:leader="none"/>
              </w:tabs>
            </w:pPr>
            <w:r/>
            <w:r/>
          </w:p>
          <w:p>
            <w:pPr>
              <w:ind w:left="142" w:right="207"/>
              <w:jc w:val="center"/>
              <w:tabs>
                <w:tab w:val="left" w:pos="2520" w:leader="none"/>
              </w:tabs>
            </w:pPr>
            <w:r>
              <w:rPr>
                <w:rFonts w:cs="Arial"/>
                <w:lang w:eastAsia="ru-RU"/>
              </w:rPr>
              <w:t xml:space="preserve">Используются в соответствие с режимами использования земель в границах зон охраны объекта культурного наследия</w:t>
            </w:r>
            <w:r/>
          </w:p>
        </w:tc>
        <w:tc>
          <w:tcPr>
            <w:tcW w:w="3781" w:type="dxa"/>
            <w:vMerge w:val="continue"/>
            <w:textDirection w:val="lrTb"/>
            <w:noWrap w:val="false"/>
          </w:tcPr>
          <w:p>
            <w:pPr>
              <w:ind w:left="142" w:right="207"/>
              <w:jc w:val="both"/>
              <w:rPr>
                <w:shd w:val="clear" w:color="auto" w:fill="ffffff"/>
              </w:rPr>
            </w:pPr>
            <w:r>
              <w:rPr>
                <w:shd w:val="clear" w:color="auto" w:fill="ffffff"/>
              </w:rPr>
            </w:r>
            <w:r/>
          </w:p>
        </w:tc>
      </w:tr>
      <w:tr>
        <w:trPr>
          <w:trHeight w:val="284"/>
        </w:trPr>
        <w:tc>
          <w:tcPr>
            <w:tcW w:w="2562" w:type="dxa"/>
            <w:textDirection w:val="lrTb"/>
            <w:noWrap w:val="false"/>
          </w:tcPr>
          <w:p>
            <w:pPr>
              <w:ind w:left="142" w:right="207"/>
              <w:tabs>
                <w:tab w:val="left" w:pos="2520" w:leader="none"/>
              </w:tabs>
            </w:pPr>
            <w:r>
              <w:t xml:space="preserve">[12.0.2] Благоустройство территории</w:t>
            </w:r>
            <w:r/>
          </w:p>
        </w:tc>
        <w:tc>
          <w:tcPr>
            <w:gridSpan w:val="2"/>
            <w:tcW w:w="4320" w:type="dxa"/>
            <w:textDirection w:val="lrTb"/>
            <w:noWrap w:val="false"/>
          </w:tcPr>
          <w:p>
            <w:pPr>
              <w:ind w:left="142" w:right="207"/>
            </w:pPr>
            <w: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w:t>
            </w:r>
            <w:r>
              <w:br/>
              <w:t xml:space="preserve">и указателей, применяемых как составные части благоустройства территории, общественных туалетов</w:t>
            </w:r>
            <w:r/>
          </w:p>
        </w:tc>
        <w:tc>
          <w:tcPr>
            <w:tcW w:w="4610" w:type="dxa"/>
            <w:textDirection w:val="lrTb"/>
            <w:noWrap w:val="false"/>
          </w:tcPr>
          <w:p>
            <w:pPr>
              <w:ind w:left="142" w:right="207"/>
              <w:jc w:val="center"/>
              <w:tabs>
                <w:tab w:val="left" w:pos="1134" w:leader="none"/>
              </w:tabs>
            </w:pPr>
            <w:r>
              <w:t xml:space="preserve">Регламенты не распространяются</w:t>
            </w:r>
            <w:r/>
          </w:p>
          <w:p>
            <w:pPr>
              <w:ind w:left="142" w:right="207"/>
              <w:jc w:val="center"/>
              <w:tabs>
                <w:tab w:val="left" w:pos="1134" w:leader="none"/>
              </w:tabs>
            </w:pPr>
            <w:r>
              <w:t xml:space="preserve">(не подлежат установлению)</w:t>
            </w:r>
            <w:r/>
          </w:p>
          <w:p>
            <w:pPr>
              <w:ind w:left="142" w:right="207"/>
              <w:jc w:val="center"/>
              <w:rPr>
                <w:rFonts w:cs="Arial"/>
                <w:lang w:eastAsia="ru-RU"/>
              </w:rPr>
            </w:pPr>
            <w:r>
              <w:rPr>
                <w:rFonts w:cs="Arial"/>
                <w:lang w:eastAsia="ru-RU"/>
              </w:rPr>
              <w:t xml:space="preserve">Благоустройство территории проводится в соответствии с правилами благоустройства </w:t>
            </w:r>
            <w:r>
              <w:t xml:space="preserve">Кавказского сельского поселения</w:t>
            </w:r>
            <w:r>
              <w:rPr>
                <w:rFonts w:cs="Arial"/>
                <w:lang w:eastAsia="ru-RU"/>
              </w:rPr>
              <w:t xml:space="preserve">.</w:t>
            </w:r>
            <w:r/>
          </w:p>
          <w:p>
            <w:pPr>
              <w:ind w:left="142" w:right="207"/>
              <w:jc w:val="center"/>
              <w:tabs>
                <w:tab w:val="left" w:pos="1134" w:leader="none"/>
              </w:tabs>
            </w:pPr>
            <w:r/>
            <w:r/>
          </w:p>
        </w:tc>
        <w:tc>
          <w:tcPr>
            <w:tcW w:w="3781" w:type="dxa"/>
            <w:vMerge w:val="continue"/>
            <w:textDirection w:val="lrTb"/>
            <w:noWrap w:val="false"/>
          </w:tcPr>
          <w:p>
            <w:pPr>
              <w:ind w:left="142" w:right="207"/>
              <w:jc w:val="both"/>
              <w:rPr>
                <w:shd w:val="clear" w:color="auto" w:fill="ffffff"/>
              </w:rPr>
            </w:pPr>
            <w:r>
              <w:rPr>
                <w:shd w:val="clear" w:color="auto" w:fill="ffffff"/>
              </w:rPr>
            </w:r>
            <w:r/>
          </w:p>
        </w:tc>
      </w:tr>
      <w:tr>
        <w:trPr>
          <w:trHeight w:val="284"/>
        </w:trPr>
        <w:tc>
          <w:tcPr>
            <w:tcW w:w="2562" w:type="dxa"/>
            <w:textDirection w:val="lrTb"/>
            <w:noWrap w:val="false"/>
          </w:tcPr>
          <w:p>
            <w:pPr>
              <w:ind w:left="142" w:right="207"/>
              <w:tabs>
                <w:tab w:val="left" w:pos="2520" w:leader="none"/>
              </w:tabs>
            </w:pPr>
            <w:r>
              <w:t xml:space="preserve">[12.0.1] </w:t>
            </w:r>
            <w:r/>
          </w:p>
          <w:p>
            <w:pPr>
              <w:ind w:left="142" w:right="207"/>
              <w:tabs>
                <w:tab w:val="left" w:pos="2520" w:leader="none"/>
              </w:tabs>
            </w:pPr>
            <w:r>
              <w:t xml:space="preserve">Улично-дорожная сеть</w:t>
            </w:r>
            <w:r/>
          </w:p>
        </w:tc>
        <w:tc>
          <w:tcPr>
            <w:gridSpan w:val="2"/>
            <w:tcW w:w="4320" w:type="dxa"/>
            <w:textDirection w:val="lrTb"/>
            <w:noWrap w:val="false"/>
          </w:tcPr>
          <w:p>
            <w:pPr>
              <w:ind w:left="142" w:right="207"/>
              <w:jc w:val="both"/>
              <w:widowControl/>
            </w:pPr>
            <w: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p>
          <w:p>
            <w:pPr>
              <w:ind w:left="142" w:right="207"/>
              <w:jc w:val="both"/>
              <w:tabs>
                <w:tab w:val="left" w:pos="2520" w:leader="none"/>
              </w:tabs>
            </w:pPr>
            <w:r>
              <w:t xml:space="preserve">размещение придорожных стоянок (парковок) транспортных средств в границах улиц и дорог, за исключением предусмотренных видами разрешенного использования с </w:t>
            </w:r>
            <w:hyperlink r:id="rId59" w:tooltip="../Правила/Кавказская%20зона%202020%20новое%20ИЗМЕНЕНИЯ.doc#sub_10271" w:anchor="sub_10271" w:history="1">
              <w:r>
                <w:rPr>
                  <w:rFonts w:eastAsia="SimSun"/>
                </w:rPr>
                <w:t xml:space="preserve">кодами 2.7.1</w:t>
              </w:r>
            </w:hyperlink>
            <w:r>
              <w:t xml:space="preserve">, </w:t>
            </w:r>
            <w:hyperlink r:id="rId60" w:tooltip="../Правила/Кавказская%20зона%202020%20новое%20ИЗМЕНЕНИЯ.doc#sub_1049" w:anchor="sub_1049" w:history="1">
              <w:r>
                <w:rPr>
                  <w:rFonts w:eastAsia="SimSun"/>
                </w:rPr>
                <w:t xml:space="preserve">4.9</w:t>
              </w:r>
            </w:hyperlink>
            <w:r>
              <w:t xml:space="preserve">, </w:t>
            </w:r>
            <w:hyperlink r:id="rId61" w:tooltip="../Правила/Кавказская%20зона%202020%20новое%20ИЗМЕНЕНИЯ.doc#sub_1723" w:anchor="sub_1723" w:history="1">
              <w:r>
                <w:rPr>
                  <w:rFonts w:eastAsia="SimSun"/>
                </w:rPr>
                <w:t xml:space="preserve">7.2.3</w:t>
              </w:r>
            </w:hyperlink>
            <w:r>
              <w:t xml:space="preserve">, а также некапитальных сооружений, предназначенных для охраны транспортных средств</w:t>
            </w:r>
            <w:r/>
          </w:p>
        </w:tc>
        <w:tc>
          <w:tcPr>
            <w:tcW w:w="4610" w:type="dxa"/>
            <w:textDirection w:val="lrTb"/>
            <w:noWrap w:val="false"/>
          </w:tcPr>
          <w:p>
            <w:pPr>
              <w:ind w:left="142" w:right="207"/>
              <w:jc w:val="center"/>
              <w:tabs>
                <w:tab w:val="left" w:pos="1134" w:leader="none"/>
              </w:tabs>
            </w:pPr>
            <w:r>
              <w:t xml:space="preserve">Регламенты не распространяются</w:t>
            </w:r>
            <w:r/>
          </w:p>
          <w:p>
            <w:pPr>
              <w:ind w:left="142" w:right="207"/>
              <w:jc w:val="center"/>
              <w:tabs>
                <w:tab w:val="left" w:pos="1134" w:leader="none"/>
              </w:tabs>
            </w:pPr>
            <w:r>
              <w:t xml:space="preserve">(не подлежат установлению)</w:t>
            </w:r>
            <w:r/>
          </w:p>
          <w:p>
            <w:pPr>
              <w:ind w:left="142" w:right="207"/>
              <w:jc w:val="center"/>
              <w:tabs>
                <w:tab w:val="left" w:pos="1134" w:leader="none"/>
              </w:tabs>
            </w:pPr>
            <w:r>
              <w:rPr>
                <w:shd w:val="clear" w:color="auto" w:fill="ffffff"/>
              </w:rPr>
              <w:t xml:space="preserve">Размещение п</w:t>
            </w:r>
            <w:r>
              <w:rPr>
                <w:shd w:val="clear" w:color="auto" w:fill="ffffff"/>
              </w:rPr>
              <w:t xml:space="preserve">арковочных мест на улично-дорожной сети рекомендуется проводить на основании «Методических рекомендаций по разработке и реализации мероприятий по организации дорожного движения. Формирование единого парковочного пространства  городах Российской Федерации» </w:t>
            </w:r>
            <w:r/>
          </w:p>
        </w:tc>
        <w:tc>
          <w:tcPr>
            <w:tcW w:w="3781" w:type="dxa"/>
            <w:vMerge w:val="continue"/>
            <w:textDirection w:val="lrTb"/>
            <w:noWrap w:val="false"/>
          </w:tcPr>
          <w:p>
            <w:pPr>
              <w:ind w:left="142" w:right="207"/>
              <w:jc w:val="both"/>
              <w:rPr>
                <w:rFonts w:cs="Arial"/>
                <w:lang w:eastAsia="ru-RU"/>
              </w:rPr>
            </w:pPr>
            <w:r>
              <w:rPr>
                <w:rFonts w:cs="Arial"/>
                <w:lang w:eastAsia="ru-RU"/>
              </w:rPr>
            </w:r>
            <w:r/>
          </w:p>
        </w:tc>
      </w:tr>
    </w:tbl>
    <w:p>
      <w:pPr>
        <w:jc w:val="center"/>
        <w:tabs>
          <w:tab w:val="left" w:pos="2520" w:leader="none"/>
        </w:tabs>
      </w:pPr>
      <w:r/>
      <w:r/>
    </w:p>
    <w:p>
      <w:pPr>
        <w:jc w:val="center"/>
        <w:tabs>
          <w:tab w:val="left" w:pos="2520" w:leader="none"/>
        </w:tabs>
      </w:pPr>
      <w:r>
        <w:rPr>
          <w:b/>
          <w:color w:val="000000"/>
        </w:rPr>
        <w:t xml:space="preserve">УСЛОВНО РАЗРЕШЕННЫЕ ВИДЫ И ПАРАМЕТРЫ ИСПОЛЬЗОВАНИЯ</w:t>
      </w:r>
      <w:r/>
    </w:p>
    <w:p>
      <w:pPr>
        <w:ind w:firstLine="567"/>
        <w:jc w:val="center"/>
        <w:tabs>
          <w:tab w:val="left" w:pos="2520" w:leader="none"/>
        </w:tabs>
      </w:pPr>
      <w:r>
        <w:rPr>
          <w:b/>
          <w:color w:val="000000"/>
        </w:rPr>
        <w:t xml:space="preserve">ЗЕМЕЛЬНЫХ УЧАСТКОВ И ОБЪЕКТОВ КАПИТАЛЬНОГО СТРОИТЕЛЬСТВА</w:t>
      </w:r>
      <w:r/>
    </w:p>
    <w:p>
      <w:pPr>
        <w:ind w:firstLine="567"/>
        <w:jc w:val="center"/>
        <w:tabs>
          <w:tab w:val="left" w:pos="2520" w:leader="none"/>
        </w:tabs>
      </w:pPr>
      <w:r/>
      <w:r/>
    </w:p>
    <w:tbl>
      <w:tblPr>
        <w:tblW w:w="154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2103"/>
        <w:gridCol w:w="5376"/>
        <w:gridCol w:w="5812"/>
        <w:gridCol w:w="2126"/>
      </w:tblGrid>
      <w:tr>
        <w:trPr>
          <w:trHeight w:val="284"/>
        </w:trPr>
        <w:tc>
          <w:tcPr>
            <w:tcW w:w="2103" w:type="dxa"/>
            <w:textDirection w:val="lrTb"/>
            <w:noWrap w:val="false"/>
          </w:tcPr>
          <w:p>
            <w:pPr>
              <w:jc w:val="center"/>
              <w:tabs>
                <w:tab w:val="left" w:pos="2520" w:leader="none"/>
              </w:tabs>
              <w:rPr>
                <w:b/>
              </w:rPr>
            </w:pPr>
            <w:r>
              <w:rPr>
                <w:b/>
              </w:rPr>
              <w:t xml:space="preserve">КОД (ЧИСЛОВОЕ ОБОЗНАЧЕНИЕ)]- НАИМЕНОВАНИЕ ВИДА РАЗРЕШЕННОГО ИСПОЛЬЗОВАНИЯ ЗЕМЕЛЬНЫХ УЧАСТКОВ</w:t>
            </w:r>
            <w:r/>
          </w:p>
        </w:tc>
        <w:tc>
          <w:tcPr>
            <w:tcW w:w="5376" w:type="dxa"/>
            <w:vAlign w:val="center"/>
            <w:textDirection w:val="lrTb"/>
            <w:noWrap w:val="false"/>
          </w:tcPr>
          <w:p>
            <w:pPr>
              <w:ind w:firstLine="567"/>
              <w:jc w:val="center"/>
              <w:tabs>
                <w:tab w:val="left" w:pos="2520" w:leader="none"/>
              </w:tabs>
              <w:rPr>
                <w:b/>
              </w:rPr>
            </w:pPr>
            <w:r>
              <w:rPr>
                <w:b/>
              </w:rPr>
              <w:t xml:space="preserve">ВИДЫ ОБЪЕКТОВ КАПИТАЛЬНОГО СТРОИТЕЛЬСТВА</w:t>
            </w:r>
            <w:r/>
          </w:p>
        </w:tc>
        <w:tc>
          <w:tcPr>
            <w:tcW w:w="5812" w:type="dxa"/>
            <w:vAlign w:val="center"/>
            <w:textDirection w:val="lrTb"/>
            <w:noWrap w:val="false"/>
          </w:tcPr>
          <w:p>
            <w:pPr>
              <w:ind w:firstLine="567"/>
              <w:jc w:val="center"/>
              <w:tabs>
                <w:tab w:val="left" w:pos="2520" w:leader="none"/>
              </w:tabs>
              <w:rPr>
                <w:b/>
              </w:rPr>
            </w:pPr>
            <w:r>
              <w:rPr>
                <w:b/>
              </w:rPr>
              <w:t xml:space="preserve">ПРЕДЕЛЬНЫЕ (МИНИМАЛЬНЫЕ И (ИЛИ) МАКСИМАЛЬНЫЕ РАЗМЕРЫ ЗЕМЕЛЬНЫХ УЧАСТКОВ И ПЕРЕДЕЛЬНЫЕ ПАРАМЕТРЫ РАЗРЕШЕННОГО ИСПОЛЬЗОВАНИЯ ЗЕМЕЛЬНЫХ УЧАСТКОВ И ОБЪЕКТОВ КАПИТАЛЬНОГО СТРОИТЕЛЬСТВА</w:t>
            </w:r>
            <w:r/>
          </w:p>
        </w:tc>
        <w:tc>
          <w:tcPr>
            <w:tcW w:w="2126" w:type="dxa"/>
            <w:vAlign w:val="center"/>
            <w:textDirection w:val="lrTb"/>
            <w:noWrap w:val="false"/>
          </w:tcPr>
          <w:p>
            <w:pPr>
              <w:ind w:firstLine="34"/>
              <w:jc w:val="center"/>
              <w:tabs>
                <w:tab w:val="left" w:pos="2520" w:leader="none"/>
              </w:tabs>
              <w:rPr>
                <w:b/>
              </w:rPr>
            </w:pPr>
            <w:r>
              <w:rPr>
                <w:b/>
              </w:rPr>
              <w:t xml:space="preserve">ОСОБЫЕ УСЛОВИЯ РЕАЛИЗАЦИИ РЕГЛАМЕНТА</w:t>
            </w:r>
            <w:r/>
          </w:p>
        </w:tc>
      </w:tr>
      <w:tr>
        <w:trPr>
          <w:trHeight w:val="284"/>
        </w:trPr>
        <w:tc>
          <w:tcPr>
            <w:tcW w:w="2103" w:type="dxa"/>
            <w:textDirection w:val="lrTb"/>
            <w:noWrap w:val="false"/>
          </w:tcPr>
          <w:p>
            <w:pPr>
              <w:ind w:left="142"/>
              <w:jc w:val="both"/>
              <w:tabs>
                <w:tab w:val="left" w:pos="2520" w:leader="none"/>
              </w:tabs>
            </w:pPr>
            <w:r>
              <w:t xml:space="preserve">[3.4.1] Амбулаторно-поликлиническое </w:t>
            </w:r>
            <w:r>
              <w:t xml:space="preserve">обслуживание</w:t>
            </w:r>
            <w:r/>
          </w:p>
        </w:tc>
        <w:tc>
          <w:tcPr>
            <w:tcW w:w="5376" w:type="dxa"/>
            <w:textDirection w:val="lrTb"/>
            <w:noWrap w:val="false"/>
          </w:tcPr>
          <w:p>
            <w:pPr>
              <w:ind w:left="142"/>
              <w:jc w:val="both"/>
              <w:tabs>
                <w:tab w:val="left" w:pos="2520" w:leader="none"/>
              </w:tabs>
            </w:pPr>
            <w: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w:t>
            </w:r>
            <w:r>
              <w:t xml:space="preserve">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r/>
          </w:p>
        </w:tc>
        <w:tc>
          <w:tcPr>
            <w:tcW w:w="5812" w:type="dxa"/>
            <w:textDirection w:val="lrTb"/>
            <w:noWrap w:val="false"/>
          </w:tcPr>
          <w:p>
            <w:pPr>
              <w:ind w:left="142"/>
              <w:jc w:val="both"/>
              <w:tabs>
                <w:tab w:val="left" w:pos="2520" w:leader="none"/>
              </w:tabs>
            </w:pPr>
            <w:r>
              <w:t xml:space="preserve">Минимальная/максимальная площадь земельных участков – 200/15000 кв. м;</w:t>
            </w:r>
            <w:r/>
          </w:p>
          <w:p>
            <w:pPr>
              <w:ind w:left="142"/>
              <w:jc w:val="both"/>
              <w:tabs>
                <w:tab w:val="left" w:pos="2520" w:leader="none"/>
              </w:tabs>
            </w:pPr>
            <w:r>
              <w:t xml:space="preserve">максимальный процент застройки в границах земельного </w:t>
            </w:r>
            <w:r>
              <w:t xml:space="preserve">участка – 60%;</w:t>
            </w:r>
            <w:r/>
          </w:p>
          <w:p>
            <w:pPr>
              <w:ind w:left="142"/>
              <w:jc w:val="both"/>
              <w:tabs>
                <w:tab w:val="left" w:pos="2520" w:leader="none"/>
              </w:tabs>
            </w:pPr>
            <w:r>
              <w:t xml:space="preserve">максимальное количество надземных этажей – 3;</w:t>
            </w:r>
            <w:r/>
          </w:p>
          <w:p>
            <w:pPr>
              <w:ind w:left="142"/>
              <w:jc w:val="both"/>
              <w:tabs>
                <w:tab w:val="left" w:pos="2520" w:leader="none"/>
              </w:tabs>
            </w:pPr>
            <w:r>
              <w:t xml:space="preserve">максимальная высота зданий, строений, сооружений от уровня земли - 12 м;</w:t>
            </w:r>
            <w:r/>
          </w:p>
          <w:p>
            <w:pPr>
              <w:ind w:left="142"/>
              <w:jc w:val="both"/>
              <w:tabs>
                <w:tab w:val="left" w:pos="2520" w:leader="none"/>
              </w:tabs>
            </w:pPr>
            <w:r>
              <w:t xml:space="preserve">минимальные отступы от красной линии – 5 м; от иных границ – 3 м;  </w:t>
            </w:r>
            <w:r/>
          </w:p>
          <w:p>
            <w:pPr>
              <w:ind w:left="142"/>
              <w:jc w:val="both"/>
              <w:tabs>
                <w:tab w:val="left" w:pos="2520" w:leader="none"/>
              </w:tabs>
            </w:pPr>
            <w:r>
              <w:t xml:space="preserve">минимальный процент озеленения – 15%</w:t>
            </w:r>
            <w:r/>
          </w:p>
        </w:tc>
        <w:tc>
          <w:tcPr>
            <w:tcW w:w="2126" w:type="dxa"/>
            <w:vMerge w:val="restart"/>
            <w:textDirection w:val="lrTb"/>
            <w:noWrap w:val="false"/>
          </w:tcPr>
          <w:p>
            <w:pPr>
              <w:tabs>
                <w:tab w:val="left" w:pos="2520" w:leader="none"/>
              </w:tabs>
            </w:pPr>
            <w:r>
              <w:t xml:space="preserve">Особые условия реализации регламента зоны Ж-1, </w:t>
            </w:r>
            <w:r>
              <w:t xml:space="preserve">установленные для основных видов разрешенного использования, применяются в той же степени к условно разрешенным видам использования, установленным данным регламентом.</w:t>
            </w:r>
            <w:r/>
          </w:p>
        </w:tc>
      </w:tr>
      <w:tr>
        <w:trPr>
          <w:trHeight w:val="284"/>
        </w:trPr>
        <w:tc>
          <w:tcPr>
            <w:tcBorders>
              <w:top w:val="single" w:color="auto" w:sz="4" w:space="0"/>
              <w:left w:val="single" w:color="000000" w:sz="8" w:space="0"/>
              <w:bottom w:val="single" w:color="000000" w:sz="8" w:space="0"/>
              <w:right w:val="none" w:color="000000" w:sz="4" w:space="0"/>
            </w:tcBorders>
            <w:tcW w:w="2103" w:type="dxa"/>
            <w:textDirection w:val="lrTb"/>
            <w:noWrap w:val="false"/>
          </w:tcPr>
          <w:p>
            <w:pPr>
              <w:ind w:left="142"/>
              <w:jc w:val="both"/>
              <w:tabs>
                <w:tab w:val="left" w:pos="2520" w:leader="none"/>
              </w:tabs>
              <w:rPr>
                <w:b/>
              </w:rPr>
            </w:pPr>
            <w:r>
              <w:t xml:space="preserve">[3.10.1] Амбулаторное ветеринарное обслуживание</w:t>
            </w:r>
            <w:r/>
          </w:p>
        </w:tc>
        <w:tc>
          <w:tcPr>
            <w:tcBorders>
              <w:top w:val="single" w:color="auto" w:sz="4" w:space="0"/>
              <w:left w:val="single" w:color="000000" w:sz="8" w:space="0"/>
              <w:bottom w:val="single" w:color="000000" w:sz="8" w:space="0"/>
              <w:right w:val="none" w:color="000000" w:sz="4" w:space="0"/>
            </w:tcBorders>
            <w:tcW w:w="5376" w:type="dxa"/>
            <w:textDirection w:val="lrTb"/>
            <w:noWrap w:val="false"/>
          </w:tcPr>
          <w:p>
            <w:pPr>
              <w:ind w:left="142"/>
              <w:jc w:val="both"/>
              <w:tabs>
                <w:tab w:val="left" w:pos="2520" w:leader="none"/>
              </w:tabs>
              <w:rPr>
                <w:b/>
              </w:rPr>
            </w:pPr>
            <w:r>
              <w:t xml:space="preserve">Размещение объектов капитального строительства, предназначенных для оказания ветеринарных </w:t>
            </w:r>
            <w:r>
              <w:br/>
              <w:t xml:space="preserve">слуг без содержания животных</w:t>
            </w:r>
            <w:r/>
          </w:p>
        </w:tc>
        <w:tc>
          <w:tcPr>
            <w:tcBorders>
              <w:top w:val="single" w:color="auto" w:sz="4" w:space="0"/>
              <w:left w:val="single" w:color="000000" w:sz="8" w:space="0"/>
              <w:bottom w:val="single" w:color="000000" w:sz="8" w:space="0"/>
              <w:right w:val="single" w:color="auto" w:sz="4" w:space="0"/>
            </w:tcBorders>
            <w:tcW w:w="5812" w:type="dxa"/>
            <w:textDirection w:val="lrTb"/>
            <w:noWrap w:val="false"/>
          </w:tcPr>
          <w:p>
            <w:pPr>
              <w:ind w:left="142" w:right="132"/>
              <w:jc w:val="both"/>
              <w:rPr>
                <w:rFonts w:eastAsia="Calibri"/>
              </w:rPr>
            </w:pPr>
            <w:r>
              <w:rPr>
                <w:rFonts w:eastAsia="Calibri"/>
              </w:rPr>
              <w:t xml:space="preserve">Минимальная/максимальная площадь земельных участков – 200/5000 кв. м; максимальное количество надземных этажей зданий – 3 этажа (включая мансардный этаж);</w:t>
            </w:r>
            <w:r/>
          </w:p>
          <w:p>
            <w:pPr>
              <w:ind w:left="142" w:right="132"/>
              <w:jc w:val="both"/>
              <w:rPr>
                <w:rFonts w:eastAsia="Calibri"/>
              </w:rPr>
            </w:pPr>
            <w:r>
              <w:rPr>
                <w:rFonts w:eastAsia="Calibri"/>
              </w:rPr>
              <w:t xml:space="preserve">максимальный процент застройки в границах земельного участка – 60%</w:t>
            </w:r>
            <w:r/>
          </w:p>
          <w:p>
            <w:pPr>
              <w:ind w:left="142" w:right="132"/>
              <w:jc w:val="both"/>
              <w:rPr>
                <w:rFonts w:eastAsia="Calibri"/>
              </w:rPr>
            </w:pPr>
            <w:r>
              <w:rPr>
                <w:rFonts w:eastAsia="Calibri"/>
              </w:rPr>
              <w:t xml:space="preserve">минимальные отступы до красной линии – 5 м; до иных границ – 3 м.</w:t>
            </w:r>
            <w:r/>
          </w:p>
          <w:p>
            <w:pPr>
              <w:ind w:left="142"/>
              <w:jc w:val="both"/>
              <w:tabs>
                <w:tab w:val="left" w:pos="2520" w:leader="none"/>
              </w:tabs>
              <w:rPr>
                <w:b/>
              </w:rPr>
            </w:pPr>
            <w:r>
              <w:rPr>
                <w:rFonts w:eastAsia="Calibri"/>
              </w:rPr>
              <w:t xml:space="preserve">минимальный </w:t>
            </w:r>
            <w:r>
              <w:t xml:space="preserve">процент озеленения </w:t>
            </w:r>
            <w:r>
              <w:rPr>
                <w:rFonts w:eastAsia="Calibri"/>
              </w:rPr>
              <w:t xml:space="preserve">земельного участка 15%.</w:t>
            </w:r>
            <w:r/>
          </w:p>
        </w:tc>
        <w:tc>
          <w:tcPr>
            <w:tcW w:w="2126" w:type="dxa"/>
            <w:vMerge w:val="continue"/>
            <w:textDirection w:val="lrTb"/>
            <w:noWrap w:val="false"/>
          </w:tcPr>
          <w:p>
            <w:pPr>
              <w:ind w:left="142"/>
              <w:jc w:val="both"/>
              <w:tabs>
                <w:tab w:val="left" w:pos="2520" w:leader="none"/>
              </w:tabs>
              <w:rPr>
                <w:b/>
              </w:rPr>
            </w:pPr>
            <w:r>
              <w:rPr>
                <w:b/>
              </w:rPr>
            </w:r>
            <w:r/>
          </w:p>
        </w:tc>
      </w:tr>
      <w:tr>
        <w:trPr>
          <w:trHeight w:val="284"/>
        </w:trPr>
        <w:tc>
          <w:tcPr>
            <w:tcBorders>
              <w:top w:val="single" w:color="auto" w:sz="4" w:space="0"/>
              <w:left w:val="single" w:color="000000" w:sz="8" w:space="0"/>
              <w:bottom w:val="single" w:color="000000" w:sz="4" w:space="0"/>
              <w:right w:val="none" w:color="000000" w:sz="4" w:space="0"/>
            </w:tcBorders>
            <w:tcW w:w="2103" w:type="dxa"/>
            <w:textDirection w:val="lrTb"/>
            <w:noWrap w:val="false"/>
          </w:tcPr>
          <w:p>
            <w:pPr>
              <w:ind w:left="142"/>
              <w:jc w:val="both"/>
              <w:tabs>
                <w:tab w:val="left" w:pos="2520" w:leader="none"/>
              </w:tabs>
            </w:pPr>
            <w:r>
              <w:t xml:space="preserve">[3.2.1]  </w:t>
            </w:r>
            <w:r/>
          </w:p>
          <w:p>
            <w:pPr>
              <w:ind w:left="142"/>
              <w:jc w:val="both"/>
              <w:tabs>
                <w:tab w:val="left" w:pos="2520" w:leader="none"/>
              </w:tabs>
              <w:rPr>
                <w:b/>
              </w:rPr>
            </w:pPr>
            <w:r>
              <w:t xml:space="preserve">Дома социального обслуживания </w:t>
            </w:r>
            <w:r/>
          </w:p>
        </w:tc>
        <w:tc>
          <w:tcPr>
            <w:tcBorders>
              <w:top w:val="single" w:color="auto" w:sz="4" w:space="0"/>
              <w:left w:val="single" w:color="000000" w:sz="8" w:space="0"/>
              <w:bottom w:val="single" w:color="000000" w:sz="4" w:space="0"/>
              <w:right w:val="none" w:color="000000" w:sz="4" w:space="0"/>
            </w:tcBorders>
            <w:tcW w:w="5376" w:type="dxa"/>
            <w:textDirection w:val="lrTb"/>
            <w:noWrap w:val="false"/>
          </w:tcPr>
          <w:p>
            <w:pPr>
              <w:ind w:left="142"/>
              <w:jc w:val="both"/>
              <w:widowControl/>
            </w:pPr>
            <w:r>
              <w:t xml:space="preserve">Размещение зданий, предназначенных для размещения домов престарелых, домов ребенка, детских домов, пунктов ночлега для бездомных граждан;</w:t>
            </w:r>
            <w:r/>
          </w:p>
          <w:p>
            <w:pPr>
              <w:ind w:left="142"/>
              <w:jc w:val="both"/>
              <w:tabs>
                <w:tab w:val="left" w:pos="2520" w:leader="none"/>
              </w:tabs>
              <w:rPr>
                <w:b/>
              </w:rPr>
            </w:pPr>
            <w:r>
              <w:t xml:space="preserve">размещение объектов капитального строительства для временного размещения вынужденных переселенцев, лиц, признанных беженцами</w:t>
            </w:r>
            <w:r/>
          </w:p>
        </w:tc>
        <w:tc>
          <w:tcPr>
            <w:tcBorders>
              <w:top w:val="single" w:color="auto" w:sz="4" w:space="0"/>
              <w:left w:val="single" w:color="000000" w:sz="8" w:space="0"/>
              <w:bottom w:val="single" w:color="000000" w:sz="8" w:space="0"/>
              <w:right w:val="single" w:color="auto" w:sz="4" w:space="0"/>
            </w:tcBorders>
            <w:tcW w:w="5812" w:type="dxa"/>
            <w:textDirection w:val="lrTb"/>
            <w:noWrap w:val="false"/>
          </w:tcPr>
          <w:p>
            <w:pPr>
              <w:ind w:left="142" w:right="132"/>
              <w:jc w:val="both"/>
              <w:rPr>
                <w:rFonts w:eastAsia="Calibri"/>
              </w:rPr>
            </w:pPr>
            <w:r>
              <w:rPr>
                <w:rFonts w:eastAsia="Calibri"/>
              </w:rPr>
              <w:t xml:space="preserve">Минимальная/максимальная площадь земельных участков – 400/5000 кв. м; максималь</w:t>
            </w:r>
            <w:r>
              <w:rPr>
                <w:rFonts w:eastAsia="Calibri"/>
              </w:rPr>
              <w:t xml:space="preserve">ное количество надземных этажей зданий – 3 этажа (включая мансардный этаж);                                                                                                                максимальный процент застройки в границах земельного участка – 60%;  </w:t>
            </w:r>
            <w:r/>
          </w:p>
          <w:p>
            <w:pPr>
              <w:ind w:left="142" w:right="132"/>
              <w:jc w:val="both"/>
              <w:rPr>
                <w:rFonts w:eastAsia="Calibri"/>
              </w:rPr>
            </w:pPr>
            <w:r>
              <w:rPr>
                <w:rFonts w:eastAsia="Calibri"/>
              </w:rPr>
              <w:t xml:space="preserve">минимальные отступы от красной линии – 5 м; от иных границ – 3 м;</w:t>
            </w:r>
            <w:r/>
          </w:p>
          <w:p>
            <w:pPr>
              <w:ind w:left="142"/>
              <w:jc w:val="both"/>
              <w:tabs>
                <w:tab w:val="left" w:pos="2520" w:leader="none"/>
              </w:tabs>
              <w:rPr>
                <w:b/>
              </w:rPr>
            </w:pPr>
            <w:r>
              <w:rPr>
                <w:rFonts w:eastAsia="Calibri"/>
              </w:rPr>
              <w:t xml:space="preserve">минимальный процент озеленения земельного участка 15%.</w:t>
            </w:r>
            <w:r/>
          </w:p>
        </w:tc>
        <w:tc>
          <w:tcPr>
            <w:tcW w:w="2126" w:type="dxa"/>
            <w:vMerge w:val="continue"/>
            <w:textDirection w:val="lrTb"/>
            <w:noWrap w:val="false"/>
          </w:tcPr>
          <w:p>
            <w:pPr>
              <w:ind w:left="142"/>
              <w:jc w:val="both"/>
              <w:tabs>
                <w:tab w:val="left" w:pos="2520" w:leader="none"/>
              </w:tabs>
              <w:rPr>
                <w:b/>
              </w:rPr>
            </w:pPr>
            <w:r>
              <w:rPr>
                <w:b/>
              </w:rPr>
            </w:r>
            <w:r/>
          </w:p>
        </w:tc>
      </w:tr>
      <w:tr>
        <w:trPr>
          <w:trHeight w:val="284"/>
        </w:trPr>
        <w:tc>
          <w:tcPr>
            <w:tcBorders>
              <w:top w:val="single" w:color="000000" w:sz="8" w:space="0"/>
              <w:left w:val="single" w:color="000000" w:sz="8" w:space="0"/>
              <w:bottom w:val="single" w:color="000000" w:sz="8" w:space="0"/>
              <w:right w:val="none" w:color="000000" w:sz="4" w:space="0"/>
            </w:tcBorders>
            <w:tcW w:w="2103" w:type="dxa"/>
            <w:textDirection w:val="lrTb"/>
            <w:noWrap w:val="false"/>
          </w:tcPr>
          <w:p>
            <w:pPr>
              <w:ind w:left="142"/>
              <w:jc w:val="both"/>
              <w:tabs>
                <w:tab w:val="left" w:pos="2520" w:leader="none"/>
              </w:tabs>
            </w:pPr>
            <w:r>
              <w:t xml:space="preserve">[3.7]  </w:t>
            </w:r>
            <w:r/>
          </w:p>
          <w:p>
            <w:pPr>
              <w:ind w:left="142"/>
              <w:jc w:val="both"/>
              <w:tabs>
                <w:tab w:val="left" w:pos="2520" w:leader="none"/>
              </w:tabs>
              <w:rPr>
                <w:b/>
              </w:rPr>
            </w:pPr>
            <w:r>
              <w:t xml:space="preserve">Религиозное использование</w:t>
            </w:r>
            <w:r/>
          </w:p>
        </w:tc>
        <w:tc>
          <w:tcPr>
            <w:tcBorders>
              <w:top w:val="single" w:color="000000" w:sz="8" w:space="0"/>
              <w:left w:val="single" w:color="000000" w:sz="8" w:space="0"/>
              <w:bottom w:val="single" w:color="000000" w:sz="8" w:space="0"/>
              <w:right w:val="none" w:color="000000" w:sz="4" w:space="0"/>
            </w:tcBorders>
            <w:tcW w:w="5376" w:type="dxa"/>
            <w:textDirection w:val="lrTb"/>
            <w:noWrap w:val="false"/>
          </w:tcPr>
          <w:p>
            <w:pPr>
              <w:ind w:left="142"/>
              <w:jc w:val="both"/>
              <w:tabs>
                <w:tab w:val="left" w:pos="2520" w:leader="none"/>
              </w:tabs>
              <w:rPr>
                <w:b/>
              </w:rPr>
            </w:pPr>
            <w: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62" w:tooltip="../Правила/Кавказская%20зона%202020%20новое%20ИЗМЕНЕНИЯ.doc#sub_1371" w:anchor="sub_1371" w:history="1">
              <w:r>
                <w:rPr>
                  <w:rFonts w:eastAsia="SimSun"/>
                </w:rPr>
                <w:t xml:space="preserve">кодами 3.7.1-3.7.2</w:t>
              </w:r>
            </w:hyperlink>
            <w:r/>
            <w:r/>
          </w:p>
        </w:tc>
        <w:tc>
          <w:tcPr>
            <w:tcBorders>
              <w:top w:val="single" w:color="000000" w:sz="8" w:space="0"/>
              <w:left w:val="single" w:color="000000" w:sz="8" w:space="0"/>
              <w:bottom w:val="single" w:color="000000" w:sz="8" w:space="0"/>
            </w:tcBorders>
            <w:tcW w:w="5812" w:type="dxa"/>
            <w:textDirection w:val="lrTb"/>
            <w:noWrap w:val="false"/>
          </w:tcPr>
          <w:p>
            <w:pPr>
              <w:ind w:left="142" w:right="132"/>
              <w:jc w:val="both"/>
              <w:tabs>
                <w:tab w:val="left" w:pos="2520" w:leader="none"/>
              </w:tabs>
            </w:pPr>
            <w:r>
              <w:t xml:space="preserve">Минимальная/максимальная площадь земельных участков –500/5000 кв. м;</w:t>
            </w:r>
            <w:r/>
          </w:p>
          <w:p>
            <w:pPr>
              <w:ind w:left="142" w:right="132"/>
              <w:jc w:val="both"/>
              <w:tabs>
                <w:tab w:val="left" w:pos="2520" w:leader="none"/>
              </w:tabs>
            </w:pPr>
            <w:r>
              <w:t xml:space="preserve">Максимальная высота зданий, строений, сооружений от уровня земли - 25 м; </w:t>
            </w:r>
            <w:r/>
          </w:p>
          <w:p>
            <w:pPr>
              <w:ind w:left="142" w:right="132"/>
              <w:jc w:val="both"/>
              <w:tabs>
                <w:tab w:val="left" w:pos="2520" w:leader="none"/>
              </w:tabs>
            </w:pPr>
            <w:r>
              <w:t xml:space="preserve">Максимальный процент застройки в границах земельного участка – 60%;</w:t>
            </w:r>
            <w:r/>
          </w:p>
          <w:p>
            <w:pPr>
              <w:ind w:left="142" w:right="132"/>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42"/>
              <w:jc w:val="both"/>
              <w:tabs>
                <w:tab w:val="left" w:pos="2520" w:leader="none"/>
              </w:tabs>
              <w:rPr>
                <w:b/>
              </w:rPr>
            </w:pPr>
            <w:r>
              <w:rPr>
                <w:rFonts w:eastAsia="SimSun"/>
                <w:lang w:eastAsia="zh-CN" w:bidi="ru-RU"/>
              </w:rPr>
              <w:t xml:space="preserve">минимальный процент озеленения земельного участка 15%.</w:t>
            </w:r>
            <w:r/>
          </w:p>
        </w:tc>
        <w:tc>
          <w:tcPr>
            <w:tcW w:w="2126" w:type="dxa"/>
            <w:vAlign w:val="center"/>
            <w:vMerge w:val="continue"/>
            <w:textDirection w:val="lrTb"/>
            <w:noWrap w:val="false"/>
          </w:tcPr>
          <w:p>
            <w:pPr>
              <w:ind w:left="142"/>
              <w:jc w:val="both"/>
              <w:tabs>
                <w:tab w:val="left" w:pos="2520" w:leader="none"/>
              </w:tabs>
              <w:rPr>
                <w:b/>
              </w:rPr>
            </w:pPr>
            <w:r>
              <w:rPr>
                <w:b/>
              </w:rPr>
            </w:r>
            <w:r/>
          </w:p>
        </w:tc>
      </w:tr>
      <w:tr>
        <w:trPr>
          <w:trHeight w:val="284"/>
        </w:trPr>
        <w:tc>
          <w:tcPr>
            <w:tcBorders>
              <w:top w:val="single" w:color="000000" w:sz="8" w:space="0"/>
              <w:left w:val="single" w:color="000000" w:sz="8" w:space="0"/>
              <w:bottom w:val="single" w:color="000000" w:sz="8" w:space="0"/>
              <w:right w:val="none" w:color="000000" w:sz="4" w:space="0"/>
            </w:tcBorders>
            <w:tcW w:w="2103" w:type="dxa"/>
            <w:textDirection w:val="lrTb"/>
            <w:noWrap w:val="false"/>
          </w:tcPr>
          <w:p>
            <w:pPr>
              <w:ind w:left="142"/>
              <w:jc w:val="both"/>
              <w:tabs>
                <w:tab w:val="left" w:pos="2520" w:leader="none"/>
              </w:tabs>
              <w:rPr>
                <w:b/>
              </w:rPr>
            </w:pPr>
            <w:r>
              <w:t xml:space="preserve">[3.7.1]  Осуществление религиозных обрядов</w:t>
            </w:r>
            <w:r/>
          </w:p>
        </w:tc>
        <w:tc>
          <w:tcPr>
            <w:tcBorders>
              <w:top w:val="single" w:color="000000" w:sz="8" w:space="0"/>
              <w:left w:val="single" w:color="000000" w:sz="8" w:space="0"/>
              <w:bottom w:val="single" w:color="000000" w:sz="8" w:space="0"/>
              <w:right w:val="none" w:color="000000" w:sz="4" w:space="0"/>
            </w:tcBorders>
            <w:tcW w:w="5376" w:type="dxa"/>
            <w:textDirection w:val="lrTb"/>
            <w:noWrap w:val="false"/>
          </w:tcPr>
          <w:p>
            <w:pPr>
              <w:ind w:left="142"/>
              <w:jc w:val="both"/>
              <w:tabs>
                <w:tab w:val="left" w:pos="2520" w:leader="none"/>
              </w:tabs>
              <w:rPr>
                <w:b/>
              </w:rPr>
            </w:pPr>
            <w:r>
              <w:t xml:space="preserve">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r/>
          </w:p>
        </w:tc>
        <w:tc>
          <w:tcPr>
            <w:tcBorders>
              <w:top w:val="single" w:color="000000" w:sz="8" w:space="0"/>
              <w:left w:val="single" w:color="000000" w:sz="8" w:space="0"/>
              <w:bottom w:val="single" w:color="000000" w:sz="8" w:space="0"/>
            </w:tcBorders>
            <w:tcW w:w="5812" w:type="dxa"/>
            <w:textDirection w:val="lrTb"/>
            <w:noWrap w:val="false"/>
          </w:tcPr>
          <w:p>
            <w:pPr>
              <w:ind w:left="142" w:right="132"/>
              <w:jc w:val="both"/>
              <w:tabs>
                <w:tab w:val="left" w:pos="2520" w:leader="none"/>
              </w:tabs>
            </w:pPr>
            <w:r>
              <w:t xml:space="preserve">Минимальная/максимальная площадь земельных участков –500/5000 кв. м;</w:t>
            </w:r>
            <w:r/>
          </w:p>
          <w:p>
            <w:pPr>
              <w:ind w:left="142" w:right="132"/>
              <w:jc w:val="both"/>
              <w:tabs>
                <w:tab w:val="left" w:pos="2520" w:leader="none"/>
              </w:tabs>
            </w:pPr>
            <w:r>
              <w:t xml:space="preserve">максимальная высота зданий, строений, сооружений от уровня земли - 25,0 м; </w:t>
            </w:r>
            <w:r/>
          </w:p>
          <w:p>
            <w:pPr>
              <w:ind w:left="142" w:right="132"/>
              <w:jc w:val="both"/>
              <w:tabs>
                <w:tab w:val="left" w:pos="2520" w:leader="none"/>
              </w:tabs>
            </w:pPr>
            <w:r>
              <w:t xml:space="preserve">максимальный процент застройки в границах земельного участка – 60%;</w:t>
            </w:r>
            <w:r/>
          </w:p>
          <w:p>
            <w:pPr>
              <w:ind w:left="142" w:right="132"/>
              <w:jc w:val="both"/>
              <w:tabs>
                <w:tab w:val="left" w:pos="2520" w:leader="none"/>
              </w:tabs>
            </w:pPr>
            <w:r>
              <w:t xml:space="preserve">минимальные отступы от красной линии – 5 м; от иных границ – 3 м;</w:t>
            </w:r>
            <w:r/>
          </w:p>
          <w:p>
            <w:pPr>
              <w:ind w:left="142"/>
              <w:jc w:val="both"/>
              <w:tabs>
                <w:tab w:val="left" w:pos="2520" w:leader="none"/>
              </w:tabs>
              <w:rPr>
                <w:b/>
              </w:rPr>
            </w:pPr>
            <w:r>
              <w:t xml:space="preserve">минимальный процент озеленения земельного участка 15%.</w:t>
            </w:r>
            <w:r/>
          </w:p>
        </w:tc>
        <w:tc>
          <w:tcPr>
            <w:tcW w:w="2126" w:type="dxa"/>
            <w:vMerge w:val="continue"/>
            <w:textDirection w:val="lrTb"/>
            <w:noWrap w:val="false"/>
          </w:tcPr>
          <w:p>
            <w:pPr>
              <w:ind w:left="142"/>
              <w:jc w:val="both"/>
              <w:tabs>
                <w:tab w:val="left" w:pos="2520" w:leader="none"/>
              </w:tabs>
              <w:rPr>
                <w:b/>
              </w:rPr>
            </w:pPr>
            <w:r>
              <w:rPr>
                <w:b/>
              </w:rPr>
            </w:r>
            <w:r/>
          </w:p>
        </w:tc>
      </w:tr>
      <w:tr>
        <w:trPr>
          <w:trHeight w:val="284"/>
        </w:trPr>
        <w:tc>
          <w:tcPr>
            <w:tcBorders>
              <w:top w:val="single" w:color="000000" w:sz="8" w:space="0"/>
              <w:left w:val="single" w:color="000000" w:sz="8" w:space="0"/>
              <w:bottom w:val="single" w:color="auto" w:sz="4" w:space="0"/>
              <w:right w:val="none" w:color="000000" w:sz="4" w:space="0"/>
            </w:tcBorders>
            <w:tcW w:w="2103" w:type="dxa"/>
            <w:textDirection w:val="lrTb"/>
            <w:noWrap w:val="false"/>
          </w:tcPr>
          <w:p>
            <w:pPr>
              <w:ind w:left="142"/>
              <w:jc w:val="both"/>
              <w:tabs>
                <w:tab w:val="left" w:pos="2520" w:leader="none"/>
              </w:tabs>
            </w:pPr>
            <w:r>
              <w:t xml:space="preserve">[3.7.2]  </w:t>
            </w:r>
            <w:r/>
          </w:p>
          <w:p>
            <w:pPr>
              <w:ind w:left="142"/>
              <w:tabs>
                <w:tab w:val="left" w:pos="2520" w:leader="none"/>
              </w:tabs>
              <w:rPr>
                <w:b/>
              </w:rPr>
            </w:pPr>
            <w:r>
              <w:t xml:space="preserve">Религиозное </w:t>
            </w:r>
            <w:r>
              <w:t xml:space="preserve">управление и образование</w:t>
            </w:r>
            <w:r/>
          </w:p>
        </w:tc>
        <w:tc>
          <w:tcPr>
            <w:tcBorders>
              <w:top w:val="single" w:color="000000" w:sz="8" w:space="0"/>
              <w:left w:val="single" w:color="000000" w:sz="8" w:space="0"/>
              <w:bottom w:val="single" w:color="auto" w:sz="4" w:space="0"/>
              <w:right w:val="none" w:color="000000" w:sz="4" w:space="0"/>
            </w:tcBorders>
            <w:tcW w:w="5376" w:type="dxa"/>
            <w:textDirection w:val="lrTb"/>
            <w:noWrap w:val="false"/>
          </w:tcPr>
          <w:p>
            <w:pPr>
              <w:ind w:left="142"/>
              <w:jc w:val="both"/>
              <w:tabs>
                <w:tab w:val="left" w:pos="2520" w:leader="none"/>
              </w:tabs>
              <w:rPr>
                <w:b/>
              </w:rPr>
            </w:pPr>
            <w:r>
              <w:t xml:space="preserve">Размещение зданий, предназначенных для постоянного местонахождения духовных лиц, паломников и </w:t>
            </w:r>
            <w:r>
              <w:t xml:space="preserve">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r/>
          </w:p>
        </w:tc>
        <w:tc>
          <w:tcPr>
            <w:tcBorders>
              <w:top w:val="single" w:color="000000" w:sz="8" w:space="0"/>
              <w:left w:val="single" w:color="000000" w:sz="8" w:space="0"/>
              <w:bottom w:val="single" w:color="auto" w:sz="4" w:space="0"/>
            </w:tcBorders>
            <w:tcW w:w="5812" w:type="dxa"/>
            <w:textDirection w:val="lrTb"/>
            <w:noWrap w:val="false"/>
          </w:tcPr>
          <w:p>
            <w:pPr>
              <w:ind w:left="142" w:right="132"/>
              <w:jc w:val="both"/>
              <w:tabs>
                <w:tab w:val="left" w:pos="2520" w:leader="none"/>
              </w:tabs>
            </w:pPr>
            <w:r>
              <w:t xml:space="preserve">Минимальная/максимальная площадь земельных участков –500/5000 кв. м;</w:t>
            </w:r>
            <w:r/>
          </w:p>
          <w:p>
            <w:pPr>
              <w:ind w:left="142" w:right="132"/>
              <w:jc w:val="both"/>
              <w:tabs>
                <w:tab w:val="left" w:pos="2520" w:leader="none"/>
              </w:tabs>
            </w:pPr>
            <w:r>
              <w:t xml:space="preserve">Максимальная высота зданий, строений, сооружений от уровня земли - 15 м;</w:t>
            </w:r>
            <w:r/>
          </w:p>
          <w:p>
            <w:pPr>
              <w:ind w:left="142" w:right="132"/>
              <w:jc w:val="both"/>
              <w:tabs>
                <w:tab w:val="left" w:pos="2520" w:leader="none"/>
              </w:tabs>
            </w:pPr>
            <w:r>
              <w:t xml:space="preserve">Максимальный процент застройки в границах земельного участка – 60%;</w:t>
            </w:r>
            <w:r/>
          </w:p>
          <w:p>
            <w:pPr>
              <w:ind w:left="142" w:right="132"/>
              <w:jc w:val="both"/>
              <w:tabs>
                <w:tab w:val="left" w:pos="2520" w:leader="none"/>
              </w:tabs>
            </w:pPr>
            <w:r>
              <w:t xml:space="preserve">Минимальные отступы от красной линии – 5 м; от иных границ – 3 м;</w:t>
            </w:r>
            <w:r/>
          </w:p>
          <w:p>
            <w:pPr>
              <w:ind w:left="142" w:right="132"/>
              <w:jc w:val="both"/>
              <w:tabs>
                <w:tab w:val="left" w:pos="2520" w:leader="none"/>
              </w:tabs>
              <w:rPr>
                <w:rFonts w:eastAsia="SimSun"/>
                <w:lang w:eastAsia="zh-CN" w:bidi="ru-RU"/>
              </w:rPr>
            </w:pPr>
            <w:r>
              <w:t xml:space="preserve">Минимальный процент озеленения земельного участка 15%.</w:t>
            </w:r>
            <w:r/>
          </w:p>
        </w:tc>
        <w:tc>
          <w:tcPr>
            <w:tcW w:w="2126" w:type="dxa"/>
            <w:vMerge w:val="continue"/>
            <w:textDirection w:val="lrTb"/>
            <w:noWrap w:val="false"/>
          </w:tcPr>
          <w:p>
            <w:pPr>
              <w:ind w:left="142"/>
              <w:jc w:val="both"/>
              <w:tabs>
                <w:tab w:val="left" w:pos="2520" w:leader="none"/>
              </w:tabs>
              <w:rPr>
                <w:b/>
              </w:rPr>
            </w:pPr>
            <w:r>
              <w:rPr>
                <w:b/>
              </w:rPr>
            </w:r>
            <w:r/>
          </w:p>
        </w:tc>
      </w:tr>
      <w:tr>
        <w:trPr>
          <w:trHeight w:val="284"/>
        </w:trPr>
        <w:tc>
          <w:tcPr>
            <w:tcBorders>
              <w:top w:val="single" w:color="000000" w:sz="8" w:space="0"/>
              <w:left w:val="single" w:color="000000" w:sz="8" w:space="0"/>
              <w:right w:val="none" w:color="000000" w:sz="4" w:space="0"/>
            </w:tcBorders>
            <w:tcW w:w="2103" w:type="dxa"/>
            <w:textDirection w:val="lrTb"/>
            <w:noWrap w:val="false"/>
          </w:tcPr>
          <w:p>
            <w:pPr>
              <w:ind w:left="142"/>
              <w:jc w:val="both"/>
              <w:tabs>
                <w:tab w:val="left" w:pos="2520" w:leader="none"/>
              </w:tabs>
            </w:pPr>
            <w:r>
              <w:rPr>
                <w:lang w:val="en-US"/>
              </w:rPr>
              <w:t xml:space="preserve">[</w:t>
            </w:r>
            <w:r>
              <w:t xml:space="preserve">4.1</w:t>
            </w:r>
            <w:r>
              <w:rPr>
                <w:lang w:val="en-US"/>
              </w:rPr>
              <w:t xml:space="preserve">]</w:t>
            </w:r>
            <w:r/>
          </w:p>
          <w:p>
            <w:pPr>
              <w:ind w:left="142"/>
              <w:jc w:val="both"/>
              <w:tabs>
                <w:tab w:val="left" w:pos="2520" w:leader="none"/>
              </w:tabs>
            </w:pPr>
            <w:r>
              <w:t xml:space="preserve"> Деловое управление</w:t>
            </w:r>
            <w:r/>
          </w:p>
        </w:tc>
        <w:tc>
          <w:tcPr>
            <w:tcBorders>
              <w:top w:val="single" w:color="000000" w:sz="8" w:space="0"/>
              <w:left w:val="single" w:color="000000" w:sz="8" w:space="0"/>
              <w:right w:val="none" w:color="000000" w:sz="4" w:space="0"/>
            </w:tcBorders>
            <w:tcW w:w="5376" w:type="dxa"/>
            <w:textDirection w:val="lrTb"/>
            <w:noWrap w:val="false"/>
          </w:tcPr>
          <w:p>
            <w:pPr>
              <w:ind w:left="142"/>
              <w:jc w:val="both"/>
              <w:tabs>
                <w:tab w:val="left" w:pos="2520" w:leader="none"/>
              </w:tabs>
            </w:pPr>
            <w:r>
              <w:t xml:space="preserve">Размещение объектов капитального строительства с целью: размещения объектов управленческой деятельности, не связанной с государственным</w:t>
            </w:r>
            <w:r>
              <w:t xml:space="preserve">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r/>
          </w:p>
        </w:tc>
        <w:tc>
          <w:tcPr>
            <w:tcBorders>
              <w:top w:val="single" w:color="000000" w:sz="8" w:space="0"/>
              <w:left w:val="single" w:color="000000" w:sz="8" w:space="0"/>
            </w:tcBorders>
            <w:tcW w:w="5812" w:type="dxa"/>
            <w:textDirection w:val="lrTb"/>
            <w:noWrap w:val="false"/>
          </w:tcPr>
          <w:p>
            <w:pPr>
              <w:ind w:left="142" w:right="132"/>
              <w:jc w:val="both"/>
              <w:tabs>
                <w:tab w:val="left" w:pos="2520" w:leader="none"/>
              </w:tabs>
            </w:pPr>
            <w:r>
              <w:t xml:space="preserve">Минимальная/максимальная площадь земельных участков –500/1500 кв. м;</w:t>
            </w:r>
            <w:r/>
          </w:p>
          <w:p>
            <w:pPr>
              <w:ind w:left="142" w:right="132"/>
              <w:jc w:val="both"/>
              <w:tabs>
                <w:tab w:val="left" w:pos="2520" w:leader="none"/>
              </w:tabs>
            </w:pPr>
            <w:r>
              <w:t xml:space="preserve">Максимальная высота зданий, строений, сооружений от уровня земли - 15 м;</w:t>
            </w:r>
            <w:r/>
          </w:p>
          <w:p>
            <w:pPr>
              <w:ind w:left="142" w:right="132"/>
              <w:jc w:val="both"/>
              <w:tabs>
                <w:tab w:val="left" w:pos="2520" w:leader="none"/>
              </w:tabs>
            </w:pPr>
            <w:r>
              <w:t xml:space="preserve">Максимальный процент застройки в границах земельного участка – 60%;</w:t>
            </w:r>
            <w:r/>
          </w:p>
          <w:p>
            <w:pPr>
              <w:ind w:left="142" w:right="132"/>
              <w:jc w:val="both"/>
              <w:tabs>
                <w:tab w:val="left" w:pos="2520" w:leader="none"/>
              </w:tabs>
            </w:pPr>
            <w:r>
              <w:t xml:space="preserve">Минимальные отступы от красной линии – 5 м; от иных границ – 3 м;</w:t>
            </w:r>
            <w:r/>
          </w:p>
          <w:p>
            <w:pPr>
              <w:ind w:left="142" w:right="132"/>
              <w:jc w:val="both"/>
              <w:tabs>
                <w:tab w:val="left" w:pos="2520" w:leader="none"/>
              </w:tabs>
            </w:pPr>
            <w:r>
              <w:t xml:space="preserve">Минимальный процент озеленения земельного участка 15%.</w:t>
            </w:r>
            <w:r/>
          </w:p>
        </w:tc>
        <w:tc>
          <w:tcPr>
            <w:tcW w:w="2126" w:type="dxa"/>
            <w:vMerge w:val="continue"/>
            <w:textDirection w:val="lrTb"/>
            <w:noWrap w:val="false"/>
          </w:tcPr>
          <w:p>
            <w:pPr>
              <w:ind w:left="142"/>
              <w:jc w:val="both"/>
              <w:tabs>
                <w:tab w:val="left" w:pos="2520" w:leader="none"/>
              </w:tabs>
              <w:rPr>
                <w:b/>
              </w:rPr>
            </w:pPr>
            <w:r>
              <w:rPr>
                <w:b/>
              </w:rPr>
            </w:r>
            <w:r/>
          </w:p>
        </w:tc>
      </w:tr>
      <w:tr>
        <w:trPr>
          <w:trHeight w:val="284"/>
        </w:trPr>
        <w:tc>
          <w:tcPr>
            <w:tcBorders>
              <w:top w:val="single" w:color="000000" w:sz="8" w:space="0"/>
              <w:left w:val="single" w:color="000000" w:sz="8" w:space="0"/>
              <w:bottom w:val="single" w:color="auto" w:sz="4" w:space="0"/>
              <w:right w:val="none" w:color="000000" w:sz="4" w:space="0"/>
            </w:tcBorders>
            <w:tcW w:w="2103" w:type="dxa"/>
            <w:textDirection w:val="lrTb"/>
            <w:noWrap w:val="false"/>
          </w:tcPr>
          <w:p>
            <w:pPr>
              <w:ind w:left="142"/>
              <w:jc w:val="both"/>
              <w:tabs>
                <w:tab w:val="left" w:pos="2520" w:leader="none"/>
              </w:tabs>
              <w:rPr>
                <w:b/>
              </w:rPr>
            </w:pPr>
            <w:r>
              <w:rPr>
                <w:rFonts w:eastAsia="SimSun"/>
                <w:lang w:eastAsia="zh-CN" w:bidi="ru-RU"/>
              </w:rPr>
              <w:t xml:space="preserve">[4.6] </w:t>
            </w:r>
            <w:r>
              <w:rPr>
                <w:lang w:eastAsia="ru-RU" w:bidi="ru-RU"/>
              </w:rPr>
              <w:t xml:space="preserve">Общественное питание.</w:t>
            </w:r>
            <w:r/>
          </w:p>
        </w:tc>
        <w:tc>
          <w:tcPr>
            <w:tcBorders>
              <w:top w:val="single" w:color="000000" w:sz="8" w:space="0"/>
              <w:left w:val="single" w:color="000000" w:sz="8" w:space="0"/>
              <w:bottom w:val="single" w:color="auto" w:sz="4" w:space="0"/>
              <w:right w:val="none" w:color="000000" w:sz="4" w:space="0"/>
            </w:tcBorders>
            <w:tcW w:w="5376" w:type="dxa"/>
            <w:textDirection w:val="lrTb"/>
            <w:noWrap w:val="false"/>
          </w:tcPr>
          <w:p>
            <w:pPr>
              <w:ind w:left="142"/>
              <w:jc w:val="both"/>
              <w:tabs>
                <w:tab w:val="left" w:pos="2520" w:leader="none"/>
              </w:tabs>
              <w:rPr>
                <w:b/>
              </w:rPr>
            </w:pPr>
            <w:r>
              <w:rPr>
                <w:lang w:eastAsia="ru-RU" w:bidi="ru-RU"/>
              </w:rPr>
              <w:t xml:space="preserve">Размещение объектов капитального строительства в целях устройства мест общественного питания (рестораны, кафе, столовые, закусочные, бары)</w:t>
            </w:r>
            <w:r/>
          </w:p>
        </w:tc>
        <w:tc>
          <w:tcPr>
            <w:tcBorders>
              <w:top w:val="single" w:color="000000" w:sz="8" w:space="0"/>
              <w:left w:val="single" w:color="000000" w:sz="8" w:space="0"/>
              <w:bottom w:val="single" w:color="auto" w:sz="4" w:space="0"/>
            </w:tcBorders>
            <w:tcW w:w="5812" w:type="dxa"/>
            <w:textDirection w:val="lrTb"/>
            <w:noWrap w:val="false"/>
          </w:tcPr>
          <w:p>
            <w:pPr>
              <w:ind w:left="142" w:right="132"/>
              <w:jc w:val="both"/>
              <w:tabs>
                <w:tab w:val="left" w:pos="2520" w:leader="none"/>
              </w:tabs>
            </w:pPr>
            <w:r>
              <w:t xml:space="preserve">Минимальная/максимальная площадь земельных участков –200/1000 кв. м;</w:t>
            </w:r>
            <w:r/>
          </w:p>
          <w:p>
            <w:pPr>
              <w:ind w:left="142" w:right="132"/>
              <w:jc w:val="both"/>
              <w:tabs>
                <w:tab w:val="left" w:pos="2520" w:leader="none"/>
              </w:tabs>
            </w:pPr>
            <w:r>
              <w:t xml:space="preserve">максимальное количество надземных этажей зданий – 2 этажа (включая мансардный этаж); </w:t>
            </w:r>
            <w:r/>
          </w:p>
          <w:p>
            <w:pPr>
              <w:ind w:left="142" w:right="132"/>
              <w:jc w:val="both"/>
              <w:tabs>
                <w:tab w:val="left" w:pos="2520" w:leader="none"/>
              </w:tabs>
            </w:pPr>
            <w:r>
              <w:t xml:space="preserve">максимальная высота зданий, строений, сооружений от уровня земли - 12 м;</w:t>
            </w:r>
            <w:r/>
          </w:p>
          <w:p>
            <w:pPr>
              <w:ind w:left="142" w:right="132"/>
              <w:jc w:val="both"/>
              <w:tabs>
                <w:tab w:val="left" w:pos="2520" w:leader="none"/>
              </w:tabs>
            </w:pPr>
            <w:r>
              <w:t xml:space="preserve">максимальный процент застройки в границах земельного участка – 60%;</w:t>
            </w:r>
            <w:r/>
          </w:p>
          <w:p>
            <w:pPr>
              <w:ind w:left="142" w:right="132"/>
              <w:jc w:val="both"/>
              <w:tabs>
                <w:tab w:val="left" w:pos="2520" w:leader="none"/>
              </w:tabs>
            </w:pPr>
            <w:r>
              <w:t xml:space="preserve">минимальные отступы от красной линии – 5 м; от иных границ – 3 м;</w:t>
            </w:r>
            <w:r/>
          </w:p>
          <w:p>
            <w:pPr>
              <w:ind w:left="142"/>
              <w:jc w:val="both"/>
              <w:tabs>
                <w:tab w:val="left" w:pos="2520" w:leader="none"/>
              </w:tabs>
              <w:rPr>
                <w:b/>
              </w:rPr>
            </w:pPr>
            <w:r>
              <w:t xml:space="preserve">минимальный процент озеленения земельного участка 15%.</w:t>
            </w:r>
            <w:r/>
          </w:p>
        </w:tc>
        <w:tc>
          <w:tcPr>
            <w:tcW w:w="2126" w:type="dxa"/>
            <w:vMerge w:val="continue"/>
            <w:textDirection w:val="lrTb"/>
            <w:noWrap w:val="false"/>
          </w:tcPr>
          <w:p>
            <w:pPr>
              <w:ind w:left="142"/>
              <w:jc w:val="both"/>
              <w:tabs>
                <w:tab w:val="left" w:pos="2520" w:leader="none"/>
              </w:tabs>
              <w:rPr>
                <w:b/>
              </w:rPr>
            </w:pPr>
            <w:r>
              <w:rPr>
                <w:b/>
              </w:rPr>
            </w:r>
            <w:r/>
          </w:p>
        </w:tc>
      </w:tr>
      <w:tr>
        <w:trPr>
          <w:trHeight w:val="284"/>
        </w:trPr>
        <w:tc>
          <w:tcPr>
            <w:tcBorders>
              <w:top w:val="single" w:color="auto" w:sz="4" w:space="0"/>
              <w:left w:val="single" w:color="000000" w:sz="8" w:space="0"/>
              <w:right w:val="none" w:color="000000" w:sz="4" w:space="0"/>
            </w:tcBorders>
            <w:tcW w:w="2103" w:type="dxa"/>
            <w:textDirection w:val="lrTb"/>
            <w:noWrap w:val="false"/>
          </w:tcPr>
          <w:p>
            <w:pPr>
              <w:ind w:left="142"/>
              <w:jc w:val="both"/>
              <w:rPr>
                <w:rFonts w:eastAsia="SimSun"/>
                <w:lang w:eastAsia="zh-CN" w:bidi="ru-RU"/>
              </w:rPr>
            </w:pPr>
            <w:r>
              <w:rPr>
                <w:rFonts w:eastAsia="SimSun"/>
                <w:lang w:eastAsia="zh-CN" w:bidi="ru-RU"/>
              </w:rPr>
              <w:t xml:space="preserve">[4.3] </w:t>
            </w:r>
            <w:r/>
          </w:p>
          <w:p>
            <w:pPr>
              <w:ind w:left="142"/>
              <w:jc w:val="both"/>
              <w:rPr>
                <w:rFonts w:eastAsia="SimSun"/>
                <w:lang w:eastAsia="zh-CN" w:bidi="ru-RU"/>
              </w:rPr>
            </w:pPr>
            <w:r>
              <w:rPr>
                <w:rFonts w:eastAsia="SimSun"/>
                <w:lang w:eastAsia="zh-CN" w:bidi="ru-RU"/>
              </w:rPr>
              <w:t xml:space="preserve">Рынки</w:t>
            </w:r>
            <w:r/>
          </w:p>
        </w:tc>
        <w:tc>
          <w:tcPr>
            <w:tcBorders>
              <w:top w:val="single" w:color="auto" w:sz="4" w:space="0"/>
              <w:left w:val="single" w:color="000000" w:sz="8" w:space="0"/>
              <w:right w:val="none" w:color="000000" w:sz="4" w:space="0"/>
            </w:tcBorders>
            <w:tcW w:w="5376" w:type="dxa"/>
            <w:textDirection w:val="lrTb"/>
            <w:noWrap w:val="false"/>
          </w:tcPr>
          <w:p>
            <w:pPr>
              <w:ind w:left="142"/>
              <w:jc w:val="both"/>
              <w:tabs>
                <w:tab w:val="left" w:pos="2520" w:leader="none"/>
              </w:tabs>
              <w:rPr>
                <w:lang w:eastAsia="ru-RU" w:bidi="ru-RU"/>
              </w:rPr>
            </w:pPr>
            <w:r>
              <w:rPr>
                <w:lang w:eastAsia="ru-RU" w:bidi="ru-RU"/>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r/>
          </w:p>
          <w:p>
            <w:pPr>
              <w:ind w:left="142"/>
              <w:jc w:val="both"/>
              <w:tabs>
                <w:tab w:val="left" w:pos="2520" w:leader="none"/>
              </w:tabs>
              <w:rPr>
                <w:b/>
              </w:rPr>
            </w:pPr>
            <w:r>
              <w:rPr>
                <w:lang w:eastAsia="ru-RU" w:bidi="ru-RU"/>
              </w:rPr>
              <w:t xml:space="preserve">размещение гаражей и (или) стоянок для автомобилей сотрудников и посетителей рынка</w:t>
            </w:r>
            <w:r/>
          </w:p>
        </w:tc>
        <w:tc>
          <w:tcPr>
            <w:tcBorders>
              <w:top w:val="single" w:color="auto" w:sz="4" w:space="0"/>
              <w:left w:val="single" w:color="000000" w:sz="8" w:space="0"/>
            </w:tcBorders>
            <w:tcW w:w="5812" w:type="dxa"/>
            <w:textDirection w:val="lrTb"/>
            <w:noWrap w:val="false"/>
          </w:tcPr>
          <w:p>
            <w:pPr>
              <w:ind w:left="142" w:right="132"/>
              <w:jc w:val="both"/>
              <w:tabs>
                <w:tab w:val="left" w:pos="2520" w:leader="none"/>
              </w:tabs>
            </w:pPr>
            <w:r>
              <w:t xml:space="preserve">Минимальная/максимальная площадь земельных участков –500/3000 кв. м;</w:t>
            </w:r>
            <w:r/>
          </w:p>
          <w:p>
            <w:pPr>
              <w:ind w:left="142" w:right="132"/>
              <w:jc w:val="both"/>
              <w:tabs>
                <w:tab w:val="left" w:pos="2520" w:leader="none"/>
              </w:tabs>
            </w:pPr>
            <w:r>
              <w:t xml:space="preserve">Максимальное количество надземных этажей зданий – 1 этажа (включая мансардный этаж);                                                                                                                  </w:t>
            </w:r>
            <w:r/>
          </w:p>
          <w:p>
            <w:pPr>
              <w:ind w:left="142" w:right="132"/>
              <w:jc w:val="both"/>
              <w:tabs>
                <w:tab w:val="left" w:pos="2520" w:leader="none"/>
              </w:tabs>
            </w:pPr>
            <w:r>
              <w:t xml:space="preserve">Максимальная высота зданий, строений, сооружений от уровня земли - 6 м;</w:t>
            </w:r>
            <w:r/>
          </w:p>
          <w:p>
            <w:pPr>
              <w:ind w:left="142" w:right="132"/>
              <w:jc w:val="both"/>
              <w:tabs>
                <w:tab w:val="left" w:pos="2520" w:leader="none"/>
              </w:tabs>
            </w:pPr>
            <w:r>
              <w:t xml:space="preserve">Максимальный процент застройки в границах земельного участка – 40%;</w:t>
            </w:r>
            <w:r/>
          </w:p>
          <w:p>
            <w:pPr>
              <w:ind w:left="142" w:right="132"/>
              <w:jc w:val="both"/>
              <w:tabs>
                <w:tab w:val="left" w:pos="2520" w:leader="none"/>
              </w:tabs>
            </w:pPr>
            <w:r>
              <w:t xml:space="preserve">минимальные отступы от красной линии – 5 м; от иных границ – 3 </w:t>
            </w:r>
            <w:r/>
          </w:p>
          <w:p>
            <w:pPr>
              <w:ind w:left="142" w:right="132"/>
              <w:jc w:val="both"/>
              <w:tabs>
                <w:tab w:val="left" w:pos="2520" w:leader="none"/>
              </w:tabs>
              <w:rPr>
                <w:rFonts w:eastAsia="SimSun"/>
                <w:lang w:eastAsia="zh-CN" w:bidi="ru-RU"/>
              </w:rPr>
            </w:pPr>
            <w:r>
              <w:t xml:space="preserve">Минимальный процент озеленения земельного участка 15%.</w:t>
            </w:r>
            <w:r/>
          </w:p>
        </w:tc>
        <w:tc>
          <w:tcPr>
            <w:tcW w:w="2126" w:type="dxa"/>
            <w:vMerge w:val="continue"/>
            <w:textDirection w:val="lrTb"/>
            <w:noWrap w:val="false"/>
          </w:tcPr>
          <w:p>
            <w:pPr>
              <w:ind w:left="142"/>
              <w:jc w:val="both"/>
              <w:tabs>
                <w:tab w:val="left" w:pos="2520" w:leader="none"/>
              </w:tabs>
              <w:rPr>
                <w:b/>
              </w:rPr>
            </w:pPr>
            <w:r>
              <w:rPr>
                <w:b/>
              </w:rPr>
            </w:r>
            <w:r/>
          </w:p>
        </w:tc>
      </w:tr>
      <w:tr>
        <w:trPr>
          <w:trHeight w:val="284"/>
        </w:trPr>
        <w:tc>
          <w:tcPr>
            <w:tcBorders>
              <w:top w:val="single" w:color="auto" w:sz="4" w:space="0"/>
              <w:left w:val="single" w:color="000000" w:sz="8" w:space="0"/>
              <w:right w:val="none" w:color="000000" w:sz="4" w:space="0"/>
            </w:tcBorders>
            <w:tcW w:w="2103" w:type="dxa"/>
            <w:textDirection w:val="lrTb"/>
            <w:noWrap w:val="false"/>
          </w:tcPr>
          <w:p>
            <w:pPr>
              <w:ind w:left="137" w:right="156"/>
            </w:pPr>
            <w:r>
              <w:t xml:space="preserve">[4.8.1]  Развлекательные мероприятия</w:t>
            </w:r>
            <w:r/>
          </w:p>
        </w:tc>
        <w:tc>
          <w:tcPr>
            <w:tcBorders>
              <w:top w:val="single" w:color="auto" w:sz="4" w:space="0"/>
              <w:left w:val="single" w:color="000000" w:sz="8" w:space="0"/>
              <w:right w:val="none" w:color="000000" w:sz="4" w:space="0"/>
            </w:tcBorders>
            <w:tcW w:w="5376" w:type="dxa"/>
            <w:textDirection w:val="lrTb"/>
            <w:noWrap w:val="false"/>
          </w:tcPr>
          <w:p>
            <w:pPr>
              <w:ind w:left="108" w:right="142"/>
              <w:jc w:val="both"/>
            </w:pPr>
            <w:r>
              <w:t xml:space="preserve"> Размещение зданий и сооружений, предназначен</w:t>
            </w:r>
            <w:r>
              <w:t xml:space="preserve">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w:t>
            </w:r>
            <w:r>
              <w:t xml:space="preserve">игр), игровых площадок</w:t>
            </w:r>
            <w:r/>
          </w:p>
        </w:tc>
        <w:tc>
          <w:tcPr>
            <w:tcBorders>
              <w:top w:val="single" w:color="auto" w:sz="4" w:space="0"/>
              <w:left w:val="single" w:color="000000" w:sz="8" w:space="0"/>
            </w:tcBorders>
            <w:tcW w:w="5812" w:type="dxa"/>
            <w:textDirection w:val="lrTb"/>
            <w:noWrap w:val="false"/>
          </w:tcPr>
          <w:p>
            <w:pPr>
              <w:ind w:left="118" w:right="141"/>
              <w:jc w:val="both"/>
            </w:pPr>
            <w:r>
              <w:t xml:space="preserve">Минимальная/максимальная площадь земельных участков – 500/15000 кв. м;</w:t>
            </w:r>
            <w:r/>
          </w:p>
          <w:p>
            <w:pPr>
              <w:ind w:left="118" w:right="141"/>
              <w:jc w:val="both"/>
            </w:pPr>
            <w:r>
              <w:t xml:space="preserve">максимальный процент застройки в границах земельного участка –60%;</w:t>
            </w:r>
            <w:r/>
          </w:p>
          <w:p>
            <w:pPr>
              <w:ind w:left="118" w:right="141"/>
              <w:jc w:val="both"/>
            </w:pPr>
            <w:r>
              <w:t xml:space="preserve">максимальное количество надземных этажей зданий –                     3;</w:t>
            </w:r>
            <w:r/>
          </w:p>
          <w:p>
            <w:pPr>
              <w:ind w:left="118" w:right="141"/>
              <w:jc w:val="both"/>
            </w:pPr>
            <w:r>
              <w:t xml:space="preserve">максимальная высота зданий, строений, сооружений от уровня земли - 20 м;</w:t>
            </w:r>
            <w:r/>
          </w:p>
          <w:p>
            <w:pPr>
              <w:ind w:left="118" w:right="141"/>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18" w:right="141"/>
              <w:jc w:val="both"/>
            </w:pPr>
            <w:r>
              <w:rPr>
                <w:rFonts w:eastAsia="SimSun"/>
                <w:lang w:eastAsia="zh-CN" w:bidi="ru-RU"/>
              </w:rPr>
              <w:t xml:space="preserve">минимальный процент озеленения земельного участка 15%.</w:t>
            </w:r>
            <w:r/>
          </w:p>
        </w:tc>
        <w:tc>
          <w:tcPr>
            <w:tcW w:w="2126" w:type="dxa"/>
            <w:vMerge w:val="continue"/>
            <w:textDirection w:val="lrTb"/>
            <w:noWrap w:val="false"/>
          </w:tcPr>
          <w:p>
            <w:pPr>
              <w:ind w:left="142"/>
              <w:jc w:val="both"/>
              <w:tabs>
                <w:tab w:val="left" w:pos="2520" w:leader="none"/>
              </w:tabs>
              <w:rPr>
                <w:b/>
              </w:rPr>
            </w:pPr>
            <w:r>
              <w:rPr>
                <w:b/>
              </w:rPr>
            </w:r>
            <w:r/>
          </w:p>
        </w:tc>
      </w:tr>
      <w:tr>
        <w:trPr>
          <w:trHeight w:val="284"/>
        </w:trPr>
        <w:tc>
          <w:tcPr>
            <w:tcBorders>
              <w:top w:val="single" w:color="auto" w:sz="4" w:space="0"/>
              <w:left w:val="single" w:color="000000" w:sz="8" w:space="0"/>
              <w:right w:val="none" w:color="000000" w:sz="4" w:space="0"/>
            </w:tcBorders>
            <w:tcW w:w="2103" w:type="dxa"/>
            <w:textDirection w:val="lrTb"/>
            <w:noWrap w:val="false"/>
          </w:tcPr>
          <w:p>
            <w:pPr>
              <w:pStyle w:val="1308"/>
              <w:ind w:left="172"/>
              <w:rPr>
                <w:spacing w:val="-4"/>
                <w:sz w:val="20"/>
                <w:lang w:val="ru-RU"/>
              </w:rPr>
            </w:pPr>
            <w:r>
              <w:rPr>
                <w:sz w:val="20"/>
              </w:rPr>
              <w:t xml:space="preserve">[8.3]</w:t>
            </w:r>
            <w:r>
              <w:rPr>
                <w:spacing w:val="-4"/>
                <w:sz w:val="20"/>
              </w:rPr>
              <w:t xml:space="preserve"> </w:t>
            </w:r>
            <w:r/>
          </w:p>
          <w:p>
            <w:pPr>
              <w:pStyle w:val="1308"/>
              <w:ind w:left="172"/>
              <w:jc w:val="both"/>
              <w:rPr>
                <w:sz w:val="20"/>
              </w:rPr>
            </w:pPr>
            <w:r>
              <w:rPr>
                <w:sz w:val="20"/>
                <w:szCs w:val="20"/>
                <w:lang w:val="ru-RU" w:eastAsia="ar-SA"/>
              </w:rPr>
              <w:t xml:space="preserve">Обеспечение внутреннего правопорядка</w:t>
            </w:r>
            <w:r/>
          </w:p>
        </w:tc>
        <w:tc>
          <w:tcPr>
            <w:tcBorders>
              <w:top w:val="single" w:color="auto" w:sz="4" w:space="0"/>
              <w:left w:val="single" w:color="000000" w:sz="8" w:space="0"/>
              <w:right w:val="none" w:color="000000" w:sz="4" w:space="0"/>
            </w:tcBorders>
            <w:tcW w:w="5376" w:type="dxa"/>
            <w:textDirection w:val="lrTb"/>
            <w:noWrap w:val="false"/>
          </w:tcPr>
          <w:p>
            <w:pPr>
              <w:pStyle w:val="1308"/>
              <w:ind w:firstLine="175"/>
              <w:jc w:val="both"/>
              <w:rPr>
                <w:sz w:val="20"/>
                <w:lang w:val="ru-RU"/>
              </w:rPr>
            </w:pPr>
            <w:r>
              <w:rPr>
                <w:sz w:val="20"/>
                <w:lang w:val="ru-RU"/>
              </w:rPr>
              <w:t xml:space="preserve">Размещение объектов капитального строительства, необходимых для подготовки и</w:t>
            </w:r>
            <w:r>
              <w:rPr>
                <w:sz w:val="20"/>
                <w:lang w:val="ru-RU"/>
              </w:rPr>
              <w:t xml:space="preserve">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r/>
          </w:p>
        </w:tc>
        <w:tc>
          <w:tcPr>
            <w:tcBorders>
              <w:top w:val="single" w:color="auto" w:sz="4" w:space="0"/>
              <w:left w:val="single" w:color="000000" w:sz="8" w:space="0"/>
            </w:tcBorders>
            <w:tcW w:w="5812" w:type="dxa"/>
            <w:textDirection w:val="lrTb"/>
            <w:noWrap w:val="false"/>
          </w:tcPr>
          <w:p>
            <w:pPr>
              <w:ind w:left="34"/>
              <w:jc w:val="both"/>
            </w:pPr>
            <w:r>
              <w:t xml:space="preserve">Минимальная/максимальная</w:t>
            </w:r>
            <w:r>
              <w:tab/>
              <w:t xml:space="preserve">площадь</w:t>
            </w:r>
            <w:r/>
          </w:p>
          <w:p>
            <w:pPr>
              <w:ind w:left="34"/>
              <w:jc w:val="both"/>
            </w:pPr>
            <w:r>
              <w:t xml:space="preserve">земельных участков –200/15000 кв. м; максимальный процент застройки в границах земельного участка –60%;</w:t>
            </w:r>
            <w:r/>
          </w:p>
          <w:p>
            <w:pPr>
              <w:ind w:left="34"/>
              <w:jc w:val="both"/>
            </w:pPr>
            <w:r>
              <w:t xml:space="preserve">максимальное количество надземных этажей зданий – 4 этажа;</w:t>
            </w:r>
            <w:r/>
          </w:p>
          <w:p>
            <w:pPr>
              <w:ind w:left="34"/>
              <w:jc w:val="both"/>
            </w:pPr>
            <w:r>
              <w:t xml:space="preserve">максимальная</w:t>
            </w:r>
            <w:r>
              <w:tab/>
              <w:t xml:space="preserve">высота</w:t>
            </w:r>
            <w:r>
              <w:tab/>
              <w:t xml:space="preserve">зданий,</w:t>
            </w:r>
            <w:r>
              <w:tab/>
              <w:t xml:space="preserve">строений, сооружений от уровня земли - 20 м;</w:t>
            </w:r>
            <w:r/>
          </w:p>
          <w:p>
            <w:pPr>
              <w:ind w:left="34"/>
              <w:jc w:val="both"/>
            </w:pPr>
            <w:r>
              <w:t xml:space="preserve">минимальные отступы от красной линии – 5 м; от иных границ – 3 м.</w:t>
            </w:r>
            <w:r/>
          </w:p>
        </w:tc>
        <w:tc>
          <w:tcPr>
            <w:tcW w:w="2126" w:type="dxa"/>
            <w:vMerge w:val="continue"/>
            <w:textDirection w:val="lrTb"/>
            <w:noWrap w:val="false"/>
          </w:tcPr>
          <w:p>
            <w:pPr>
              <w:ind w:left="142"/>
              <w:jc w:val="both"/>
              <w:tabs>
                <w:tab w:val="left" w:pos="2520" w:leader="none"/>
              </w:tabs>
              <w:rPr>
                <w:b/>
              </w:rPr>
            </w:pPr>
            <w:r>
              <w:rPr>
                <w:b/>
              </w:rPr>
            </w:r>
            <w:r/>
          </w:p>
        </w:tc>
      </w:tr>
      <w:tr>
        <w:trPr>
          <w:trHeight w:val="284"/>
        </w:trPr>
        <w:tc>
          <w:tcPr>
            <w:tcBorders>
              <w:top w:val="single" w:color="auto" w:sz="4" w:space="0"/>
              <w:left w:val="single" w:color="000000" w:sz="8" w:space="0"/>
              <w:bottom w:val="single" w:color="auto" w:sz="4" w:space="0"/>
              <w:right w:val="none" w:color="000000" w:sz="4" w:space="0"/>
            </w:tcBorders>
            <w:tcW w:w="2103" w:type="dxa"/>
            <w:textDirection w:val="lrTb"/>
            <w:noWrap w:val="false"/>
          </w:tcPr>
          <w:p>
            <w:pPr>
              <w:ind w:left="142"/>
              <w:jc w:val="both"/>
              <w:rPr>
                <w:rFonts w:eastAsia="SimSun"/>
                <w:lang w:eastAsia="zh-CN" w:bidi="ru-RU"/>
              </w:rPr>
            </w:pPr>
            <w:r>
              <w:rPr>
                <w:rFonts w:eastAsia="SimSun"/>
                <w:lang w:val="en-US" w:eastAsia="zh-CN" w:bidi="ru-RU"/>
              </w:rPr>
              <w:t xml:space="preserve">[13.2] </w:t>
            </w:r>
            <w:r/>
          </w:p>
          <w:p>
            <w:pPr>
              <w:ind w:left="142"/>
              <w:jc w:val="both"/>
              <w:rPr>
                <w:rFonts w:eastAsia="SimSun"/>
                <w:lang w:val="en-US" w:eastAsia="zh-CN" w:bidi="ru-RU"/>
              </w:rPr>
            </w:pPr>
            <w:r>
              <w:rPr>
                <w:rFonts w:eastAsia="SimSun"/>
                <w:lang w:val="en-US" w:eastAsia="zh-CN" w:bidi="ru-RU"/>
              </w:rPr>
              <w:t xml:space="preserve">Ведение</w:t>
            </w:r>
            <w:r>
              <w:rPr>
                <w:rFonts w:eastAsia="SimSun"/>
                <w:lang w:eastAsia="zh-CN" w:bidi="ru-RU"/>
              </w:rPr>
              <w:t xml:space="preserve"> </w:t>
            </w:r>
            <w:r>
              <w:rPr>
                <w:rFonts w:eastAsia="SimSun"/>
                <w:lang w:val="en-US" w:eastAsia="zh-CN" w:bidi="ru-RU"/>
              </w:rPr>
              <w:t xml:space="preserve">садоводства</w:t>
            </w:r>
            <w:r/>
          </w:p>
        </w:tc>
        <w:tc>
          <w:tcPr>
            <w:tcBorders>
              <w:top w:val="single" w:color="auto" w:sz="4" w:space="0"/>
              <w:left w:val="single" w:color="000000" w:sz="8" w:space="0"/>
              <w:bottom w:val="single" w:color="auto" w:sz="4" w:space="0"/>
              <w:right w:val="none" w:color="000000" w:sz="4" w:space="0"/>
            </w:tcBorders>
            <w:tcW w:w="5376" w:type="dxa"/>
            <w:textDirection w:val="lrTb"/>
            <w:noWrap w:val="false"/>
          </w:tcPr>
          <w:p>
            <w:pPr>
              <w:ind w:left="142"/>
              <w:jc w:val="both"/>
              <w:tabs>
                <w:tab w:val="left" w:pos="2520" w:leader="none"/>
              </w:tabs>
              <w:rPr>
                <w:lang w:eastAsia="ru-RU" w:bidi="ru-RU"/>
              </w:rPr>
            </w:pPr>
            <w:r>
              <w:rPr>
                <w:lang w:eastAsia="ru-RU" w:bidi="ru-RU"/>
              </w:rPr>
              <w:t xml:space="preserve">Осуществление отдыха и (или) выращивания гражданами для собственных нужд сельскохозяйственных культур; размещение для собственных нужд </w:t>
            </w:r>
            <w:r>
              <w:rPr>
                <w:lang w:eastAsia="ru-RU" w:bidi="ru-RU"/>
              </w:rPr>
              <w:t xml:space="preserve">садового дома, жилого дома, указанного в описании вида разрешенного использования с кодом 2.1, хозяйственных построек и гаражей (размещение жилого дома (отдельно стоящего здания количеством надземных этажей не более чем три, высотой не более двадцати метро</w:t>
            </w:r>
            <w:r>
              <w:rPr>
                <w:lang w:eastAsia="ru-RU" w:bidi="ru-RU"/>
              </w:rPr>
              <w:t xml:space="preserve">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r/>
          </w:p>
          <w:p>
            <w:pPr>
              <w:ind w:left="142"/>
              <w:jc w:val="both"/>
              <w:tabs>
                <w:tab w:val="left" w:pos="2520" w:leader="none"/>
              </w:tabs>
              <w:rPr>
                <w:lang w:eastAsia="ru-RU" w:bidi="ru-RU"/>
              </w:rPr>
            </w:pPr>
            <w:r>
              <w:rPr>
                <w:lang w:eastAsia="ru-RU" w:bidi="ru-RU"/>
              </w:rPr>
              <w:t xml:space="preserve">выращивание сельскохозяйственных культур;</w:t>
            </w:r>
            <w:r/>
          </w:p>
          <w:p>
            <w:pPr>
              <w:ind w:left="142"/>
              <w:jc w:val="both"/>
              <w:tabs>
                <w:tab w:val="left" w:pos="2520" w:leader="none"/>
              </w:tabs>
              <w:rPr>
                <w:lang w:eastAsia="ru-RU" w:bidi="ru-RU"/>
              </w:rPr>
            </w:pPr>
            <w:r>
              <w:rPr>
                <w:lang w:eastAsia="ru-RU" w:bidi="ru-RU"/>
              </w:rPr>
              <w:t xml:space="preserve">размещение индивидуальных гаражей и хозяйственных построек)</w:t>
            </w:r>
            <w:r/>
          </w:p>
        </w:tc>
        <w:tc>
          <w:tcPr>
            <w:tcBorders>
              <w:top w:val="single" w:color="auto" w:sz="4" w:space="0"/>
              <w:left w:val="single" w:color="000000" w:sz="4" w:space="0"/>
              <w:bottom w:val="single" w:color="auto" w:sz="4" w:space="0"/>
            </w:tcBorders>
            <w:tcW w:w="5812" w:type="dxa"/>
            <w:textDirection w:val="lrTb"/>
            <w:noWrap w:val="false"/>
          </w:tcPr>
          <w:p>
            <w:pPr>
              <w:ind w:left="142" w:right="116"/>
              <w:jc w:val="both"/>
            </w:pPr>
            <w:r>
              <w:t xml:space="preserve">Минимальная/максимальная площадь земельных участков   – 400/1000 кв. м;</w:t>
            </w:r>
            <w:r/>
          </w:p>
          <w:p>
            <w:pPr>
              <w:ind w:left="142" w:right="116"/>
              <w:jc w:val="both"/>
            </w:pPr>
            <w:r>
              <w:t xml:space="preserve">минимальная ширина земельных участков вдоль фронта улицы (проезда) – не регламентируется,</w:t>
            </w:r>
            <w:r/>
          </w:p>
          <w:p>
            <w:pPr>
              <w:ind w:left="142" w:right="116"/>
              <w:jc w:val="both"/>
            </w:pPr>
            <w:r>
              <w:t xml:space="preserve">максимальное количество надземных этажей зданий – 3 этажа (включая мансардный этаж); </w:t>
            </w:r>
            <w:r/>
          </w:p>
          <w:p>
            <w:pPr>
              <w:ind w:left="142" w:right="116"/>
              <w:jc w:val="both"/>
            </w:pPr>
            <w:r>
              <w:t xml:space="preserve">максимальная высота зданий от уровня земли до верха перекрытия последнего этажа (или конька кровли) - 20 м;</w:t>
            </w:r>
            <w:r/>
          </w:p>
          <w:p>
            <w:pPr>
              <w:ind w:left="142" w:right="116"/>
              <w:jc w:val="both"/>
            </w:pPr>
            <w:r>
              <w:t xml:space="preserve">максимальный процент застройки в границах земельного участка – 60 %; </w:t>
            </w:r>
            <w:r/>
          </w:p>
          <w:p>
            <w:pPr>
              <w:ind w:left="142" w:right="116"/>
              <w:jc w:val="both"/>
            </w:pPr>
            <w:r>
              <w:t xml:space="preserve">минимальные отступы от красной линии – 5 м или по линии застройки в сложившейся застройке; </w:t>
            </w:r>
            <w:r/>
          </w:p>
          <w:p>
            <w:pPr>
              <w:ind w:left="142" w:right="116"/>
              <w:jc w:val="both"/>
            </w:pPr>
            <w:r>
              <w:t xml:space="preserve">от иных границ – 3 м, при блокировке зданий от границы блокирования – 0 м.</w:t>
            </w:r>
            <w:r/>
          </w:p>
          <w:p>
            <w:pPr>
              <w:ind w:left="142" w:right="116"/>
              <w:jc w:val="both"/>
            </w:pPr>
            <w:r>
              <w:t xml:space="preserve">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r/>
          </w:p>
          <w:p>
            <w:pPr>
              <w:ind w:left="142" w:right="116"/>
              <w:jc w:val="both"/>
            </w:pPr>
            <w:r>
              <w:t xml:space="preserve">1,0 м - для одноэтажного жилого дома;</w:t>
            </w:r>
            <w:r/>
          </w:p>
          <w:p>
            <w:pPr>
              <w:ind w:left="142" w:right="116"/>
              <w:jc w:val="both"/>
            </w:pPr>
            <w:r>
              <w:t xml:space="preserve">1,5 м - для двухэтажного жилого дома;</w:t>
            </w:r>
            <w:r/>
          </w:p>
          <w:p>
            <w:pPr>
              <w:ind w:left="142" w:right="116"/>
              <w:jc w:val="both"/>
            </w:pPr>
            <w:r>
              <w:t xml:space="preserve">2,0 м - для трехэтажного жилого дома.</w:t>
            </w:r>
            <w:r/>
          </w:p>
          <w:p>
            <w:pPr>
              <w:ind w:left="142" w:right="132"/>
              <w:jc w:val="both"/>
              <w:tabs>
                <w:tab w:val="left" w:pos="2520" w:leader="none"/>
              </w:tabs>
            </w:pPr>
            <w:r>
              <w:t xml:space="preserve">Коэффициент использования территории не более 0,4</w:t>
            </w:r>
            <w:r/>
          </w:p>
        </w:tc>
        <w:tc>
          <w:tcPr>
            <w:tcW w:w="2126" w:type="dxa"/>
            <w:vMerge w:val="continue"/>
            <w:textDirection w:val="lrTb"/>
            <w:noWrap w:val="false"/>
          </w:tcPr>
          <w:p>
            <w:pPr>
              <w:ind w:left="142"/>
              <w:jc w:val="both"/>
              <w:tabs>
                <w:tab w:val="left" w:pos="2520" w:leader="none"/>
              </w:tabs>
              <w:rPr>
                <w:b/>
              </w:rPr>
            </w:pPr>
            <w:r>
              <w:rPr>
                <w:b/>
              </w:rPr>
            </w:r>
            <w:r/>
          </w:p>
        </w:tc>
      </w:tr>
    </w:tbl>
    <w:p>
      <w:pPr>
        <w:jc w:val="center"/>
        <w:tabs>
          <w:tab w:val="left" w:pos="2520" w:leader="none"/>
        </w:tabs>
      </w:pPr>
      <w:r/>
      <w:r/>
    </w:p>
    <w:p>
      <w:pPr>
        <w:jc w:val="center"/>
        <w:tabs>
          <w:tab w:val="left" w:pos="2520" w:leader="none"/>
        </w:tabs>
      </w:pPr>
      <w:r/>
      <w:r/>
    </w:p>
    <w:p>
      <w:pPr>
        <w:jc w:val="center"/>
        <w:tabs>
          <w:tab w:val="left" w:pos="2520" w:leader="none"/>
        </w:tabs>
      </w:pPr>
      <w:r>
        <w:rPr>
          <w:rFonts w:eastAsia="SimSun"/>
          <w:b/>
          <w:lang w:eastAsia="zh-CN" w:bidi="ru-RU"/>
        </w:rPr>
        <w:t xml:space="preserve">ВСПОМОГАТЕЛЬНЫЕ ВИДЫ И ПАРАМЕТРЫ РАЗРЕШЕННОГО ИСПОЛЬЗОВАНИЯ ЗЕМЕЛЬНЫХ УЧАСТКОВ И ОБЪЕКТОВ КАПИТАЛЬНОГО СТРОИТЕЛЬСТВА</w:t>
      </w:r>
      <w:r/>
    </w:p>
    <w:p>
      <w:pPr>
        <w:ind w:right="175" w:firstLine="567"/>
        <w:jc w:val="both"/>
      </w:pPr>
      <w:r>
        <w:rPr>
          <w:rFonts w:eastAsia="SimSun"/>
          <w:color w:val="000000"/>
          <w:sz w:val="24"/>
          <w:szCs w:val="24"/>
          <w:lang w:eastAsia="zh-CN" w:bidi="ru-RU"/>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w:t>
      </w:r>
      <w:r>
        <w:rPr>
          <w:rFonts w:eastAsia="SimSun"/>
          <w:color w:val="000000"/>
          <w:sz w:val="24"/>
          <w:szCs w:val="24"/>
          <w:lang w:eastAsia="zh-CN" w:bidi="ru-RU"/>
        </w:rPr>
        <w:t xml:space="preserve">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r/>
    </w:p>
    <w:tbl>
      <w:tblPr>
        <w:tblW w:w="15163" w:type="dxa"/>
        <w:tblInd w:w="15" w:type="dxa"/>
        <w:tblLayout w:type="fixed"/>
        <w:tblCellMar>
          <w:left w:w="10" w:type="dxa"/>
          <w:right w:w="10" w:type="dxa"/>
        </w:tblCellMar>
        <w:tblLook w:val="04A0" w:firstRow="1" w:lastRow="0" w:firstColumn="1" w:lastColumn="0" w:noHBand="0" w:noVBand="1"/>
      </w:tblPr>
      <w:tblGrid>
        <w:gridCol w:w="3320"/>
        <w:gridCol w:w="5889"/>
        <w:gridCol w:w="5954"/>
      </w:tblGrid>
      <w:tr>
        <w:trPr>
          <w:trHeight w:val="1489"/>
        </w:trPr>
        <w:tc>
          <w:tcPr>
            <w:tcBorders>
              <w:top w:val="single" w:color="000000" w:sz="8" w:space="0"/>
              <w:left w:val="single" w:color="000000" w:sz="8" w:space="0"/>
              <w:bottom w:val="single" w:color="auto" w:sz="4" w:space="0"/>
              <w:right w:val="none" w:color="000000" w:sz="4" w:space="0"/>
            </w:tcBorders>
            <w:tcW w:w="3320" w:type="dxa"/>
            <w:vAlign w:val="center"/>
            <w:textDirection w:val="lrTb"/>
            <w:noWrap w:val="false"/>
          </w:tcPr>
          <w:p>
            <w:pPr>
              <w:ind w:firstLine="567"/>
              <w:jc w:val="center"/>
              <w:tabs>
                <w:tab w:val="left" w:pos="2520" w:leader="none"/>
              </w:tabs>
              <w:rPr>
                <w:b/>
              </w:rPr>
            </w:pPr>
            <w:r>
              <w:rPr>
                <w:b/>
              </w:rPr>
              <w:t xml:space="preserve">ВИДЫ ВСПОМОГАТЕЛЬНЫХ ОБЪЕКТОВ КАПИТАЛЬНОГО СТРОИТЕЛЬСТВА</w:t>
            </w:r>
            <w:r/>
          </w:p>
        </w:tc>
        <w:tc>
          <w:tcPr>
            <w:tcBorders>
              <w:top w:val="single" w:color="000000" w:sz="8" w:space="0"/>
              <w:left w:val="single" w:color="000000" w:sz="8" w:space="0"/>
              <w:bottom w:val="single" w:color="auto" w:sz="4" w:space="0"/>
              <w:right w:val="single" w:color="auto" w:sz="4" w:space="0"/>
            </w:tcBorders>
            <w:tcW w:w="5889" w:type="dxa"/>
            <w:vAlign w:val="center"/>
            <w:textDirection w:val="lrTb"/>
            <w:noWrap w:val="false"/>
          </w:tcPr>
          <w:p>
            <w:pPr>
              <w:ind w:firstLine="567"/>
              <w:jc w:val="center"/>
              <w:tabs>
                <w:tab w:val="left" w:pos="2520" w:leader="none"/>
              </w:tabs>
              <w:rPr>
                <w:rFonts w:eastAsia="SimSun"/>
                <w:lang w:eastAsia="zh-CN" w:bidi="ru-RU"/>
              </w:rPr>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Borders>
              <w:top w:val="single" w:color="000000" w:sz="8" w:space="0"/>
              <w:left w:val="single" w:color="auto" w:sz="4" w:space="0"/>
              <w:bottom w:val="single" w:color="auto" w:sz="4" w:space="0"/>
              <w:right w:val="single" w:color="auto" w:sz="4" w:space="0"/>
            </w:tcBorders>
            <w:tcW w:w="5954" w:type="dxa"/>
            <w:vAlign w:val="center"/>
            <w:textDirection w:val="lrTb"/>
            <w:noWrap w:val="false"/>
          </w:tcPr>
          <w:p>
            <w:pPr>
              <w:ind w:right="557" w:firstLine="567"/>
              <w:jc w:val="center"/>
              <w:tabs>
                <w:tab w:val="left" w:pos="3071" w:leader="none"/>
              </w:tabs>
              <w:rPr>
                <w:b/>
              </w:rPr>
            </w:pPr>
            <w:r>
              <w:rPr>
                <w:b/>
              </w:rPr>
              <w:t xml:space="preserve">ОСОБЫЕ УСЛОВИЯ РЕАЛИЗАЦИИ РЕГЛАМЕНТА</w:t>
            </w:r>
            <w:r/>
          </w:p>
          <w:p>
            <w:pPr>
              <w:ind w:right="557" w:firstLine="567"/>
              <w:jc w:val="center"/>
              <w:tabs>
                <w:tab w:val="left" w:pos="3071" w:leader="none"/>
              </w:tabs>
              <w:rPr>
                <w:b/>
              </w:rPr>
            </w:pPr>
            <w:r>
              <w:rPr>
                <w:b/>
              </w:rPr>
            </w:r>
            <w:r/>
          </w:p>
        </w:tc>
      </w:tr>
      <w:tr>
        <w:trPr>
          <w:trHeight w:val="736"/>
        </w:trPr>
        <w:tc>
          <w:tcPr>
            <w:tcBorders>
              <w:top w:val="single" w:color="auto" w:sz="4" w:space="0"/>
              <w:left w:val="single" w:color="000000" w:sz="8" w:space="0"/>
              <w:bottom w:val="single" w:color="000000" w:sz="4" w:space="0"/>
              <w:right w:val="none" w:color="000000" w:sz="4" w:space="0"/>
            </w:tcBorders>
            <w:tcW w:w="3320" w:type="dxa"/>
            <w:vAlign w:val="center"/>
            <w:textDirection w:val="lrTb"/>
            <w:noWrap w:val="false"/>
          </w:tcPr>
          <w:p>
            <w:pPr>
              <w:ind w:left="127" w:right="132"/>
              <w:rPr>
                <w:rFonts w:eastAsia="SimSun"/>
                <w:lang w:eastAsia="zh-CN" w:bidi="ru-RU"/>
              </w:rPr>
            </w:pPr>
            <w:r>
              <w:rPr>
                <w:rFonts w:eastAsia="SimSun"/>
                <w:lang w:eastAsia="zh-CN" w:bidi="ru-RU"/>
              </w:rPr>
              <w:t xml:space="preserve">Хозяйственные постройки для хранения кормов, инвентаря, топлива и других хозяйственных нужд.</w:t>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t xml:space="preserve">Встроенные или отдельно стоящие коллективные хранилища сельскохозяйственных продуктов (для многоквартирных домов).</w:t>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t xml:space="preserve">Хозяйственные постройки для содержания скота и птицы.</w:t>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t xml:space="preserve">Летние кухни, кладовые, погреба, бани, бассейны, гаражи навесы.</w:t>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t xml:space="preserve">Надворные туалеты, гидронепроницаемые выгребы, септики.</w:t>
            </w:r>
            <w:r/>
          </w:p>
          <w:p>
            <w:pPr>
              <w:ind w:left="127" w:right="132"/>
              <w:rPr>
                <w:rFonts w:eastAsia="SimSun"/>
                <w:highlight w:val="cyan"/>
                <w:lang w:eastAsia="zh-CN" w:bidi="ru-RU"/>
              </w:rPr>
            </w:pPr>
            <w:r>
              <w:rPr>
                <w:rFonts w:eastAsia="SimSun"/>
                <w:highlight w:val="cyan"/>
                <w:lang w:eastAsia="zh-CN" w:bidi="ru-RU"/>
              </w:rPr>
            </w:r>
            <w:r/>
          </w:p>
          <w:p>
            <w:pPr>
              <w:ind w:left="127" w:right="132"/>
            </w:pPr>
            <w:r/>
            <w:r/>
          </w:p>
          <w:p>
            <w:pPr>
              <w:ind w:left="127" w:right="132"/>
            </w:pPr>
            <w:r/>
            <w:r/>
          </w:p>
          <w:p>
            <w:pPr>
              <w:ind w:left="127" w:right="132"/>
            </w:pPr>
            <w:r>
              <w:t xml:space="preserve">Ограждение</w:t>
            </w:r>
            <w:r/>
          </w:p>
          <w:p>
            <w:pPr>
              <w:ind w:left="127" w:right="132"/>
            </w:pPr>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t xml:space="preserve">Объекты хранения индивидуального легкового автотранспорт.</w:t>
            </w:r>
            <w:r/>
          </w:p>
          <w:p>
            <w:pPr>
              <w:ind w:left="127" w:right="132"/>
              <w:rPr>
                <w:rFonts w:eastAsia="SimSun"/>
                <w:highlight w:val="cyan"/>
                <w:lang w:eastAsia="zh-CN" w:bidi="ru-RU"/>
              </w:rPr>
            </w:pPr>
            <w:r>
              <w:rPr>
                <w:rFonts w:eastAsia="SimSun"/>
                <w:highlight w:val="cyan"/>
                <w:lang w:eastAsia="zh-CN" w:bidi="ru-RU"/>
              </w:rPr>
            </w:r>
            <w:r/>
          </w:p>
          <w:p>
            <w:pPr>
              <w:ind w:left="127" w:right="132"/>
              <w:rPr>
                <w:rFonts w:eastAsia="SimSun"/>
                <w:highlight w:val="cyan"/>
                <w:lang w:eastAsia="zh-CN" w:bidi="ru-RU"/>
              </w:rPr>
            </w:pPr>
            <w:r>
              <w:rPr>
                <w:rFonts w:eastAsia="SimSun"/>
                <w:lang w:eastAsia="zh-CN" w:bidi="ru-RU"/>
              </w:rPr>
              <w:t xml:space="preserve">Площадки для сбора твердых бытовых отходов.</w:t>
            </w:r>
            <w:r/>
          </w:p>
          <w:p>
            <w:pPr>
              <w:ind w:left="127"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r>
            <w:r/>
          </w:p>
          <w:p>
            <w:pPr>
              <w:ind w:right="132"/>
              <w:rPr>
                <w:rFonts w:eastAsia="SimSun"/>
                <w:lang w:eastAsia="zh-CN" w:bidi="ru-RU"/>
              </w:rPr>
            </w:pPr>
            <w:r>
              <w:rPr>
                <w:rFonts w:eastAsia="SimSun"/>
                <w:lang w:eastAsia="zh-CN" w:bidi="ru-RU"/>
              </w:rPr>
            </w:r>
            <w:r/>
          </w:p>
          <w:p>
            <w:pPr>
              <w:ind w:left="127" w:right="132"/>
              <w:rPr>
                <w:rFonts w:eastAsia="SimSun"/>
                <w:lang w:eastAsia="zh-CN" w:bidi="ru-RU"/>
              </w:rPr>
            </w:pPr>
            <w:r>
              <w:rPr>
                <w:rFonts w:eastAsia="SimSun"/>
                <w:lang w:eastAsia="zh-CN" w:bidi="ru-RU"/>
              </w:rPr>
              <w:t xml:space="preserve"> Гостевые автостоянки для парковки легковых автомобилей посетителей.</w:t>
            </w:r>
            <w:r/>
          </w:p>
          <w:p>
            <w:pPr>
              <w:ind w:left="127" w:right="132"/>
              <w:rPr>
                <w:rFonts w:eastAsia="Calibri"/>
              </w:rPr>
            </w:pPr>
            <w:r>
              <w:rPr>
                <w:rFonts w:eastAsia="Calibri"/>
              </w:rPr>
            </w:r>
            <w:r/>
          </w:p>
          <w:p>
            <w:pPr>
              <w:ind w:left="127" w:right="132"/>
              <w:rPr>
                <w:rFonts w:eastAsia="SimSun"/>
                <w:lang w:eastAsia="zh-CN" w:bidi="ru-RU"/>
              </w:rPr>
            </w:pPr>
            <w:r>
              <w:rPr>
                <w:rFonts w:eastAsia="SimSun"/>
                <w:lang w:eastAsia="zh-CN" w:bidi="ru-RU"/>
              </w:rPr>
              <w:t xml:space="preserve">Придомовые площадки: для игр детей дошкольного и младшего школьного возраста </w:t>
            </w:r>
            <w:r/>
          </w:p>
          <w:p>
            <w:pPr>
              <w:ind w:left="127" w:right="132"/>
              <w:rPr>
                <w:rFonts w:eastAsia="SimSun"/>
                <w:lang w:eastAsia="zh-CN" w:bidi="ru-RU"/>
              </w:rPr>
            </w:pPr>
            <w:r>
              <w:rPr>
                <w:rFonts w:eastAsia="SimSun"/>
                <w:lang w:eastAsia="zh-CN" w:bidi="ru-RU"/>
              </w:rPr>
              <w:t xml:space="preserve">для отдыха взрослого населения </w:t>
            </w:r>
            <w:r/>
          </w:p>
          <w:p>
            <w:pPr>
              <w:ind w:left="127" w:right="132"/>
              <w:rPr>
                <w:rFonts w:eastAsia="SimSun"/>
                <w:lang w:eastAsia="zh-CN" w:bidi="ru-RU"/>
              </w:rPr>
            </w:pPr>
            <w:r>
              <w:rPr>
                <w:rFonts w:eastAsia="SimSun"/>
                <w:lang w:eastAsia="zh-CN" w:bidi="ru-RU"/>
              </w:rPr>
              <w:t xml:space="preserve">для занятий физкультурой</w:t>
            </w:r>
            <w:r/>
          </w:p>
          <w:p>
            <w:pPr>
              <w:ind w:left="127" w:right="132"/>
              <w:rPr>
                <w:rFonts w:eastAsia="SimSun"/>
                <w:lang w:eastAsia="zh-CN" w:bidi="ru-RU"/>
              </w:rPr>
            </w:pPr>
            <w:r>
              <w:rPr>
                <w:rFonts w:eastAsia="SimSun"/>
                <w:lang w:eastAsia="zh-CN" w:bidi="ru-RU"/>
              </w:rPr>
              <w:t xml:space="preserve">для хозяйственных целей и выгула собак.</w:t>
            </w:r>
            <w:r/>
          </w:p>
          <w:p>
            <w:pPr>
              <w:ind w:left="127" w:right="132"/>
              <w:rPr>
                <w:rFonts w:eastAsia="Calibri"/>
              </w:rPr>
            </w:pPr>
            <w:r>
              <w:rPr>
                <w:rFonts w:eastAsia="Calibri"/>
              </w:rPr>
            </w:r>
            <w:r/>
          </w:p>
          <w:p>
            <w:pPr>
              <w:ind w:left="127" w:right="132"/>
              <w:rPr>
                <w:rFonts w:eastAsia="Calibri"/>
              </w:rPr>
            </w:pPr>
            <w:r>
              <w:rPr>
                <w:rFonts w:eastAsia="Calibri"/>
              </w:rPr>
              <w:t xml:space="preserve">Площадки для разгрузки товаров.</w:t>
            </w:r>
            <w:r/>
          </w:p>
          <w:p>
            <w:pPr>
              <w:ind w:left="127" w:right="132"/>
              <w:rPr>
                <w:rFonts w:eastAsia="Calibri"/>
              </w:rPr>
            </w:pPr>
            <w:r>
              <w:rPr>
                <w:rFonts w:eastAsia="Calibri"/>
              </w:rPr>
            </w:r>
            <w:r/>
          </w:p>
          <w:p>
            <w:pPr>
              <w:ind w:left="127" w:right="132"/>
              <w:rPr>
                <w:rFonts w:eastAsia="Calibri"/>
              </w:rPr>
            </w:pPr>
            <w:r>
              <w:rPr>
                <w:rFonts w:eastAsia="Calibri"/>
              </w:rPr>
            </w:r>
            <w:r/>
          </w:p>
          <w:p>
            <w:pPr>
              <w:ind w:left="127" w:right="132"/>
              <w:rPr>
                <w:rFonts w:eastAsia="Calibri"/>
              </w:rPr>
            </w:pPr>
            <w:r>
              <w:rPr>
                <w:rFonts w:eastAsia="Calibri"/>
              </w:rPr>
            </w:r>
            <w:r/>
          </w:p>
          <w:p>
            <w:pPr>
              <w:ind w:left="127" w:right="132"/>
              <w:rPr>
                <w:rFonts w:eastAsia="Calibri"/>
              </w:rPr>
            </w:pPr>
            <w:r>
              <w:rPr>
                <w:rFonts w:eastAsia="Calibri"/>
              </w:rPr>
            </w:r>
            <w:r/>
          </w:p>
          <w:p>
            <w:pPr>
              <w:ind w:left="127" w:right="132"/>
              <w:rPr>
                <w:rFonts w:eastAsia="Calibri"/>
              </w:rPr>
            </w:pPr>
            <w:r>
              <w:rPr>
                <w:rFonts w:eastAsia="Calibri"/>
              </w:rPr>
            </w:r>
            <w:r/>
          </w:p>
          <w:p>
            <w:pPr>
              <w:ind w:left="127" w:right="132"/>
              <w:rPr>
                <w:rFonts w:eastAsia="Calibri"/>
              </w:rPr>
            </w:pPr>
            <w:r>
              <w:rPr>
                <w:rFonts w:eastAsia="Calibri"/>
              </w:rPr>
              <w:t xml:space="preserve">Для объектов общественного назначения виды вспомогательных объектов определяются материалами проектной документации. </w:t>
            </w:r>
            <w:r/>
          </w:p>
          <w:p>
            <w:pPr>
              <w:ind w:left="127" w:right="132"/>
              <w:jc w:val="both"/>
              <w:rPr>
                <w:rFonts w:eastAsia="SimSun"/>
                <w:lang w:eastAsia="zh-CN" w:bidi="ru-RU"/>
              </w:rPr>
            </w:pPr>
            <w:r>
              <w:rPr>
                <w:rFonts w:eastAsia="SimSun"/>
                <w:lang w:eastAsia="zh-CN" w:bidi="ru-RU"/>
              </w:rPr>
            </w:r>
            <w:r/>
          </w:p>
        </w:tc>
        <w:tc>
          <w:tcPr>
            <w:tcBorders>
              <w:top w:val="single" w:color="auto" w:sz="4" w:space="0"/>
              <w:left w:val="single" w:color="000000" w:sz="8" w:space="0"/>
              <w:bottom w:val="single" w:color="000000" w:sz="8" w:space="0"/>
              <w:right w:val="single" w:color="auto" w:sz="4" w:space="0"/>
            </w:tcBorders>
            <w:tcW w:w="5889" w:type="dxa"/>
            <w:textDirection w:val="lrTb"/>
            <w:noWrap w:val="false"/>
          </w:tcPr>
          <w:p>
            <w:pPr>
              <w:ind w:left="127" w:right="132"/>
              <w:jc w:val="both"/>
            </w:pPr>
            <w:r>
              <w:rPr>
                <w:rFonts w:eastAsia="SimSun"/>
                <w:lang w:eastAsia="zh-CN" w:bidi="ru-RU"/>
              </w:rPr>
              <w:t xml:space="preserve">Максимальное количество надземных этажей – 2 этажа (при условии обеспечения нормативной инсоляции на территории соседних участков).</w:t>
            </w:r>
            <w:r/>
          </w:p>
          <w:p>
            <w:pPr>
              <w:ind w:left="127" w:right="132"/>
              <w:jc w:val="both"/>
              <w:rPr>
                <w:rFonts w:eastAsia="SimSun"/>
                <w:lang w:eastAsia="zh-CN" w:bidi="ru-RU"/>
              </w:rPr>
            </w:pPr>
            <w:r>
              <w:rPr>
                <w:rFonts w:eastAsia="SimSun"/>
                <w:lang w:eastAsia="zh-CN" w:bidi="ru-RU"/>
              </w:rPr>
              <w:t xml:space="preserve">Максимальная высота – 6 м. </w:t>
            </w:r>
            <w:r/>
          </w:p>
          <w:p>
            <w:pPr>
              <w:ind w:left="127" w:right="132"/>
              <w:jc w:val="both"/>
              <w:rPr>
                <w:rFonts w:eastAsia="SimSun"/>
                <w:lang w:eastAsia="zh-CN" w:bidi="ru-RU"/>
              </w:rPr>
            </w:pPr>
            <w:r>
              <w:rPr>
                <w:rFonts w:eastAsia="SimSun"/>
                <w:lang w:eastAsia="zh-CN" w:bidi="ru-RU"/>
              </w:rPr>
              <w:t xml:space="preserve">Расстояние от хозяйственных построек до красных линий улиц и проездов не менее - 5 м; до иных границ – 1 при соблюдении требований технических регламентов.</w:t>
            </w:r>
            <w:r/>
          </w:p>
          <w:p>
            <w:pPr>
              <w:ind w:left="127" w:right="132"/>
              <w:jc w:val="both"/>
              <w:rPr>
                <w:rFonts w:eastAsia="SimSun"/>
                <w:lang w:eastAsia="zh-CN" w:bidi="ru-RU"/>
              </w:rPr>
            </w:pPr>
            <w:r>
              <w:rPr>
                <w:rFonts w:eastAsia="SimSun"/>
                <w:lang w:eastAsia="zh-CN" w:bidi="ru-RU"/>
              </w:rPr>
              <w:t xml:space="preserve">Минимальный отступ от границы соседнего участка составляет не менее: от стволов высокорослых деревьев – 4 м, от стволов среднерослых деревьев – 2 м, от кустарника – 1 м.</w:t>
            </w:r>
            <w:r/>
          </w:p>
          <w:p>
            <w:pPr>
              <w:ind w:left="127" w:right="132"/>
              <w:jc w:val="both"/>
              <w:rPr>
                <w:rFonts w:eastAsia="SimSun"/>
                <w:lang w:eastAsia="zh-CN" w:bidi="ru-RU"/>
              </w:rPr>
            </w:pPr>
            <w:r>
              <w:rPr>
                <w:rFonts w:eastAsia="SimSun"/>
                <w:lang w:eastAsia="zh-CN" w:bidi="ru-RU"/>
              </w:rPr>
            </w:r>
            <w:r/>
          </w:p>
          <w:p>
            <w:pPr>
              <w:ind w:left="127" w:right="132"/>
              <w:jc w:val="both"/>
              <w:rPr>
                <w:rFonts w:eastAsia="SimSun"/>
                <w:lang w:eastAsia="zh-CN" w:bidi="ru-RU"/>
              </w:rPr>
            </w:pPr>
            <w:r>
              <w:rPr>
                <w:rFonts w:eastAsia="SimSun"/>
                <w:lang w:eastAsia="zh-CN" w:bidi="ru-RU"/>
              </w:rPr>
              <w:t xml:space="preserve">Общая площадь коллективных хранилищ сельскохозяйственных продуктов определяется из расчета 4 - 5 кв. м на одну семью.</w:t>
            </w:r>
            <w:r/>
          </w:p>
          <w:p>
            <w:pPr>
              <w:ind w:left="127" w:right="132"/>
              <w:jc w:val="both"/>
            </w:pPr>
            <w:r/>
            <w:r/>
          </w:p>
          <w:p>
            <w:pPr>
              <w:ind w:left="127" w:right="132"/>
              <w:jc w:val="both"/>
            </w:pPr>
            <w:r>
              <w:t xml:space="preserve">Максимальная площадь объектов вспомогательного назначения (за исключением навесов) – не более 50% от общей площади объекта ИЖС.</w:t>
            </w:r>
            <w:r/>
          </w:p>
          <w:p>
            <w:pPr>
              <w:ind w:right="132"/>
              <w:jc w:val="both"/>
            </w:pPr>
            <w:r/>
            <w:r/>
          </w:p>
          <w:p>
            <w:pPr>
              <w:ind w:left="127" w:right="132"/>
              <w:jc w:val="both"/>
            </w:pPr>
            <w:r>
              <w:t xml:space="preserve">На участках ЛПХ группы сараев должны содержать не более 30 блоков каждая. Площадь застройки сблокированных сараев не должна превышать 800 м². Расстояние до объектов по содержанию животных, должно быть не менее, приведенных в таблице.</w:t>
            </w:r>
            <w:r/>
          </w:p>
          <w:p>
            <w:pPr>
              <w:ind w:left="127" w:right="132"/>
              <w:jc w:val="both"/>
              <w:rPr>
                <w:rFonts w:eastAsia="SimSun"/>
                <w:lang w:eastAsia="zh-CN" w:bidi="ru-RU"/>
              </w:rPr>
            </w:pPr>
            <w:r>
              <w:rPr>
                <w:rFonts w:eastAsia="SimSun"/>
                <w:lang w:eastAsia="zh-CN" w:bidi="ru-RU"/>
              </w:rPr>
            </w:r>
            <w:r/>
          </w:p>
          <w:p>
            <w:pPr>
              <w:ind w:left="127" w:right="132"/>
              <w:jc w:val="both"/>
              <w:rPr>
                <w:rFonts w:eastAsia="SimSun"/>
                <w:lang w:eastAsia="zh-CN" w:bidi="ru-RU"/>
              </w:rPr>
            </w:pPr>
            <w:r>
              <w:rPr>
                <w:rFonts w:eastAsia="SimSun"/>
                <w:lang w:eastAsia="zh-CN" w:bidi="ru-RU"/>
              </w:rPr>
              <w:t xml:space="preserve">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r/>
          </w:p>
          <w:p>
            <w:pPr>
              <w:ind w:left="127" w:right="132"/>
              <w:jc w:val="both"/>
              <w:rPr>
                <w:rFonts w:eastAsia="SimSun"/>
                <w:lang w:eastAsia="zh-CN" w:bidi="ru-RU"/>
              </w:rPr>
            </w:pPr>
            <w:r>
              <w:rPr>
                <w:rFonts w:eastAsia="SimSun"/>
                <w:lang w:eastAsia="zh-CN" w:bidi="ru-RU"/>
              </w:rPr>
            </w:r>
            <w:r/>
          </w:p>
          <w:p>
            <w:pPr>
              <w:ind w:left="127" w:right="132"/>
              <w:jc w:val="both"/>
              <w:rPr>
                <w:rFonts w:eastAsia="SimSun"/>
                <w:lang w:eastAsia="zh-CN" w:bidi="ru-RU"/>
              </w:rPr>
            </w:pPr>
            <w:r>
              <w:rPr>
                <w:rFonts w:eastAsia="SimSun"/>
                <w:lang w:eastAsia="zh-CN" w:bidi="ru-RU"/>
              </w:rPr>
              <w:t xml:space="preserve">Расстояние до надворного туалета, гидронепроницаемого выгреба, септика до соседнего жилого дома не менее - 12 м; до красной линии не менее - 10 м; до границы смежного земельного участка не менее - 4 м.</w:t>
            </w:r>
            <w:r/>
          </w:p>
          <w:p>
            <w:pPr>
              <w:ind w:left="127" w:right="132"/>
              <w:jc w:val="both"/>
              <w:rPr>
                <w:rFonts w:eastAsia="SimSun"/>
                <w:lang w:eastAsia="zh-CN" w:bidi="ru-RU"/>
              </w:rPr>
            </w:pPr>
            <w:r>
              <w:rPr>
                <w:rFonts w:eastAsia="SimSun"/>
                <w:lang w:eastAsia="zh-CN" w:bidi="ru-RU"/>
              </w:rPr>
            </w:r>
            <w:r/>
          </w:p>
          <w:p>
            <w:pPr>
              <w:ind w:left="127" w:right="132"/>
              <w:jc w:val="both"/>
            </w:pPr>
            <w: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w:t>
            </w:r>
            <w:r>
              <w:t xml:space="preserve">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p>
          <w:p>
            <w:pPr>
              <w:ind w:left="127" w:right="132"/>
              <w:jc w:val="both"/>
              <w:rPr>
                <w:strike/>
              </w:rPr>
            </w:pPr>
            <w:r>
              <w:t xml:space="preserve">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r/>
          </w:p>
          <w:p>
            <w:pPr>
              <w:ind w:left="127" w:right="132"/>
              <w:jc w:val="both"/>
              <w:rPr>
                <w:rFonts w:eastAsia="SimSun"/>
                <w:lang w:eastAsia="zh-CN" w:bidi="ru-RU"/>
              </w:rPr>
            </w:pPr>
            <w:r>
              <w:rPr>
                <w:rFonts w:eastAsia="SimSun"/>
                <w:lang w:eastAsia="zh-CN" w:bidi="ru-RU"/>
              </w:rPr>
            </w:r>
            <w:r/>
          </w:p>
          <w:p>
            <w:pPr>
              <w:ind w:left="127" w:right="132"/>
              <w:jc w:val="both"/>
              <w:rPr>
                <w:rFonts w:eastAsia="SimSun"/>
                <w:highlight w:val="cyan"/>
                <w:lang w:eastAsia="zh-CN" w:bidi="ru-RU"/>
              </w:rPr>
            </w:pPr>
            <w:r>
              <w:rPr>
                <w:rFonts w:eastAsia="SimSun"/>
                <w:lang w:eastAsia="zh-CN" w:bidi="ru-RU"/>
              </w:rPr>
              <w:t xml:space="preserve">Расстояния от площадок для хозяйственных целей до наиболее удаленного входа в жилое здание - не более 100 м.</w:t>
            </w:r>
            <w:r/>
          </w:p>
          <w:p>
            <w:pPr>
              <w:ind w:left="127" w:right="132"/>
              <w:jc w:val="both"/>
              <w:rPr>
                <w:rFonts w:eastAsia="SimSun"/>
                <w:lang w:eastAsia="zh-CN" w:bidi="ru-RU"/>
              </w:rPr>
            </w:pPr>
            <w:r>
              <w:rPr>
                <w:rFonts w:eastAsia="SimSun"/>
                <w:lang w:eastAsia="zh-CN" w:bidi="ru-RU"/>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r/>
          </w:p>
          <w:p>
            <w:pPr>
              <w:ind w:left="127" w:right="132"/>
              <w:jc w:val="both"/>
              <w:rPr>
                <w:rFonts w:eastAsia="SimSun"/>
                <w:lang w:eastAsia="zh-CN" w:bidi="ru-RU"/>
              </w:rPr>
            </w:pPr>
            <w:r>
              <w:rPr>
                <w:rFonts w:eastAsia="SimSun"/>
                <w:lang w:eastAsia="zh-CN" w:bidi="ru-RU"/>
              </w:rPr>
              <w:t xml:space="preserve">Общее количество контейнеров не более 5 шт.</w:t>
            </w:r>
            <w:r/>
          </w:p>
          <w:p>
            <w:pPr>
              <w:ind w:left="127" w:right="132"/>
              <w:jc w:val="both"/>
              <w:rPr>
                <w:rFonts w:eastAsia="SimSun"/>
                <w:lang w:eastAsia="zh-CN" w:bidi="ru-RU"/>
              </w:rPr>
            </w:pPr>
            <w:r>
              <w:rPr>
                <w:rFonts w:eastAsia="SimSun"/>
                <w:lang w:eastAsia="zh-CN" w:bidi="ru-RU"/>
              </w:rPr>
            </w:r>
            <w:r/>
          </w:p>
          <w:p>
            <w:pPr>
              <w:ind w:left="127" w:right="132"/>
              <w:jc w:val="both"/>
              <w:rPr>
                <w:rFonts w:eastAsia="SimSun"/>
                <w:lang w:eastAsia="zh-CN" w:bidi="ru-RU"/>
              </w:rPr>
            </w:pPr>
            <w:r>
              <w:rPr>
                <w:rFonts w:eastAsia="SimSun"/>
                <w:lang w:eastAsia="zh-CN" w:bidi="ru-RU"/>
              </w:rPr>
              <w:t xml:space="preserve">Количество парковочных мест на придомовой территории МЖД принимается из расчета на 1 квартиру – 1 м/место. </w:t>
            </w:r>
            <w:r/>
          </w:p>
          <w:p>
            <w:pPr>
              <w:ind w:left="127" w:right="132"/>
              <w:jc w:val="both"/>
              <w:rPr>
                <w:bCs/>
                <w:shd w:val="clear" w:color="auto" w:fill="ffffff"/>
              </w:rPr>
            </w:pPr>
            <w:r>
              <w:rPr>
                <w:bCs/>
                <w:shd w:val="clear" w:color="auto" w:fill="ffffff"/>
              </w:rPr>
            </w:r>
            <w:r/>
          </w:p>
          <w:p>
            <w:pPr>
              <w:ind w:left="127" w:right="132"/>
              <w:jc w:val="both"/>
              <w:rPr>
                <w:bCs/>
                <w:shd w:val="clear" w:color="auto" w:fill="ffffff"/>
              </w:rPr>
            </w:pPr>
            <w:r>
              <w:rPr>
                <w:bCs/>
                <w:shd w:val="clear" w:color="auto" w:fill="ffffff"/>
              </w:rPr>
            </w:r>
            <w:r/>
          </w:p>
          <w:p>
            <w:pPr>
              <w:ind w:left="127" w:right="132"/>
              <w:jc w:val="both"/>
              <w:rPr>
                <w:bCs/>
                <w:shd w:val="clear" w:color="auto" w:fill="ffffff"/>
              </w:rPr>
            </w:pPr>
            <w:r>
              <w:rPr>
                <w:bCs/>
                <w:shd w:val="clear" w:color="auto" w:fill="ffffff"/>
              </w:rPr>
              <w:t xml:space="preserve">Нормы расчета количества парковочных мест для легковых автомобилей приведены в таблице части 8 статьи 21 настоящих Правил. </w:t>
            </w:r>
            <w:r/>
          </w:p>
          <w:p>
            <w:pPr>
              <w:ind w:left="127" w:right="132"/>
              <w:jc w:val="both"/>
              <w:rPr>
                <w:strike/>
              </w:rPr>
            </w:pPr>
            <w:r>
              <w:rPr>
                <w:strike/>
              </w:rPr>
            </w:r>
            <w:r/>
          </w:p>
          <w:p>
            <w:pPr>
              <w:ind w:left="127" w:right="132"/>
              <w:jc w:val="both"/>
              <w:rPr>
                <w:rFonts w:eastAsia="SimSun"/>
                <w:lang w:eastAsia="zh-CN" w:bidi="ru-RU"/>
              </w:rPr>
            </w:pPr>
            <w:r>
              <w:rPr>
                <w:rFonts w:eastAsia="SimSun"/>
                <w:lang w:eastAsia="zh-CN" w:bidi="ru-RU"/>
              </w:rPr>
            </w:r>
            <w:r/>
          </w:p>
          <w:p>
            <w:pPr>
              <w:ind w:left="127" w:right="132"/>
              <w:jc w:val="both"/>
              <w:rPr>
                <w:rFonts w:eastAsia="SimSun"/>
                <w:lang w:eastAsia="zh-CN" w:bidi="ru-RU"/>
              </w:rPr>
            </w:pPr>
            <w:r>
              <w:rPr>
                <w:rFonts w:eastAsia="SimSun"/>
                <w:lang w:eastAsia="zh-CN" w:bidi="ru-RU"/>
              </w:rPr>
            </w:r>
            <w:r/>
          </w:p>
          <w:p>
            <w:pPr>
              <w:ind w:left="127" w:right="132"/>
              <w:jc w:val="both"/>
              <w:rPr>
                <w:rFonts w:eastAsia="SimSun"/>
                <w:lang w:eastAsia="zh-CN" w:bidi="ru-RU"/>
              </w:rPr>
            </w:pPr>
            <w:r>
              <w:rPr>
                <w:rFonts w:eastAsia="SimSun"/>
                <w:lang w:eastAsia="zh-CN" w:bidi="ru-RU"/>
              </w:rPr>
            </w:r>
            <w:r/>
          </w:p>
          <w:p>
            <w:pPr>
              <w:ind w:left="127" w:right="132"/>
              <w:jc w:val="both"/>
              <w:rPr>
                <w:rFonts w:eastAsia="SimSun"/>
                <w:lang w:eastAsia="zh-CN" w:bidi="ru-RU"/>
              </w:rPr>
            </w:pPr>
            <w:r>
              <w:rPr>
                <w:rFonts w:eastAsia="SimSun"/>
                <w:lang w:eastAsia="zh-CN" w:bidi="ru-RU"/>
              </w:rPr>
            </w:r>
            <w:r/>
          </w:p>
          <w:p>
            <w:pPr>
              <w:ind w:left="127" w:right="132"/>
              <w:jc w:val="both"/>
              <w:rPr>
                <w:rFonts w:eastAsia="SimSun"/>
                <w:lang w:eastAsia="zh-CN" w:bidi="ru-RU"/>
              </w:rPr>
            </w:pPr>
            <w:r>
              <w:rPr>
                <w:rFonts w:eastAsia="SimSun"/>
                <w:lang w:eastAsia="zh-CN" w:bidi="ru-RU"/>
              </w:rPr>
              <w:t xml:space="preserve">Любые вспомогательные виды решённого использования объектов капитального строительства не могут по своим суммарным характеристикам (стр</w:t>
            </w:r>
            <w:r>
              <w:rPr>
                <w:rFonts w:eastAsia="SimSun"/>
                <w:lang w:eastAsia="zh-CN" w:bidi="ru-RU"/>
              </w:rPr>
              <w:t xml:space="preserve">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r/>
          </w:p>
          <w:p>
            <w:pPr>
              <w:ind w:left="209" w:right="132"/>
              <w:jc w:val="both"/>
            </w:pPr>
            <w:r>
              <w:rPr>
                <w:rFonts w:eastAsia="SimSun"/>
                <w:lang w:eastAsia="zh-CN" w:bidi="ru-RU"/>
              </w:rPr>
              <w:t xml:space="preserve">Максимальное количество надземных этажей – 2 этажа (при условии обеспечения нормативной инсоляции на территории соседних участков).</w:t>
            </w:r>
            <w:r/>
          </w:p>
          <w:p>
            <w:pPr>
              <w:ind w:left="209" w:right="132"/>
              <w:jc w:val="both"/>
              <w:rPr>
                <w:rFonts w:eastAsia="SimSun"/>
                <w:lang w:eastAsia="zh-CN" w:bidi="ru-RU"/>
              </w:rPr>
            </w:pPr>
            <w:r>
              <w:rPr>
                <w:rFonts w:eastAsia="SimSun"/>
                <w:lang w:eastAsia="zh-CN" w:bidi="ru-RU"/>
              </w:rPr>
              <w:t xml:space="preserve">Максимальная высота – 6 м. </w:t>
            </w:r>
            <w:r/>
          </w:p>
          <w:p>
            <w:pPr>
              <w:ind w:left="209" w:right="132"/>
              <w:jc w:val="both"/>
              <w:rPr>
                <w:rFonts w:eastAsia="SimSun"/>
                <w:lang w:eastAsia="zh-CN" w:bidi="ru-RU"/>
              </w:rPr>
            </w:pPr>
            <w:r>
              <w:rPr>
                <w:rFonts w:eastAsia="SimSun"/>
                <w:lang w:eastAsia="zh-CN" w:bidi="ru-RU"/>
              </w:rPr>
              <w:t xml:space="preserve">Расстояние от хозяйственных построек до красных линий улиц и проездов не менее - 5 м; до иных границ – 1 при соблюдении требований технических регламентов.</w:t>
            </w:r>
            <w:r/>
          </w:p>
        </w:tc>
        <w:tc>
          <w:tcPr>
            <w:tcBorders>
              <w:top w:val="single" w:color="auto" w:sz="4" w:space="0"/>
              <w:left w:val="single" w:color="auto" w:sz="4" w:space="0"/>
              <w:bottom w:val="single" w:color="000000" w:sz="8" w:space="0"/>
              <w:right w:val="single" w:color="auto" w:sz="4" w:space="0"/>
            </w:tcBorders>
            <w:tcW w:w="5954" w:type="dxa"/>
            <w:textDirection w:val="lrTb"/>
            <w:noWrap w:val="false"/>
          </w:tcPr>
          <w:tbl>
            <w:tblPr>
              <w:tblpPr w:horzAnchor="margin" w:tblpXSpec="center" w:vertAnchor="margin" w:tblpY="528" w:leftFromText="180" w:topFromText="0" w:rightFromText="180" w:bottomFromText="0"/>
              <w:tblW w:w="5519" w:type="dxa"/>
              <w:shd w:val="clear" w:color="auto" w:fill="f7fafb"/>
              <w:tblLayout w:type="fixed"/>
              <w:tblCellMar>
                <w:left w:w="0" w:type="dxa"/>
                <w:right w:w="0" w:type="dxa"/>
              </w:tblCellMar>
              <w:tblLook w:val="04A0" w:firstRow="1" w:lastRow="0" w:firstColumn="1" w:lastColumn="0" w:noHBand="0" w:noVBand="1"/>
            </w:tblPr>
            <w:tblGrid>
              <w:gridCol w:w="850"/>
              <w:gridCol w:w="445"/>
              <w:gridCol w:w="567"/>
              <w:gridCol w:w="567"/>
              <w:gridCol w:w="709"/>
              <w:gridCol w:w="567"/>
              <w:gridCol w:w="567"/>
              <w:gridCol w:w="1247"/>
            </w:tblGrid>
            <w:tr>
              <w:trPr>
                <w:trHeight w:val="292"/>
              </w:trPr>
              <w:tc>
                <w:tcPr>
                  <w:shd w:val="clear" w:color="auto" w:fill="f7fafb"/>
                  <w:tcBorders>
                    <w:top w:val="single" w:color="auto" w:sz="8" w:space="0"/>
                    <w:left w:val="single" w:color="auto" w:sz="8" w:space="0"/>
                    <w:bottom w:val="single" w:color="auto" w:sz="8" w:space="0"/>
                    <w:right w:val="single" w:color="auto" w:sz="8" w:space="0"/>
                  </w:tcBorders>
                  <w:tcMar>
                    <w:left w:w="28" w:type="dxa"/>
                    <w:top w:w="114" w:type="dxa"/>
                    <w:right w:w="28" w:type="dxa"/>
                    <w:bottom w:w="114" w:type="dxa"/>
                  </w:tcMar>
                  <w:tcW w:w="850" w:type="dxa"/>
                  <w:vAlign w:val="bottom"/>
                  <w:textDirection w:val="lrTb"/>
                  <w:noWrap w:val="false"/>
                </w:tcPr>
                <w:p>
                  <w:pPr>
                    <w:ind w:right="-28"/>
                    <w:jc w:val="center"/>
                    <w:widowControl/>
                    <w:rPr>
                      <w:sz w:val="10"/>
                      <w:szCs w:val="10"/>
                      <w:lang w:eastAsia="ru-RU"/>
                    </w:rPr>
                  </w:pPr>
                  <w:r>
                    <w:rPr>
                      <w:sz w:val="10"/>
                      <w:szCs w:val="10"/>
                      <w:lang w:eastAsia="ru-RU"/>
                    </w:rPr>
                    <w:t xml:space="preserve">НОРМАТИВНЫЙ РАЗРЫВ</w:t>
                  </w:r>
                  <w:r/>
                </w:p>
              </w:tc>
              <w:tc>
                <w:tcPr>
                  <w:gridSpan w:val="7"/>
                  <w:shd w:val="clear" w:color="auto" w:fill="f7fafb"/>
                  <w:tcBorders>
                    <w:top w:val="single" w:color="auto" w:sz="8" w:space="0"/>
                    <w:left w:val="none" w:color="000000" w:sz="4" w:space="0"/>
                    <w:bottom w:val="single" w:color="auto" w:sz="8" w:space="0"/>
                    <w:right w:val="single" w:color="auto" w:sz="8" w:space="0"/>
                  </w:tcBorders>
                  <w:tcMar>
                    <w:left w:w="28" w:type="dxa"/>
                    <w:top w:w="114" w:type="dxa"/>
                    <w:right w:w="28" w:type="dxa"/>
                    <w:bottom w:w="114" w:type="dxa"/>
                  </w:tcMar>
                  <w:tcW w:w="4669" w:type="dxa"/>
                  <w:vAlign w:val="bottom"/>
                  <w:textDirection w:val="lrTb"/>
                  <w:noWrap w:val="false"/>
                </w:tcPr>
                <w:p>
                  <w:pPr>
                    <w:ind w:left="127" w:right="132"/>
                    <w:jc w:val="center"/>
                    <w:widowControl/>
                    <w:rPr>
                      <w:sz w:val="10"/>
                      <w:szCs w:val="10"/>
                      <w:lang w:eastAsia="ru-RU"/>
                    </w:rPr>
                  </w:pPr>
                  <w:r>
                    <w:rPr>
                      <w:sz w:val="10"/>
                      <w:szCs w:val="10"/>
                      <w:lang w:eastAsia="ru-RU"/>
                    </w:rPr>
                    <w:t xml:space="preserve">ПОГОЛОВЬЕ (ШТ.), НЕ БОЛЕЕ</w:t>
                  </w:r>
                  <w:r/>
                </w:p>
              </w:tc>
            </w:tr>
            <w:tr>
              <w:trPr>
                <w:trHeight w:val="10"/>
              </w:trPr>
              <w:tc>
                <w:tcPr>
                  <w:shd w:val="clear" w:color="auto" w:fill="e1ecf0"/>
                  <w:tcBorders>
                    <w:top w:val="none" w:color="000000" w:sz="4" w:space="0"/>
                    <w:left w:val="single" w:color="auto" w:sz="8" w:space="0"/>
                    <w:bottom w:val="single" w:color="auto" w:sz="8" w:space="0"/>
                    <w:right w:val="single" w:color="auto" w:sz="8" w:space="0"/>
                  </w:tcBorders>
                  <w:tcMar>
                    <w:left w:w="28" w:type="dxa"/>
                    <w:top w:w="114" w:type="dxa"/>
                    <w:right w:w="28" w:type="dxa"/>
                    <w:bottom w:w="114" w:type="dxa"/>
                  </w:tcMar>
                  <w:tcW w:w="850" w:type="dxa"/>
                  <w:vAlign w:val="bottom"/>
                  <w:textDirection w:val="lrTb"/>
                  <w:noWrap w:val="false"/>
                </w:tcPr>
                <w:p>
                  <w:pPr>
                    <w:ind w:left="127" w:right="132"/>
                    <w:widowControl/>
                    <w:rPr>
                      <w:sz w:val="10"/>
                      <w:szCs w:val="10"/>
                      <w:lang w:eastAsia="ru-RU"/>
                    </w:rPr>
                  </w:pPr>
                  <w:r>
                    <w:rPr>
                      <w:sz w:val="10"/>
                      <w:szCs w:val="10"/>
                      <w:lang w:eastAsia="ru-RU"/>
                    </w:rPr>
                    <w:t xml:space="preserve"> </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45" w:type="dxa"/>
                  <w:vAlign w:val="bottom"/>
                  <w:textDirection w:val="lrTb"/>
                  <w:noWrap w:val="false"/>
                </w:tcPr>
                <w:p>
                  <w:pPr>
                    <w:ind w:left="-28" w:right="-9"/>
                    <w:jc w:val="center"/>
                    <w:widowControl/>
                    <w:rPr>
                      <w:sz w:val="10"/>
                      <w:szCs w:val="10"/>
                      <w:lang w:eastAsia="ru-RU"/>
                    </w:rPr>
                  </w:pPr>
                  <w:r>
                    <w:rPr>
                      <w:sz w:val="10"/>
                      <w:szCs w:val="10"/>
                      <w:lang w:eastAsia="ru-RU"/>
                    </w:rPr>
                    <w:t xml:space="preserve">СВИНЬИ</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567" w:type="dxa"/>
                  <w:vAlign w:val="bottom"/>
                  <w:textDirection w:val="lrTb"/>
                  <w:noWrap w:val="false"/>
                </w:tcPr>
                <w:p>
                  <w:pPr>
                    <w:ind w:left="-21" w:right="-28"/>
                    <w:jc w:val="center"/>
                    <w:widowControl/>
                    <w:rPr>
                      <w:sz w:val="10"/>
                      <w:szCs w:val="10"/>
                      <w:lang w:eastAsia="ru-RU"/>
                    </w:rPr>
                  </w:pPr>
                  <w:r>
                    <w:rPr>
                      <w:sz w:val="10"/>
                      <w:szCs w:val="10"/>
                      <w:lang w:eastAsia="ru-RU"/>
                    </w:rPr>
                    <w:t xml:space="preserve">КОРОВЫ, БЫЧКИ</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567" w:type="dxa"/>
                  <w:vAlign w:val="bottom"/>
                  <w:textDirection w:val="lrTb"/>
                  <w:noWrap w:val="false"/>
                </w:tcPr>
                <w:p>
                  <w:pPr>
                    <w:ind w:right="132"/>
                    <w:jc w:val="center"/>
                    <w:widowControl/>
                    <w:tabs>
                      <w:tab w:val="left" w:pos="792" w:leader="none"/>
                    </w:tabs>
                    <w:rPr>
                      <w:sz w:val="10"/>
                      <w:szCs w:val="10"/>
                      <w:lang w:eastAsia="ru-RU"/>
                    </w:rPr>
                  </w:pPr>
                  <w:r>
                    <w:rPr>
                      <w:sz w:val="10"/>
                      <w:szCs w:val="10"/>
                      <w:lang w:eastAsia="ru-RU"/>
                    </w:rPr>
                    <w:t xml:space="preserve">ОВЦЫ, КОЗЫ</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709" w:type="dxa"/>
                  <w:vAlign w:val="bottom"/>
                  <w:textDirection w:val="lrTb"/>
                  <w:noWrap w:val="false"/>
                </w:tcPr>
                <w:p>
                  <w:pPr>
                    <w:ind w:right="-28"/>
                    <w:jc w:val="center"/>
                    <w:widowControl/>
                    <w:rPr>
                      <w:sz w:val="10"/>
                      <w:szCs w:val="10"/>
                      <w:lang w:eastAsia="ru-RU"/>
                    </w:rPr>
                  </w:pPr>
                  <w:r>
                    <w:rPr>
                      <w:sz w:val="10"/>
                      <w:szCs w:val="10"/>
                      <w:lang w:eastAsia="ru-RU"/>
                    </w:rPr>
                    <w:t xml:space="preserve">КРОЛИКИ - МАТКИ</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567" w:type="dxa"/>
                  <w:vAlign w:val="bottom"/>
                  <w:textDirection w:val="lrTb"/>
                  <w:noWrap w:val="false"/>
                </w:tcPr>
                <w:p>
                  <w:pPr>
                    <w:ind w:left="-51"/>
                    <w:jc w:val="center"/>
                    <w:widowControl/>
                    <w:rPr>
                      <w:sz w:val="10"/>
                      <w:szCs w:val="10"/>
                      <w:lang w:eastAsia="ru-RU"/>
                    </w:rPr>
                  </w:pPr>
                  <w:r>
                    <w:rPr>
                      <w:sz w:val="10"/>
                      <w:szCs w:val="10"/>
                      <w:lang w:eastAsia="ru-RU"/>
                    </w:rPr>
                    <w:t xml:space="preserve">ПТИЦА</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567" w:type="dxa"/>
                  <w:vAlign w:val="bottom"/>
                  <w:textDirection w:val="lrTb"/>
                  <w:noWrap w:val="false"/>
                </w:tcPr>
                <w:p>
                  <w:pPr>
                    <w:widowControl/>
                    <w:rPr>
                      <w:sz w:val="10"/>
                      <w:szCs w:val="10"/>
                      <w:lang w:eastAsia="ru-RU"/>
                    </w:rPr>
                  </w:pPr>
                  <w:r>
                    <w:rPr>
                      <w:sz w:val="10"/>
                      <w:szCs w:val="10"/>
                      <w:lang w:eastAsia="ru-RU"/>
                    </w:rPr>
                    <w:t xml:space="preserve">ЛОШАДИ</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1247" w:type="dxa"/>
                  <w:vAlign w:val="bottom"/>
                  <w:textDirection w:val="lrTb"/>
                  <w:noWrap w:val="false"/>
                </w:tcPr>
                <w:p>
                  <w:pPr>
                    <w:jc w:val="center"/>
                    <w:widowControl/>
                    <w:rPr>
                      <w:sz w:val="10"/>
                      <w:szCs w:val="10"/>
                      <w:lang w:eastAsia="ru-RU"/>
                    </w:rPr>
                  </w:pPr>
                  <w:r>
                    <w:rPr>
                      <w:sz w:val="10"/>
                      <w:szCs w:val="10"/>
                      <w:lang w:eastAsia="ru-RU"/>
                    </w:rPr>
                    <w:t xml:space="preserve">НУТРИИ, ПЕСЦЫ</w:t>
                  </w:r>
                  <w:r/>
                </w:p>
              </w:tc>
            </w:tr>
            <w:tr>
              <w:trPr>
                <w:trHeight w:val="4"/>
              </w:trPr>
              <w:tc>
                <w:tcPr>
                  <w:shd w:val="clear" w:color="auto" w:fill="f7fafb"/>
                  <w:tcBorders>
                    <w:top w:val="none" w:color="000000" w:sz="4" w:space="0"/>
                    <w:left w:val="single" w:color="auto" w:sz="8" w:space="0"/>
                    <w:bottom w:val="single" w:color="auto" w:sz="8" w:space="0"/>
                    <w:right w:val="single" w:color="auto" w:sz="8" w:space="0"/>
                  </w:tcBorders>
                  <w:tcMar>
                    <w:left w:w="28" w:type="dxa"/>
                    <w:top w:w="114" w:type="dxa"/>
                    <w:right w:w="28" w:type="dxa"/>
                    <w:bottom w:w="114" w:type="dxa"/>
                  </w:tcMar>
                  <w:tcW w:w="850" w:type="dxa"/>
                  <w:vAlign w:val="bottom"/>
                  <w:textDirection w:val="lrTb"/>
                  <w:noWrap w:val="false"/>
                </w:tcPr>
                <w:p>
                  <w:pPr>
                    <w:ind w:left="127" w:right="132"/>
                    <w:jc w:val="center"/>
                    <w:widowControl/>
                    <w:rPr>
                      <w:sz w:val="10"/>
                      <w:szCs w:val="10"/>
                      <w:lang w:eastAsia="ru-RU"/>
                    </w:rPr>
                  </w:pPr>
                  <w:r>
                    <w:rPr>
                      <w:sz w:val="10"/>
                      <w:szCs w:val="10"/>
                      <w:lang w:eastAsia="ru-RU"/>
                    </w:rPr>
                    <w:t xml:space="preserve">10 М</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45" w:type="dxa"/>
                  <w:vAlign w:val="bottom"/>
                  <w:textDirection w:val="lrTb"/>
                  <w:noWrap w:val="false"/>
                </w:tcPr>
                <w:p>
                  <w:pPr>
                    <w:ind w:left="127" w:right="132"/>
                    <w:jc w:val="center"/>
                    <w:widowControl/>
                    <w:rPr>
                      <w:sz w:val="10"/>
                      <w:szCs w:val="10"/>
                      <w:lang w:eastAsia="ru-RU"/>
                    </w:rPr>
                  </w:pPr>
                  <w:r>
                    <w:rPr>
                      <w:sz w:val="10"/>
                      <w:szCs w:val="10"/>
                      <w:lang w:eastAsia="ru-RU"/>
                    </w:rPr>
                    <w:t xml:space="preserve">5</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567" w:type="dxa"/>
                  <w:vAlign w:val="bottom"/>
                  <w:textDirection w:val="lrTb"/>
                  <w:noWrap w:val="false"/>
                </w:tcPr>
                <w:p>
                  <w:pPr>
                    <w:ind w:left="127" w:right="132"/>
                    <w:jc w:val="center"/>
                    <w:widowControl/>
                    <w:rPr>
                      <w:sz w:val="10"/>
                      <w:szCs w:val="10"/>
                      <w:lang w:eastAsia="ru-RU"/>
                    </w:rPr>
                  </w:pPr>
                  <w:r>
                    <w:rPr>
                      <w:sz w:val="10"/>
                      <w:szCs w:val="10"/>
                      <w:lang w:eastAsia="ru-RU"/>
                    </w:rPr>
                    <w:t xml:space="preserve">5</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567" w:type="dxa"/>
                  <w:vAlign w:val="bottom"/>
                  <w:textDirection w:val="lrTb"/>
                  <w:noWrap w:val="false"/>
                </w:tcPr>
                <w:p>
                  <w:pPr>
                    <w:ind w:left="127" w:right="132"/>
                    <w:jc w:val="center"/>
                    <w:widowControl/>
                    <w:rPr>
                      <w:sz w:val="10"/>
                      <w:szCs w:val="10"/>
                      <w:lang w:eastAsia="ru-RU"/>
                    </w:rPr>
                  </w:pPr>
                  <w:r>
                    <w:rPr>
                      <w:sz w:val="10"/>
                      <w:szCs w:val="10"/>
                      <w:lang w:eastAsia="ru-RU"/>
                    </w:rPr>
                    <w:t xml:space="preserve">10</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709" w:type="dxa"/>
                  <w:vAlign w:val="bottom"/>
                  <w:textDirection w:val="lrTb"/>
                  <w:noWrap w:val="false"/>
                </w:tcPr>
                <w:p>
                  <w:pPr>
                    <w:ind w:left="127" w:right="132"/>
                    <w:jc w:val="center"/>
                    <w:widowControl/>
                    <w:rPr>
                      <w:sz w:val="10"/>
                      <w:szCs w:val="10"/>
                      <w:lang w:eastAsia="ru-RU"/>
                    </w:rPr>
                  </w:pPr>
                  <w:r>
                    <w:rPr>
                      <w:sz w:val="10"/>
                      <w:szCs w:val="10"/>
                      <w:lang w:eastAsia="ru-RU"/>
                    </w:rPr>
                    <w:t xml:space="preserve">10</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567" w:type="dxa"/>
                  <w:vAlign w:val="bottom"/>
                  <w:textDirection w:val="lrTb"/>
                  <w:noWrap w:val="false"/>
                </w:tcPr>
                <w:p>
                  <w:pPr>
                    <w:ind w:left="127" w:right="132"/>
                    <w:jc w:val="center"/>
                    <w:widowControl/>
                    <w:rPr>
                      <w:sz w:val="10"/>
                      <w:szCs w:val="10"/>
                      <w:lang w:eastAsia="ru-RU"/>
                    </w:rPr>
                  </w:pPr>
                  <w:r>
                    <w:rPr>
                      <w:sz w:val="10"/>
                      <w:szCs w:val="10"/>
                      <w:lang w:eastAsia="ru-RU"/>
                    </w:rPr>
                    <w:t xml:space="preserve">30</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567" w:type="dxa"/>
                  <w:vAlign w:val="bottom"/>
                  <w:textDirection w:val="lrTb"/>
                  <w:noWrap w:val="false"/>
                </w:tcPr>
                <w:p>
                  <w:pPr>
                    <w:ind w:left="127" w:right="132"/>
                    <w:jc w:val="center"/>
                    <w:widowControl/>
                    <w:rPr>
                      <w:sz w:val="10"/>
                      <w:szCs w:val="10"/>
                      <w:lang w:eastAsia="ru-RU"/>
                    </w:rPr>
                  </w:pPr>
                  <w:r>
                    <w:rPr>
                      <w:sz w:val="10"/>
                      <w:szCs w:val="10"/>
                      <w:lang w:eastAsia="ru-RU"/>
                    </w:rPr>
                    <w:t xml:space="preserve">5</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1247" w:type="dxa"/>
                  <w:vAlign w:val="bottom"/>
                  <w:textDirection w:val="lrTb"/>
                  <w:noWrap w:val="false"/>
                </w:tcPr>
                <w:p>
                  <w:pPr>
                    <w:ind w:left="127" w:right="132"/>
                    <w:jc w:val="center"/>
                    <w:widowControl/>
                    <w:rPr>
                      <w:sz w:val="10"/>
                      <w:szCs w:val="10"/>
                      <w:lang w:eastAsia="ru-RU"/>
                    </w:rPr>
                  </w:pPr>
                  <w:r>
                    <w:rPr>
                      <w:sz w:val="10"/>
                      <w:szCs w:val="10"/>
                      <w:lang w:eastAsia="ru-RU"/>
                    </w:rPr>
                    <w:t xml:space="preserve">5</w:t>
                  </w:r>
                  <w:r/>
                </w:p>
              </w:tc>
            </w:tr>
            <w:tr>
              <w:trPr>
                <w:trHeight w:val="4"/>
              </w:trPr>
              <w:tc>
                <w:tcPr>
                  <w:shd w:val="clear" w:color="auto" w:fill="e1ecf0"/>
                  <w:tcBorders>
                    <w:top w:val="none" w:color="000000" w:sz="4" w:space="0"/>
                    <w:left w:val="single" w:color="auto" w:sz="8" w:space="0"/>
                    <w:bottom w:val="single" w:color="auto" w:sz="8" w:space="0"/>
                    <w:right w:val="single" w:color="auto" w:sz="8" w:space="0"/>
                  </w:tcBorders>
                  <w:tcMar>
                    <w:left w:w="28" w:type="dxa"/>
                    <w:top w:w="114" w:type="dxa"/>
                    <w:right w:w="28" w:type="dxa"/>
                    <w:bottom w:w="114" w:type="dxa"/>
                  </w:tcMar>
                  <w:tcW w:w="850" w:type="dxa"/>
                  <w:vAlign w:val="bottom"/>
                  <w:textDirection w:val="lrTb"/>
                  <w:noWrap w:val="false"/>
                </w:tcPr>
                <w:p>
                  <w:pPr>
                    <w:ind w:right="132"/>
                    <w:jc w:val="center"/>
                    <w:widowControl/>
                    <w:rPr>
                      <w:sz w:val="10"/>
                      <w:szCs w:val="10"/>
                      <w:lang w:eastAsia="ru-RU"/>
                    </w:rPr>
                  </w:pPr>
                  <w:r>
                    <w:rPr>
                      <w:sz w:val="10"/>
                      <w:szCs w:val="10"/>
                      <w:lang w:eastAsia="ru-RU"/>
                    </w:rPr>
                    <w:t xml:space="preserve">20 М</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45" w:type="dxa"/>
                  <w:vAlign w:val="bottom"/>
                  <w:textDirection w:val="lrTb"/>
                  <w:noWrap w:val="false"/>
                </w:tcPr>
                <w:p>
                  <w:pPr>
                    <w:ind w:left="127" w:right="132"/>
                    <w:jc w:val="center"/>
                    <w:widowControl/>
                    <w:rPr>
                      <w:sz w:val="10"/>
                      <w:szCs w:val="10"/>
                      <w:lang w:eastAsia="ru-RU"/>
                    </w:rPr>
                  </w:pPr>
                  <w:r>
                    <w:rPr>
                      <w:sz w:val="10"/>
                      <w:szCs w:val="10"/>
                      <w:lang w:eastAsia="ru-RU"/>
                    </w:rPr>
                    <w:t xml:space="preserve">8</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567" w:type="dxa"/>
                  <w:vAlign w:val="bottom"/>
                  <w:textDirection w:val="lrTb"/>
                  <w:noWrap w:val="false"/>
                </w:tcPr>
                <w:p>
                  <w:pPr>
                    <w:ind w:left="127" w:right="132"/>
                    <w:jc w:val="center"/>
                    <w:widowControl/>
                    <w:rPr>
                      <w:sz w:val="10"/>
                      <w:szCs w:val="10"/>
                      <w:lang w:eastAsia="ru-RU"/>
                    </w:rPr>
                  </w:pPr>
                  <w:r>
                    <w:rPr>
                      <w:sz w:val="10"/>
                      <w:szCs w:val="10"/>
                      <w:lang w:eastAsia="ru-RU"/>
                    </w:rPr>
                    <w:t xml:space="preserve">8</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567" w:type="dxa"/>
                  <w:vAlign w:val="bottom"/>
                  <w:textDirection w:val="lrTb"/>
                  <w:noWrap w:val="false"/>
                </w:tcPr>
                <w:p>
                  <w:pPr>
                    <w:ind w:left="127" w:right="132"/>
                    <w:jc w:val="center"/>
                    <w:widowControl/>
                    <w:rPr>
                      <w:sz w:val="10"/>
                      <w:szCs w:val="10"/>
                      <w:lang w:eastAsia="ru-RU"/>
                    </w:rPr>
                  </w:pPr>
                  <w:r>
                    <w:rPr>
                      <w:sz w:val="10"/>
                      <w:szCs w:val="10"/>
                      <w:lang w:eastAsia="ru-RU"/>
                    </w:rPr>
                    <w:t xml:space="preserve">15</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709" w:type="dxa"/>
                  <w:vAlign w:val="bottom"/>
                  <w:textDirection w:val="lrTb"/>
                  <w:noWrap w:val="false"/>
                </w:tcPr>
                <w:p>
                  <w:pPr>
                    <w:ind w:left="127" w:right="132"/>
                    <w:jc w:val="center"/>
                    <w:widowControl/>
                    <w:rPr>
                      <w:sz w:val="10"/>
                      <w:szCs w:val="10"/>
                      <w:lang w:eastAsia="ru-RU"/>
                    </w:rPr>
                  </w:pPr>
                  <w:r>
                    <w:rPr>
                      <w:sz w:val="10"/>
                      <w:szCs w:val="10"/>
                      <w:lang w:eastAsia="ru-RU"/>
                    </w:rPr>
                    <w:t xml:space="preserve">20</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567" w:type="dxa"/>
                  <w:vAlign w:val="bottom"/>
                  <w:textDirection w:val="lrTb"/>
                  <w:noWrap w:val="false"/>
                </w:tcPr>
                <w:p>
                  <w:pPr>
                    <w:ind w:left="127" w:right="132"/>
                    <w:jc w:val="center"/>
                    <w:widowControl/>
                    <w:rPr>
                      <w:sz w:val="10"/>
                      <w:szCs w:val="10"/>
                      <w:lang w:eastAsia="ru-RU"/>
                    </w:rPr>
                  </w:pPr>
                  <w:r>
                    <w:rPr>
                      <w:sz w:val="10"/>
                      <w:szCs w:val="10"/>
                      <w:lang w:eastAsia="ru-RU"/>
                    </w:rPr>
                    <w:t xml:space="preserve">45</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567" w:type="dxa"/>
                  <w:vAlign w:val="bottom"/>
                  <w:textDirection w:val="lrTb"/>
                  <w:noWrap w:val="false"/>
                </w:tcPr>
                <w:p>
                  <w:pPr>
                    <w:ind w:left="127" w:right="132"/>
                    <w:jc w:val="center"/>
                    <w:widowControl/>
                    <w:rPr>
                      <w:sz w:val="10"/>
                      <w:szCs w:val="10"/>
                      <w:lang w:eastAsia="ru-RU"/>
                    </w:rPr>
                  </w:pPr>
                  <w:r>
                    <w:rPr>
                      <w:sz w:val="10"/>
                      <w:szCs w:val="10"/>
                      <w:lang w:eastAsia="ru-RU"/>
                    </w:rPr>
                    <w:t xml:space="preserve">8</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1247" w:type="dxa"/>
                  <w:vAlign w:val="bottom"/>
                  <w:textDirection w:val="lrTb"/>
                  <w:noWrap w:val="false"/>
                </w:tcPr>
                <w:p>
                  <w:pPr>
                    <w:ind w:left="127" w:right="132"/>
                    <w:jc w:val="center"/>
                    <w:widowControl/>
                    <w:rPr>
                      <w:sz w:val="10"/>
                      <w:szCs w:val="10"/>
                      <w:lang w:eastAsia="ru-RU"/>
                    </w:rPr>
                  </w:pPr>
                  <w:r>
                    <w:rPr>
                      <w:sz w:val="10"/>
                      <w:szCs w:val="10"/>
                      <w:lang w:eastAsia="ru-RU"/>
                    </w:rPr>
                    <w:t xml:space="preserve">8</w:t>
                  </w:r>
                  <w:r/>
                </w:p>
              </w:tc>
            </w:tr>
            <w:tr>
              <w:trPr>
                <w:trHeight w:val="26"/>
              </w:trPr>
              <w:tc>
                <w:tcPr>
                  <w:shd w:val="clear" w:color="auto" w:fill="f7fafb"/>
                  <w:tcBorders>
                    <w:top w:val="none" w:color="000000" w:sz="4" w:space="0"/>
                    <w:left w:val="single" w:color="auto" w:sz="8" w:space="0"/>
                    <w:bottom w:val="single" w:color="auto" w:sz="8" w:space="0"/>
                    <w:right w:val="single" w:color="auto" w:sz="8" w:space="0"/>
                  </w:tcBorders>
                  <w:tcMar>
                    <w:left w:w="28" w:type="dxa"/>
                    <w:top w:w="114" w:type="dxa"/>
                    <w:right w:w="28" w:type="dxa"/>
                    <w:bottom w:w="114" w:type="dxa"/>
                  </w:tcMar>
                  <w:tcW w:w="850" w:type="dxa"/>
                  <w:vAlign w:val="bottom"/>
                  <w:textDirection w:val="lrTb"/>
                  <w:noWrap w:val="false"/>
                </w:tcPr>
                <w:p>
                  <w:pPr>
                    <w:ind w:left="127" w:right="132"/>
                    <w:jc w:val="center"/>
                    <w:widowControl/>
                    <w:rPr>
                      <w:sz w:val="10"/>
                      <w:szCs w:val="10"/>
                      <w:lang w:eastAsia="ru-RU"/>
                    </w:rPr>
                  </w:pPr>
                  <w:r>
                    <w:rPr>
                      <w:sz w:val="10"/>
                      <w:szCs w:val="10"/>
                      <w:lang w:eastAsia="ru-RU"/>
                    </w:rPr>
                    <w:t xml:space="preserve">30 М</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45" w:type="dxa"/>
                  <w:vAlign w:val="bottom"/>
                  <w:textDirection w:val="lrTb"/>
                  <w:noWrap w:val="false"/>
                </w:tcPr>
                <w:p>
                  <w:pPr>
                    <w:ind w:left="127" w:right="132"/>
                    <w:jc w:val="center"/>
                    <w:widowControl/>
                    <w:rPr>
                      <w:sz w:val="10"/>
                      <w:szCs w:val="10"/>
                      <w:lang w:eastAsia="ru-RU"/>
                    </w:rPr>
                  </w:pPr>
                  <w:r>
                    <w:rPr>
                      <w:sz w:val="10"/>
                      <w:szCs w:val="10"/>
                      <w:lang w:eastAsia="ru-RU"/>
                    </w:rPr>
                    <w:t xml:space="preserve">10</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567" w:type="dxa"/>
                  <w:vAlign w:val="bottom"/>
                  <w:textDirection w:val="lrTb"/>
                  <w:noWrap w:val="false"/>
                </w:tcPr>
                <w:p>
                  <w:pPr>
                    <w:ind w:left="127" w:right="132"/>
                    <w:jc w:val="center"/>
                    <w:widowControl/>
                    <w:rPr>
                      <w:sz w:val="10"/>
                      <w:szCs w:val="10"/>
                      <w:lang w:eastAsia="ru-RU"/>
                    </w:rPr>
                  </w:pPr>
                  <w:r>
                    <w:rPr>
                      <w:sz w:val="10"/>
                      <w:szCs w:val="10"/>
                      <w:lang w:eastAsia="ru-RU"/>
                    </w:rPr>
                    <w:t xml:space="preserve">10</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567" w:type="dxa"/>
                  <w:vAlign w:val="bottom"/>
                  <w:textDirection w:val="lrTb"/>
                  <w:noWrap w:val="false"/>
                </w:tcPr>
                <w:p>
                  <w:pPr>
                    <w:ind w:left="127" w:right="132"/>
                    <w:jc w:val="center"/>
                    <w:widowControl/>
                    <w:rPr>
                      <w:sz w:val="10"/>
                      <w:szCs w:val="10"/>
                      <w:lang w:eastAsia="ru-RU"/>
                    </w:rPr>
                  </w:pPr>
                  <w:r>
                    <w:rPr>
                      <w:sz w:val="10"/>
                      <w:szCs w:val="10"/>
                      <w:lang w:eastAsia="ru-RU"/>
                    </w:rPr>
                    <w:t xml:space="preserve">20</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709" w:type="dxa"/>
                  <w:vAlign w:val="bottom"/>
                  <w:textDirection w:val="lrTb"/>
                  <w:noWrap w:val="false"/>
                </w:tcPr>
                <w:p>
                  <w:pPr>
                    <w:ind w:left="127" w:right="132"/>
                    <w:jc w:val="center"/>
                    <w:widowControl/>
                    <w:rPr>
                      <w:sz w:val="10"/>
                      <w:szCs w:val="10"/>
                      <w:lang w:eastAsia="ru-RU"/>
                    </w:rPr>
                  </w:pPr>
                  <w:r>
                    <w:rPr>
                      <w:sz w:val="10"/>
                      <w:szCs w:val="10"/>
                      <w:lang w:eastAsia="ru-RU"/>
                    </w:rPr>
                    <w:t xml:space="preserve">30</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567" w:type="dxa"/>
                  <w:vAlign w:val="bottom"/>
                  <w:textDirection w:val="lrTb"/>
                  <w:noWrap w:val="false"/>
                </w:tcPr>
                <w:p>
                  <w:pPr>
                    <w:ind w:left="127" w:right="132"/>
                    <w:jc w:val="center"/>
                    <w:widowControl/>
                    <w:rPr>
                      <w:sz w:val="10"/>
                      <w:szCs w:val="10"/>
                      <w:lang w:eastAsia="ru-RU"/>
                    </w:rPr>
                  </w:pPr>
                  <w:r>
                    <w:rPr>
                      <w:sz w:val="10"/>
                      <w:szCs w:val="10"/>
                      <w:lang w:eastAsia="ru-RU"/>
                    </w:rPr>
                    <w:t xml:space="preserve">60</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567" w:type="dxa"/>
                  <w:vAlign w:val="bottom"/>
                  <w:textDirection w:val="lrTb"/>
                  <w:noWrap w:val="false"/>
                </w:tcPr>
                <w:p>
                  <w:pPr>
                    <w:ind w:left="127" w:right="132"/>
                    <w:jc w:val="center"/>
                    <w:widowControl/>
                    <w:rPr>
                      <w:sz w:val="10"/>
                      <w:szCs w:val="10"/>
                      <w:lang w:eastAsia="ru-RU"/>
                    </w:rPr>
                  </w:pPr>
                  <w:r>
                    <w:rPr>
                      <w:sz w:val="10"/>
                      <w:szCs w:val="10"/>
                      <w:lang w:eastAsia="ru-RU"/>
                    </w:rPr>
                    <w:t xml:space="preserve">10</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1247" w:type="dxa"/>
                  <w:vAlign w:val="bottom"/>
                  <w:textDirection w:val="lrTb"/>
                  <w:noWrap w:val="false"/>
                </w:tcPr>
                <w:p>
                  <w:pPr>
                    <w:ind w:left="127" w:right="132"/>
                    <w:jc w:val="center"/>
                    <w:widowControl/>
                    <w:rPr>
                      <w:sz w:val="10"/>
                      <w:szCs w:val="10"/>
                      <w:lang w:eastAsia="ru-RU"/>
                    </w:rPr>
                  </w:pPr>
                  <w:r>
                    <w:rPr>
                      <w:sz w:val="10"/>
                      <w:szCs w:val="10"/>
                      <w:lang w:eastAsia="ru-RU"/>
                    </w:rPr>
                    <w:t xml:space="preserve">10</w:t>
                  </w:r>
                  <w:r/>
                </w:p>
              </w:tc>
            </w:tr>
            <w:tr>
              <w:trPr>
                <w:trHeight w:val="3"/>
              </w:trPr>
              <w:tc>
                <w:tcPr>
                  <w:shd w:val="clear" w:color="auto" w:fill="e1ecf0"/>
                  <w:tcBorders>
                    <w:top w:val="none" w:color="000000" w:sz="4" w:space="0"/>
                    <w:left w:val="single" w:color="auto" w:sz="8" w:space="0"/>
                    <w:bottom w:val="single" w:color="auto" w:sz="8" w:space="0"/>
                    <w:right w:val="single" w:color="auto" w:sz="8" w:space="0"/>
                  </w:tcBorders>
                  <w:tcMar>
                    <w:left w:w="28" w:type="dxa"/>
                    <w:top w:w="114" w:type="dxa"/>
                    <w:right w:w="28" w:type="dxa"/>
                    <w:bottom w:w="114" w:type="dxa"/>
                  </w:tcMar>
                  <w:tcW w:w="850" w:type="dxa"/>
                  <w:vAlign w:val="bottom"/>
                  <w:textDirection w:val="lrTb"/>
                  <w:noWrap w:val="false"/>
                </w:tcPr>
                <w:p>
                  <w:pPr>
                    <w:ind w:left="127" w:right="132"/>
                    <w:jc w:val="center"/>
                    <w:widowControl/>
                    <w:rPr>
                      <w:sz w:val="10"/>
                      <w:szCs w:val="10"/>
                      <w:lang w:eastAsia="ru-RU"/>
                    </w:rPr>
                  </w:pPr>
                  <w:r>
                    <w:rPr>
                      <w:sz w:val="10"/>
                      <w:szCs w:val="10"/>
                      <w:lang w:eastAsia="ru-RU"/>
                    </w:rPr>
                    <w:t xml:space="preserve">40 М</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45" w:type="dxa"/>
                  <w:vAlign w:val="bottom"/>
                  <w:textDirection w:val="lrTb"/>
                  <w:noWrap w:val="false"/>
                </w:tcPr>
                <w:p>
                  <w:pPr>
                    <w:ind w:left="127" w:right="132"/>
                    <w:jc w:val="center"/>
                    <w:widowControl/>
                    <w:rPr>
                      <w:sz w:val="10"/>
                      <w:szCs w:val="10"/>
                      <w:lang w:eastAsia="ru-RU"/>
                    </w:rPr>
                  </w:pPr>
                  <w:r>
                    <w:rPr>
                      <w:sz w:val="10"/>
                      <w:szCs w:val="10"/>
                      <w:lang w:eastAsia="ru-RU"/>
                    </w:rPr>
                    <w:t xml:space="preserve">15</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567" w:type="dxa"/>
                  <w:vAlign w:val="bottom"/>
                  <w:textDirection w:val="lrTb"/>
                  <w:noWrap w:val="false"/>
                </w:tcPr>
                <w:p>
                  <w:pPr>
                    <w:ind w:left="127" w:right="132"/>
                    <w:jc w:val="center"/>
                    <w:widowControl/>
                    <w:rPr>
                      <w:sz w:val="10"/>
                      <w:szCs w:val="10"/>
                      <w:lang w:eastAsia="ru-RU"/>
                    </w:rPr>
                  </w:pPr>
                  <w:r>
                    <w:rPr>
                      <w:sz w:val="10"/>
                      <w:szCs w:val="10"/>
                      <w:lang w:eastAsia="ru-RU"/>
                    </w:rPr>
                    <w:t xml:space="preserve">15</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567" w:type="dxa"/>
                  <w:vAlign w:val="bottom"/>
                  <w:textDirection w:val="lrTb"/>
                  <w:noWrap w:val="false"/>
                </w:tcPr>
                <w:p>
                  <w:pPr>
                    <w:ind w:left="127" w:right="132"/>
                    <w:jc w:val="center"/>
                    <w:widowControl/>
                    <w:rPr>
                      <w:sz w:val="10"/>
                      <w:szCs w:val="10"/>
                      <w:lang w:eastAsia="ru-RU"/>
                    </w:rPr>
                  </w:pPr>
                  <w:r>
                    <w:rPr>
                      <w:sz w:val="10"/>
                      <w:szCs w:val="10"/>
                      <w:lang w:eastAsia="ru-RU"/>
                    </w:rPr>
                    <w:t xml:space="preserve">25</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709" w:type="dxa"/>
                  <w:vAlign w:val="bottom"/>
                  <w:textDirection w:val="lrTb"/>
                  <w:noWrap w:val="false"/>
                </w:tcPr>
                <w:p>
                  <w:pPr>
                    <w:ind w:left="127" w:right="132"/>
                    <w:jc w:val="center"/>
                    <w:widowControl/>
                    <w:rPr>
                      <w:sz w:val="10"/>
                      <w:szCs w:val="10"/>
                      <w:lang w:eastAsia="ru-RU"/>
                    </w:rPr>
                  </w:pPr>
                  <w:r>
                    <w:rPr>
                      <w:sz w:val="10"/>
                      <w:szCs w:val="10"/>
                      <w:lang w:eastAsia="ru-RU"/>
                    </w:rPr>
                    <w:t xml:space="preserve">40</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567" w:type="dxa"/>
                  <w:vAlign w:val="bottom"/>
                  <w:textDirection w:val="lrTb"/>
                  <w:noWrap w:val="false"/>
                </w:tcPr>
                <w:p>
                  <w:pPr>
                    <w:ind w:left="127" w:right="132"/>
                    <w:jc w:val="center"/>
                    <w:widowControl/>
                    <w:rPr>
                      <w:sz w:val="10"/>
                      <w:szCs w:val="10"/>
                      <w:lang w:eastAsia="ru-RU"/>
                    </w:rPr>
                  </w:pPr>
                  <w:r>
                    <w:rPr>
                      <w:sz w:val="10"/>
                      <w:szCs w:val="10"/>
                      <w:lang w:eastAsia="ru-RU"/>
                    </w:rPr>
                    <w:t xml:space="preserve">75</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567" w:type="dxa"/>
                  <w:vAlign w:val="bottom"/>
                  <w:textDirection w:val="lrTb"/>
                  <w:noWrap w:val="false"/>
                </w:tcPr>
                <w:p>
                  <w:pPr>
                    <w:ind w:left="127" w:right="132"/>
                    <w:jc w:val="center"/>
                    <w:widowControl/>
                    <w:rPr>
                      <w:sz w:val="10"/>
                      <w:szCs w:val="10"/>
                      <w:lang w:eastAsia="ru-RU"/>
                    </w:rPr>
                  </w:pPr>
                  <w:r>
                    <w:rPr>
                      <w:sz w:val="10"/>
                      <w:szCs w:val="10"/>
                      <w:lang w:eastAsia="ru-RU"/>
                    </w:rPr>
                    <w:t xml:space="preserve">15</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1247" w:type="dxa"/>
                  <w:vAlign w:val="bottom"/>
                  <w:textDirection w:val="lrTb"/>
                  <w:noWrap w:val="false"/>
                </w:tcPr>
                <w:p>
                  <w:pPr>
                    <w:ind w:left="127" w:right="132"/>
                    <w:jc w:val="center"/>
                    <w:widowControl/>
                    <w:rPr>
                      <w:sz w:val="10"/>
                      <w:szCs w:val="10"/>
                      <w:lang w:eastAsia="ru-RU"/>
                    </w:rPr>
                  </w:pPr>
                  <w:r>
                    <w:rPr>
                      <w:sz w:val="10"/>
                      <w:szCs w:val="10"/>
                      <w:lang w:eastAsia="ru-RU"/>
                    </w:rPr>
                    <w:t xml:space="preserve">15</w:t>
                  </w:r>
                  <w:r/>
                </w:p>
              </w:tc>
            </w:tr>
          </w:tbl>
          <w:p>
            <w:pPr>
              <w:ind w:left="127" w:right="132"/>
              <w:jc w:val="both"/>
            </w:pPr>
            <w:r>
              <w:t xml:space="preserve">Нормативные расстояния между ЖД и хозяйственной постройкой для содержания животных:</w:t>
            </w:r>
            <w:r/>
          </w:p>
          <w:p>
            <w:pPr>
              <w:ind w:left="127" w:right="132"/>
              <w:jc w:val="both"/>
            </w:pPr>
            <w:r/>
            <w:r/>
          </w:p>
          <w:p>
            <w:pPr>
              <w:ind w:left="127" w:right="132"/>
              <w:jc w:val="both"/>
              <w:rPr>
                <w:rFonts w:eastAsia="SimSun"/>
                <w:lang w:eastAsia="zh-CN" w:bidi="ru-RU"/>
              </w:rPr>
            </w:pPr>
            <w:r>
              <w:rPr>
                <w:rFonts w:eastAsia="SimSun"/>
                <w:lang w:eastAsia="zh-CN" w:bidi="ru-RU"/>
              </w:rPr>
              <w:t xml:space="preserve">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r/>
          </w:p>
          <w:p>
            <w:pPr>
              <w:ind w:left="127" w:right="132"/>
              <w:jc w:val="both"/>
              <w:tabs>
                <w:tab w:val="left" w:pos="1134" w:leader="none"/>
              </w:tabs>
              <w:rPr>
                <w:rFonts w:eastAsia="SimSun"/>
                <w:lang w:eastAsia="zh-CN" w:bidi="ru-RU"/>
              </w:rPr>
            </w:pPr>
            <w:r>
              <w:rPr>
                <w:rFonts w:eastAsia="SimSun"/>
                <w:lang w:eastAsia="zh-CN" w:bidi="ru-RU"/>
              </w:rPr>
            </w:r>
            <w:r/>
          </w:p>
          <w:p>
            <w:pPr>
              <w:ind w:left="127" w:right="132"/>
              <w:jc w:val="both"/>
              <w:tabs>
                <w:tab w:val="left" w:pos="1134" w:leader="none"/>
              </w:tabs>
              <w:rPr>
                <w:rFonts w:eastAsia="SimSun"/>
                <w:lang w:eastAsia="zh-CN" w:bidi="ru-RU"/>
              </w:rPr>
            </w:pPr>
            <w:r>
              <w:rPr>
                <w:rFonts w:eastAsia="SimSun"/>
                <w:lang w:eastAsia="zh-CN" w:bidi="ru-RU"/>
              </w:rPr>
              <w:t xml:space="preserve">Размещение вспомогательных объектов, в том числе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r/>
          </w:p>
          <w:p>
            <w:pPr>
              <w:ind w:left="127" w:right="132"/>
              <w:jc w:val="both"/>
            </w:pPr>
            <w:r/>
            <w:r/>
          </w:p>
          <w:p>
            <w:pPr>
              <w:ind w:left="127" w:right="132"/>
              <w:jc w:val="both"/>
            </w:pPr>
            <w:r>
              <w:t xml:space="preserve">Хозяйственные постройки должны быть обеспечены системами водоотведения с кровли, с целью предотвращения подтопления соседн</w:t>
            </w:r>
            <w:r>
              <w:t xml:space="preserve">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w:t>
            </w:r>
            <w:r/>
          </w:p>
          <w:p>
            <w:pPr>
              <w:ind w:left="127" w:right="132"/>
              <w:jc w:val="both"/>
            </w:pPr>
            <w:r/>
            <w:r/>
          </w:p>
          <w:p>
            <w:pPr>
              <w:ind w:left="127" w:right="132"/>
              <w:jc w:val="both"/>
              <w:rPr>
                <w:rFonts w:eastAsia="SimSun"/>
                <w:lang w:eastAsia="zh-CN" w:bidi="ru-RU"/>
              </w:rPr>
            </w:pPr>
            <w:r>
              <w:rPr>
                <w:rFonts w:eastAsia="SimSun"/>
                <w:lang w:eastAsia="zh-CN" w:bidi="ru-RU"/>
              </w:rPr>
              <w:t xml:space="preserve">Подъезды к гаражам-автостоянкам должны быть изолированы от площадок для отдыха и игр детей, спортивных площадок. </w:t>
            </w:r>
            <w:r/>
          </w:p>
          <w:p>
            <w:pPr>
              <w:ind w:left="127" w:right="132"/>
              <w:jc w:val="both"/>
              <w:rPr>
                <w:rFonts w:eastAsia="SimSun"/>
                <w:lang w:eastAsia="zh-CN" w:bidi="ru-RU"/>
              </w:rPr>
            </w:pPr>
            <w:r>
              <w:rPr>
                <w:rFonts w:eastAsia="SimSun"/>
                <w:lang w:eastAsia="zh-CN" w:bidi="ru-RU"/>
              </w:rPr>
            </w:r>
            <w:r/>
          </w:p>
          <w:p>
            <w:pPr>
              <w:ind w:left="127" w:right="132"/>
              <w:jc w:val="both"/>
              <w:rPr>
                <w:rFonts w:eastAsia="SimSun"/>
                <w:lang w:eastAsia="zh-CN" w:bidi="ru-RU"/>
              </w:rPr>
            </w:pPr>
            <w:r>
              <w:rPr>
                <w:rFonts w:eastAsia="SimSun"/>
                <w:lang w:eastAsia="zh-CN" w:bidi="ru-RU"/>
              </w:rPr>
              <w:t xml:space="preserve">Размещение отдельно стоящих гаражей на 1 машино-место и подъездов к ним на придомовой территории многоквартирных домов не допускается.</w:t>
            </w:r>
            <w:r/>
          </w:p>
          <w:p>
            <w:pPr>
              <w:ind w:left="127" w:right="132"/>
              <w:jc w:val="both"/>
              <w:rPr>
                <w:rFonts w:eastAsia="SimSun"/>
                <w:lang w:eastAsia="zh-CN" w:bidi="ru-RU"/>
              </w:rPr>
            </w:pPr>
            <w:r>
              <w:rPr>
                <w:rFonts w:eastAsia="SimSun"/>
                <w:lang w:eastAsia="zh-CN" w:bidi="ru-RU"/>
              </w:rPr>
            </w:r>
            <w:r/>
          </w:p>
          <w:p>
            <w:pPr>
              <w:ind w:left="127" w:right="132"/>
              <w:jc w:val="both"/>
              <w:rPr>
                <w:rFonts w:eastAsia="SimSun"/>
                <w:lang w:eastAsia="zh-CN" w:bidi="ru-RU"/>
              </w:rPr>
            </w:pPr>
            <w:r>
              <w:rPr>
                <w:rFonts w:eastAsia="SimSun"/>
                <w:lang w:eastAsia="zh-CN" w:bidi="ru-RU"/>
              </w:rPr>
              <w:t xml:space="preserve">На территории с жилой застройкой гаражи-стоянки следует размещать в пределах отведенного участка.</w:t>
            </w:r>
            <w:r/>
          </w:p>
          <w:p>
            <w:pPr>
              <w:ind w:left="127" w:right="132"/>
              <w:jc w:val="both"/>
              <w:rPr>
                <w:rFonts w:eastAsia="SimSun"/>
                <w:lang w:eastAsia="zh-CN" w:bidi="ru-RU"/>
              </w:rPr>
            </w:pPr>
            <w:r>
              <w:rPr>
                <w:rFonts w:eastAsia="SimSun"/>
                <w:lang w:eastAsia="zh-CN" w:bidi="ru-RU"/>
              </w:rPr>
            </w:r>
            <w:r/>
          </w:p>
          <w:p>
            <w:pPr>
              <w:ind w:left="127" w:right="132"/>
              <w:jc w:val="both"/>
              <w:rPr>
                <w:rFonts w:eastAsia="SimSun"/>
                <w:highlight w:val="cyan"/>
                <w:lang w:eastAsia="zh-CN" w:bidi="ru-RU"/>
              </w:rPr>
            </w:pPr>
            <w:r>
              <w:rPr>
                <w:rFonts w:eastAsia="SimSun"/>
                <w:lang w:eastAsia="zh-CN" w:bidi="ru-RU"/>
              </w:rPr>
              <w:t xml:space="preserve">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r/>
          </w:p>
          <w:p>
            <w:pPr>
              <w:ind w:left="127" w:right="132"/>
              <w:jc w:val="both"/>
              <w:rPr>
                <w:rFonts w:eastAsia="SimSun"/>
                <w:lang w:eastAsia="zh-CN" w:bidi="ru-RU"/>
              </w:rPr>
            </w:pPr>
            <w:r>
              <w:rPr>
                <w:rFonts w:eastAsia="SimSun"/>
                <w:lang w:eastAsia="zh-CN" w:bidi="ru-RU"/>
              </w:rPr>
            </w:r>
            <w:r/>
          </w:p>
          <w:p>
            <w:pPr>
              <w:ind w:left="127" w:right="132"/>
              <w:jc w:val="both"/>
              <w:rPr>
                <w:rFonts w:eastAsia="SimSun"/>
                <w:lang w:eastAsia="zh-CN" w:bidi="ru-RU"/>
              </w:rPr>
            </w:pPr>
            <w:r>
              <w:rPr>
                <w:rFonts w:eastAsia="SimSun"/>
                <w:lang w:eastAsia="zh-CN" w:bidi="ru-RU"/>
              </w:rPr>
              <w:t xml:space="preserve">При устройстве гаражей (в том числе пристроенных) в цокольном, подвальном этажах жилых домов допускается их проектирование без соблюдения нормативов расчета стоянок автомобилей.</w:t>
            </w:r>
            <w:r/>
          </w:p>
          <w:p>
            <w:pPr>
              <w:ind w:left="127" w:right="132"/>
              <w:jc w:val="both"/>
              <w:shd w:val="clear" w:color="auto" w:fill="ffffff"/>
              <w:widowControl/>
              <w:tabs>
                <w:tab w:val="left" w:pos="3817" w:leader="none"/>
              </w:tabs>
              <w:rPr>
                <w:lang w:eastAsia="ru-RU"/>
              </w:rPr>
            </w:pPr>
            <w:r>
              <w:rPr>
                <w:lang w:eastAsia="ru-RU"/>
              </w:rPr>
            </w:r>
            <w:r/>
          </w:p>
          <w:p>
            <w:pPr>
              <w:ind w:left="127" w:right="132"/>
              <w:jc w:val="both"/>
              <w:shd w:val="clear" w:color="auto" w:fill="ffffff"/>
              <w:widowControl/>
              <w:tabs>
                <w:tab w:val="left" w:pos="3817" w:leader="none"/>
              </w:tabs>
              <w:rPr>
                <w:lang w:eastAsia="ru-RU"/>
              </w:rPr>
            </w:pPr>
            <w:r>
              <w:rPr>
                <w:lang w:eastAsia="ru-RU"/>
              </w:rPr>
              <w:t xml:space="preserve">Наименьшие расстояния до въездов-выездов стоянок автомобилей рекомендуется принимать:</w:t>
            </w:r>
            <w:r/>
          </w:p>
          <w:p>
            <w:pPr>
              <w:ind w:left="127" w:right="132"/>
              <w:jc w:val="both"/>
              <w:shd w:val="clear" w:color="auto" w:fill="ffffff"/>
              <w:widowControl/>
              <w:tabs>
                <w:tab w:val="left" w:pos="3817" w:leader="none"/>
              </w:tabs>
              <w:rPr>
                <w:lang w:eastAsia="ru-RU"/>
              </w:rPr>
            </w:pPr>
            <w:r>
              <w:rPr>
                <w:lang w:eastAsia="ru-RU"/>
              </w:rPr>
              <w:t xml:space="preserve">- 50 м - от перекрестков магистральных улиц;</w:t>
            </w:r>
            <w:r/>
          </w:p>
          <w:p>
            <w:pPr>
              <w:ind w:left="127" w:right="132"/>
              <w:jc w:val="both"/>
              <w:shd w:val="clear" w:color="auto" w:fill="ffffff"/>
              <w:widowControl/>
              <w:tabs>
                <w:tab w:val="left" w:pos="3817" w:leader="none"/>
              </w:tabs>
              <w:rPr>
                <w:lang w:eastAsia="ru-RU"/>
              </w:rPr>
            </w:pPr>
            <w:r>
              <w:rPr>
                <w:lang w:eastAsia="ru-RU"/>
              </w:rPr>
              <w:t xml:space="preserve">- 20 м - улиц местного значения;</w:t>
            </w:r>
            <w:r/>
          </w:p>
          <w:p>
            <w:pPr>
              <w:ind w:left="127" w:right="132"/>
              <w:jc w:val="both"/>
              <w:shd w:val="clear" w:color="auto" w:fill="ffffff"/>
              <w:widowControl/>
              <w:rPr>
                <w:lang w:eastAsia="ru-RU"/>
              </w:rPr>
            </w:pPr>
            <w:r>
              <w:rPr>
                <w:lang w:eastAsia="ru-RU"/>
              </w:rPr>
              <w:t xml:space="preserve">- 30 м - от остановочных пунктов общественного пассажирского транспорта.</w:t>
            </w:r>
            <w:r/>
          </w:p>
          <w:p>
            <w:pPr>
              <w:ind w:left="127" w:right="132"/>
              <w:jc w:val="both"/>
              <w:shd w:val="clear" w:color="auto" w:fill="ffffff"/>
              <w:widowControl/>
              <w:tabs>
                <w:tab w:val="left" w:pos="3817" w:leader="none"/>
              </w:tabs>
              <w:rPr>
                <w:lang w:eastAsia="ru-RU"/>
              </w:rPr>
            </w:pPr>
            <w:r>
              <w:rPr>
                <w:lang w:eastAsia="ru-RU"/>
              </w:rPr>
            </w:r>
            <w:r/>
          </w:p>
          <w:p>
            <w:pPr>
              <w:ind w:left="127" w:right="132"/>
              <w:jc w:val="both"/>
              <w:shd w:val="clear" w:color="auto" w:fill="ffffff"/>
              <w:widowControl/>
              <w:tabs>
                <w:tab w:val="left" w:pos="3817" w:leader="none"/>
              </w:tabs>
              <w:rPr>
                <w:lang w:eastAsia="ru-RU"/>
              </w:rPr>
            </w:pPr>
            <w:r>
              <w:rPr>
                <w:lang w:eastAsia="ru-RU"/>
              </w:rPr>
              <w:t xml:space="preserve">Приобъектные автостоянки дошкольных организаций и школ проектируются вне территории указанных учреждений на расстоянии от границ участка в соответствии с требованиями </w:t>
            </w:r>
            <w:hyperlink w:tooltip="#P13160" w:anchor="P13160" w:history="1">
              <w:r>
                <w:rPr>
                  <w:lang w:eastAsia="ru-RU"/>
                </w:rPr>
                <w:t xml:space="preserve">таблицы части</w:t>
              </w:r>
            </w:hyperlink>
            <w:r>
              <w:rPr>
                <w:lang w:eastAsia="ru-RU"/>
              </w:rPr>
              <w:t xml:space="preserve"> 8 статьи 21 Правил, с учетом вместимости автостоянки.</w:t>
            </w:r>
            <w:r/>
          </w:p>
          <w:p>
            <w:pPr>
              <w:ind w:left="127" w:right="132"/>
              <w:jc w:val="both"/>
              <w:shd w:val="clear" w:color="auto" w:fill="ffffff"/>
              <w:widowControl/>
              <w:tabs>
                <w:tab w:val="left" w:pos="3817" w:leader="none"/>
              </w:tabs>
              <w:rPr>
                <w:lang w:eastAsia="ru-RU"/>
              </w:rPr>
            </w:pPr>
            <w:r>
              <w:rPr>
                <w:lang w:eastAsia="ru-RU"/>
              </w:rPr>
            </w:r>
            <w:r/>
          </w:p>
          <w:p>
            <w:pPr>
              <w:ind w:left="127" w:right="132"/>
              <w:jc w:val="both"/>
              <w:rPr>
                <w:rFonts w:eastAsia="Calibri"/>
                <w:lang w:eastAsia="en-US"/>
              </w:rPr>
            </w:pPr>
            <w:r>
              <w:rPr>
                <w:rFonts w:eastAsia="Calibri"/>
                <w:lang w:eastAsia="en-US"/>
              </w:rPr>
              <w:t xml:space="preserve">Нормативные значения придомовых площадок принимать в соответствии с частью 1 статьи 21 настоящих правил</w:t>
            </w:r>
            <w:r/>
          </w:p>
          <w:p>
            <w:pPr>
              <w:ind w:left="127" w:right="132"/>
              <w:jc w:val="both"/>
              <w:rPr>
                <w:rFonts w:eastAsia="Calibri"/>
              </w:rPr>
            </w:pPr>
            <w:r>
              <w:rPr>
                <w:rFonts w:eastAsia="Calibri"/>
              </w:rPr>
            </w:r>
            <w:r/>
          </w:p>
          <w:p>
            <w:pPr>
              <w:ind w:left="127" w:right="132"/>
              <w:jc w:val="both"/>
              <w:rPr>
                <w:rFonts w:eastAsia="Calibri"/>
              </w:rPr>
            </w:pPr>
            <w:r>
              <w:rPr>
                <w:rFonts w:eastAsia="Calibri"/>
              </w:rPr>
              <w:t xml:space="preserve">Площадки для разгрузки товаров размещать в границах отведенного участка.</w:t>
            </w:r>
            <w:r/>
          </w:p>
          <w:p>
            <w:pPr>
              <w:ind w:left="127" w:right="132"/>
              <w:jc w:val="both"/>
              <w:rPr>
                <w:rFonts w:eastAsia="Calibri"/>
              </w:rPr>
            </w:pPr>
            <w:r>
              <w:rPr>
                <w:rFonts w:eastAsia="Calibri"/>
              </w:rPr>
            </w:r>
            <w:r/>
          </w:p>
        </w:tc>
      </w:tr>
    </w:tbl>
    <w:p>
      <w:pPr>
        <w:ind w:right="175" w:firstLine="567"/>
        <w:jc w:val="both"/>
      </w:pPr>
      <w:r/>
      <w:r/>
    </w:p>
    <w:p>
      <w:pPr>
        <w:ind w:firstLine="567"/>
        <w:jc w:val="both"/>
      </w:pPr>
      <w:r>
        <w:rPr>
          <w:shd w:val="clear" w:color="auto" w:fill="ffffff"/>
        </w:rPr>
        <w:t xml:space="preserve">Примечание:</w:t>
      </w:r>
      <w:r/>
    </w:p>
    <w:p>
      <w:pPr>
        <w:ind w:firstLine="567"/>
        <w:jc w:val="both"/>
      </w:pPr>
      <w:r>
        <w:rPr>
          <w:shd w:val="clear" w:color="auto" w:fill="ffffff"/>
        </w:rPr>
        <w:t xml:space="preserve">Предельные (минимальные и (или) максимальные) размеры земельных участков и максимальный процент застройки для вспомогательных видов не подлежат установлению.</w:t>
      </w:r>
      <w:r/>
    </w:p>
    <w:p>
      <w:pPr>
        <w:ind w:firstLine="567"/>
        <w:jc w:val="both"/>
      </w:pPr>
      <w:r>
        <w:rPr>
          <w:shd w:val="clear" w:color="auto" w:fill="ffffff"/>
        </w:rPr>
        <w:t xml:space="preserve">Общая площадь некапитального объекта принята до 25 кв.м. Этажность отдельно стоящих некапитальн</w:t>
      </w:r>
      <w:r>
        <w:rPr>
          <w:shd w:val="clear" w:color="auto" w:fill="ffffff"/>
        </w:rPr>
        <w:t xml:space="preserve">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Казанско</w:t>
      </w:r>
      <w:r>
        <w:rPr>
          <w:shd w:val="clear" w:color="auto" w:fill="ffffff"/>
        </w:rPr>
        <w:t xml:space="preserve">го сельского поселения района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w:t>
      </w:r>
      <w:r>
        <w:rPr>
          <w:shd w:val="clear" w:color="auto" w:fill="ffffff"/>
        </w:rPr>
        <w:t xml:space="preserve">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r/>
    </w:p>
    <w:p>
      <w:pPr>
        <w:ind w:firstLine="567"/>
        <w:jc w:val="both"/>
      </w:pPr>
      <w:r/>
      <w:r/>
    </w:p>
    <w:p>
      <w:pPr>
        <w:ind w:firstLine="567"/>
        <w:jc w:val="center"/>
      </w:pPr>
      <w:r>
        <w:rPr>
          <w:b/>
          <w:color w:val="000000"/>
          <w:sz w:val="24"/>
          <w:szCs w:val="24"/>
        </w:rPr>
        <w:t xml:space="preserve"> ЗОНА ЗАСТРОЙКИ МАЛОЭТАЖНЫМИ ЖИЛЫМИ ДОМАМИ (ДО 4 ЭТАЖЕЙ, ВКЛЮЧАЯ МАНСАРДНЫЙ)</w:t>
      </w:r>
      <w:r/>
    </w:p>
    <w:p>
      <w:pPr>
        <w:ind w:firstLine="567"/>
        <w:jc w:val="center"/>
      </w:pPr>
      <w:r/>
      <w:r/>
    </w:p>
    <w:p>
      <w:pPr>
        <w:ind w:firstLine="567"/>
        <w:jc w:val="both"/>
      </w:pPr>
      <w:r>
        <w:rPr>
          <w:color w:val="000000" w:themeColor="text1"/>
          <w:sz w:val="24"/>
          <w:szCs w:val="24"/>
        </w:rPr>
        <w:t xml:space="preserve">Кодовое обозначение – Ж-2</w:t>
      </w:r>
      <w:r/>
    </w:p>
    <w:p>
      <w:pPr>
        <w:ind w:firstLine="567"/>
        <w:jc w:val="both"/>
      </w:pPr>
      <w:r>
        <w:rPr>
          <w:b/>
          <w:sz w:val="24"/>
          <w:szCs w:val="24"/>
        </w:rPr>
        <w:t xml:space="preserve">Зона застройки малоэтажными жилыми домами (до 4 этажей, включая мансардный)</w:t>
      </w:r>
      <w:r>
        <w:rPr>
          <w:b/>
          <w:color w:val="000000"/>
          <w:sz w:val="24"/>
          <w:szCs w:val="24"/>
        </w:rPr>
        <w:t xml:space="preserve">Ж-2</w:t>
      </w:r>
      <w:r>
        <w:rPr>
          <w:color w:val="000000"/>
          <w:sz w:val="24"/>
          <w:szCs w:val="24"/>
        </w:rPr>
        <w:t xml:space="preserve"> выделена </w:t>
      </w:r>
      <w:r>
        <w:rPr>
          <w:sz w:val="24"/>
          <w:szCs w:val="24"/>
        </w:rPr>
        <w:t xml:space="preserve">для обеспечения </w:t>
      </w:r>
      <w:r>
        <w:rPr>
          <w:sz w:val="24"/>
          <w:szCs w:val="24"/>
        </w:rPr>
        <w:t xml:space="preserve">правовых условий формирования жилых районов низкой плотности застройки не выше четырех этажей, с минимально разрешенным набором услуг, где предусматривается размещение одноквартирных, двухквартирных домов с земельными участками, многоквартирных жилых домов</w:t>
      </w:r>
      <w:r>
        <w:rPr>
          <w:color w:val="000000"/>
          <w:sz w:val="24"/>
          <w:szCs w:val="24"/>
        </w:rPr>
        <w:t xml:space="preserve">.</w:t>
      </w:r>
      <w:r/>
    </w:p>
    <w:p>
      <w:pPr>
        <w:ind w:firstLine="567"/>
        <w:jc w:val="both"/>
      </w:pPr>
      <w:r/>
      <w:r/>
    </w:p>
    <w:p>
      <w:pPr>
        <w:jc w:val="center"/>
        <w:tabs>
          <w:tab w:val="left" w:pos="2520" w:leader="none"/>
        </w:tabs>
      </w:pPr>
      <w:r>
        <w:rPr>
          <w:b/>
          <w:color w:val="000000"/>
        </w:rPr>
        <w:t xml:space="preserve">ОСНОВНЫЕ ВИДЫ И ПАРАМЕТРЫ РАЗРЕШЕННОГО ИСПОЛЬЗОВАНИЯ</w:t>
      </w:r>
      <w:r/>
    </w:p>
    <w:p>
      <w:pPr>
        <w:jc w:val="center"/>
        <w:tabs>
          <w:tab w:val="left" w:pos="2520" w:leader="none"/>
        </w:tabs>
      </w:pPr>
      <w:r>
        <w:rPr>
          <w:b/>
          <w:color w:val="000000"/>
        </w:rPr>
        <w:t xml:space="preserve">ЗЕМЕЛЬНЫХ УЧАСТКОВ И ОБЪЕКТОВ КАПИТАЛЬНОГО СТРОИТЕЛЬСТВА</w:t>
      </w:r>
      <w:r/>
    </w:p>
    <w:p>
      <w:pPr>
        <w:ind w:firstLine="567"/>
        <w:jc w:val="center"/>
        <w:tabs>
          <w:tab w:val="left" w:pos="2520" w:leader="none"/>
        </w:tabs>
      </w:pPr>
      <w:r/>
      <w:r/>
    </w:p>
    <w:tbl>
      <w:tblPr>
        <w:tblW w:w="1503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 w:type="dxa"/>
          <w:right w:w="10" w:type="dxa"/>
        </w:tblCellMar>
        <w:tblLook w:val="04A0" w:firstRow="1" w:lastRow="0" w:firstColumn="1" w:lastColumn="0" w:noHBand="0" w:noVBand="1"/>
      </w:tblPr>
      <w:tblGrid>
        <w:gridCol w:w="2014"/>
        <w:gridCol w:w="3685"/>
        <w:gridCol w:w="5387"/>
        <w:gridCol w:w="3950"/>
      </w:tblGrid>
      <w:tr>
        <w:trPr>
          <w:trHeight w:val="23"/>
        </w:trPr>
        <w:tc>
          <w:tcPr>
            <w:tcW w:w="2014" w:type="dxa"/>
            <w:vAlign w:val="center"/>
            <w:textDirection w:val="lrTb"/>
            <w:noWrap w:val="false"/>
          </w:tcPr>
          <w:p>
            <w:pPr>
              <w:jc w:val="center"/>
              <w:tabs>
                <w:tab w:val="left" w:pos="2520" w:leader="none"/>
              </w:tabs>
              <w:rPr>
                <w:b/>
              </w:rPr>
            </w:pPr>
            <w:r>
              <w:rPr>
                <w:rFonts w:eastAsia="SimSun"/>
                <w:b/>
                <w:lang w:eastAsia="zh-CN" w:bidi="ru-RU"/>
              </w:rPr>
              <w:t xml:space="preserve">[</w:t>
            </w:r>
            <w:r>
              <w:rPr>
                <w:b/>
              </w:rPr>
              <w:t xml:space="preserve">КОД (ЧИСЛОВОЕ ОБОЗНАЧЕНИЕ)</w:t>
            </w:r>
            <w:r>
              <w:rPr>
                <w:rFonts w:eastAsia="SimSun"/>
                <w:b/>
                <w:lang w:eastAsia="zh-CN" w:bidi="ru-RU"/>
              </w:rPr>
              <w:t xml:space="preserve">]-</w:t>
            </w:r>
            <w:r>
              <w:rPr>
                <w:b/>
              </w:rPr>
              <w:t xml:space="preserve"> НАИМЕНОВАНИЕ ВИДА</w:t>
            </w:r>
            <w:r>
              <w:rPr>
                <w:b/>
                <w:strike/>
              </w:rPr>
              <w:t xml:space="preserve"> </w:t>
            </w:r>
            <w:r>
              <w:rPr>
                <w:b/>
              </w:rPr>
              <w:t xml:space="preserve">РАЗРЕШЕННОГО ИСПОЛЬЗОВАНИЯ ЗЕМЕЛЬНЫХ УЧАСТКОВ</w:t>
            </w:r>
            <w:r/>
          </w:p>
        </w:tc>
        <w:tc>
          <w:tcPr>
            <w:tcW w:w="3685" w:type="dxa"/>
            <w:vAlign w:val="center"/>
            <w:textDirection w:val="lrTb"/>
            <w:noWrap w:val="false"/>
          </w:tcPr>
          <w:p>
            <w:pPr>
              <w:ind w:left="-10"/>
              <w:jc w:val="center"/>
              <w:tabs>
                <w:tab w:val="left" w:pos="2520" w:leader="none"/>
              </w:tabs>
              <w:rPr>
                <w:b/>
              </w:rPr>
            </w:pPr>
            <w:r>
              <w:rPr>
                <w:b/>
              </w:rPr>
              <w:t xml:space="preserve">ВИДЫ ОБЪЕКТОВ КАПИТАЛЬНОГО</w:t>
            </w:r>
            <w:r>
              <w:rPr>
                <w:b/>
              </w:rPr>
              <w:br/>
              <w:t xml:space="preserve"> СТРОИТЕЛЬСТВА</w:t>
            </w:r>
            <w:r/>
          </w:p>
        </w:tc>
        <w:tc>
          <w:tcPr>
            <w:tcW w:w="5387" w:type="dxa"/>
            <w:vAlign w:val="center"/>
            <w:textDirection w:val="lrTb"/>
            <w:noWrap w:val="false"/>
          </w:tcPr>
          <w:p>
            <w:pPr>
              <w:ind w:hanging="2"/>
              <w:jc w:val="center"/>
              <w:rPr>
                <w:b/>
              </w:rPr>
            </w:pPr>
            <w:r>
              <w:rPr>
                <w:rFonts w:eastAsia="SimSun"/>
                <w:b/>
                <w:lang w:eastAsia="zh-CN" w:bidi="ru-RU"/>
              </w:rPr>
              <w:t xml:space="preserve">ПРЕДЕЛЬНЫЕ (МИНИМАЛЬНЫЕ И (ИЛИ) МАКСИМАЛЬНЫЕ РАЗМЕРЫ ЗЕМЕЛЬНЫХ УЧАСТКОВ И ПЕРЕДЕЛЬНЫЕ</w:t>
            </w:r>
            <w:r>
              <w:rPr>
                <w:rFonts w:eastAsia="SimSun"/>
                <w:lang w:eastAsia="zh-CN" w:bidi="ru-RU"/>
              </w:rPr>
              <w:t xml:space="preserve"> </w:t>
            </w:r>
            <w:r>
              <w:rPr>
                <w:b/>
              </w:rPr>
              <w:t xml:space="preserve">ПАРАМЕТРЫ РАЗРЕШЕННОГО ИСПОЛЬЗОВАНИЯ ЗЕМЕЛЬНЫХ УЧАСТКОВ И ОБЪЕКТОВ КАПИТАЛЬНОГО СТРОИТЕЛЬСТВА</w:t>
            </w:r>
            <w:r>
              <w:rPr>
                <w:rFonts w:eastAsia="SimSun"/>
                <w:lang w:eastAsia="zh-CN" w:bidi="ru-RU"/>
              </w:rPr>
              <w:t xml:space="preserve"> </w:t>
            </w:r>
            <w:r/>
          </w:p>
        </w:tc>
        <w:tc>
          <w:tcPr>
            <w:tcW w:w="3950" w:type="dxa"/>
            <w:vAlign w:val="center"/>
            <w:textDirection w:val="lrTb"/>
            <w:noWrap w:val="false"/>
          </w:tcPr>
          <w:p>
            <w:pPr>
              <w:ind w:firstLine="34"/>
              <w:jc w:val="center"/>
              <w:tabs>
                <w:tab w:val="left" w:pos="2520" w:leader="none"/>
              </w:tabs>
              <w:rPr>
                <w:b/>
              </w:rPr>
            </w:pPr>
            <w:r>
              <w:rPr>
                <w:b/>
              </w:rPr>
              <w:t xml:space="preserve">ОСОБЫЕ УСЛОВИЯ РЕАЛИЗАЦИИ РЕГЛАМЕНТА </w:t>
            </w:r>
            <w:r/>
          </w:p>
        </w:tc>
      </w:tr>
      <w:tr>
        <w:trPr>
          <w:trHeight w:val="540"/>
        </w:trPr>
        <w:tc>
          <w:tcPr>
            <w:tcW w:w="2014" w:type="dxa"/>
            <w:textDirection w:val="lrTb"/>
            <w:noWrap w:val="false"/>
          </w:tcPr>
          <w:p>
            <w:pPr>
              <w:ind w:right="132"/>
              <w:jc w:val="both"/>
              <w:tabs>
                <w:tab w:val="left" w:pos="303" w:leader="none"/>
                <w:tab w:val="left" w:pos="586" w:leader="none"/>
              </w:tabs>
            </w:pPr>
            <w:r>
              <w:t xml:space="preserve"> [2.1] Для индивидуального жилищного строительства</w:t>
            </w:r>
            <w:r/>
          </w:p>
          <w:p>
            <w:pPr>
              <w:jc w:val="both"/>
            </w:pPr>
            <w:r/>
            <w:r/>
          </w:p>
        </w:tc>
        <w:tc>
          <w:tcPr>
            <w:tcW w:w="3685" w:type="dxa"/>
            <w:textDirection w:val="lrTb"/>
            <w:noWrap w:val="false"/>
          </w:tcPr>
          <w:p>
            <w:pPr>
              <w:pStyle w:val="1051"/>
              <w:ind w:left="132" w:right="131" w:hanging="3"/>
              <w:rPr>
                <w:rFonts w:ascii="Times New Roman" w:hAnsi="Times New Roman" w:cs="Times New Roman"/>
                <w:sz w:val="20"/>
                <w:szCs w:val="20"/>
              </w:rPr>
            </w:pPr>
            <w:r>
              <w:rPr>
                <w:rFonts w:ascii="Times New Roman" w:hAnsi="Times New Roman" w:cs="Times New Roman"/>
                <w:sz w:val="20"/>
                <w:szCs w:val="20"/>
              </w:rPr>
              <w:t xml:space="preserve">Размещение жилого дома (отдельно стоящего здания количеством надземных этажей не более чем три, высотой не более двадцати метро</w:t>
            </w:r>
            <w:r>
              <w:rPr>
                <w:rFonts w:ascii="Times New Roman" w:hAnsi="Times New Roman" w:cs="Times New Roman"/>
                <w:sz w:val="20"/>
                <w:szCs w:val="20"/>
              </w:rPr>
              <w:t xml:space="preserve">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r/>
          </w:p>
          <w:p>
            <w:pPr>
              <w:pStyle w:val="1051"/>
              <w:ind w:left="132" w:right="131" w:hanging="3"/>
              <w:rPr>
                <w:rFonts w:ascii="Times New Roman" w:hAnsi="Times New Roman" w:cs="Times New Roman"/>
                <w:sz w:val="20"/>
                <w:szCs w:val="20"/>
              </w:rPr>
            </w:pPr>
            <w:r>
              <w:rPr>
                <w:rFonts w:ascii="Times New Roman" w:hAnsi="Times New Roman" w:cs="Times New Roman"/>
                <w:sz w:val="20"/>
                <w:szCs w:val="20"/>
              </w:rPr>
              <w:t xml:space="preserve">выращивание сельскохозяйственных культур;</w:t>
            </w:r>
            <w:r/>
          </w:p>
          <w:p>
            <w:pPr>
              <w:ind w:left="132" w:right="131" w:hanging="3"/>
              <w:jc w:val="both"/>
            </w:pPr>
            <w:r>
              <w:t xml:space="preserve">размещение индивидуальных гаражей и хозяйственных построек</w:t>
            </w:r>
            <w:r/>
          </w:p>
        </w:tc>
        <w:tc>
          <w:tcPr>
            <w:tcW w:w="5387" w:type="dxa"/>
            <w:textDirection w:val="lrTb"/>
            <w:noWrap w:val="false"/>
          </w:tcPr>
          <w:p>
            <w:pPr>
              <w:ind w:left="142" w:right="65"/>
              <w:jc w:val="both"/>
            </w:pPr>
            <w:r>
              <w:t xml:space="preserve">минимальная/максимальная площадь земельных участков   – 400/1500 кв. м;</w:t>
            </w:r>
            <w:r/>
          </w:p>
          <w:p>
            <w:pPr>
              <w:ind w:left="142" w:right="65"/>
              <w:jc w:val="both"/>
            </w:pPr>
            <w:r>
              <w:t xml:space="preserve">минимальная ширина земельных участков вдоль фронта улицы (проезда) – 12 м; при образовании нового участка – 15 м.;</w:t>
            </w:r>
            <w:r/>
          </w:p>
          <w:p>
            <w:pPr>
              <w:ind w:left="142" w:right="65"/>
              <w:jc w:val="both"/>
            </w:pPr>
            <w:r>
              <w:t xml:space="preserve">максимальное количество надземных этажей зданий – 3 этажа (включая мансардный этаж); </w:t>
            </w:r>
            <w:r/>
          </w:p>
          <w:p>
            <w:pPr>
              <w:ind w:left="142" w:right="65"/>
              <w:jc w:val="both"/>
            </w:pPr>
            <w:r>
              <w:t xml:space="preserve">максимальная общая площадь объекта ИЖС – 300 кв.м.;</w:t>
            </w:r>
            <w:r/>
          </w:p>
          <w:p>
            <w:pPr>
              <w:ind w:left="142" w:right="65"/>
              <w:jc w:val="both"/>
            </w:pPr>
            <w:r>
              <w:t xml:space="preserve">максимальное количество объектов ИЖС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w:t>
            </w:r>
            <w:r/>
          </w:p>
          <w:p>
            <w:pPr>
              <w:ind w:left="142" w:right="65"/>
              <w:jc w:val="both"/>
            </w:pPr>
            <w:r>
              <w:t xml:space="preserve">максимальная высота объекта ИЖС для объектов с углом наклона кровли до 15° - 10 м, с углом наклона кровли более </w:t>
            </w:r>
            <w:r>
              <w:t xml:space="preserve">15° - 13 м;</w:t>
            </w:r>
            <w:r/>
          </w:p>
          <w:p>
            <w:pPr>
              <w:ind w:left="142" w:right="65"/>
              <w:jc w:val="both"/>
            </w:pPr>
            <w:r>
              <w:t xml:space="preserve">максимальный процент застройки в границах земельного участка – 60 % (процент застройки подземной части не регламентируется).</w:t>
            </w:r>
            <w:r/>
          </w:p>
          <w:p>
            <w:pPr>
              <w:ind w:left="142" w:right="65"/>
              <w:jc w:val="both"/>
            </w:pPr>
            <w:r>
              <w:t xml:space="preserve">Минимальные отступы от красной линии– 5 м или по сложившейся линии застройки; </w:t>
            </w:r>
            <w:r/>
          </w:p>
          <w:p>
            <w:pPr>
              <w:ind w:left="142" w:right="65"/>
              <w:jc w:val="both"/>
            </w:pPr>
            <w:r>
              <w:t xml:space="preserve">от иных границ – 3 м, при блокировке зданий м от границы блокирования – 0.</w:t>
            </w:r>
            <w:r/>
          </w:p>
          <w:p>
            <w:pPr>
              <w:ind w:left="142" w:right="65"/>
              <w:jc w:val="both"/>
            </w:pPr>
            <w:r>
              <w:t xml:space="preserve">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r/>
          </w:p>
          <w:p>
            <w:pPr>
              <w:ind w:left="142" w:right="65"/>
              <w:jc w:val="both"/>
            </w:pPr>
            <w:r>
              <w:t xml:space="preserve">1,0 м - для одноэтажного жилого дома;</w:t>
            </w:r>
            <w:r/>
          </w:p>
          <w:p>
            <w:pPr>
              <w:ind w:left="142" w:right="65"/>
              <w:jc w:val="both"/>
            </w:pPr>
            <w:r>
              <w:t xml:space="preserve">1,5 м - для двухэтажного жилого дома;</w:t>
            </w:r>
            <w:r/>
          </w:p>
          <w:p>
            <w:pPr>
              <w:ind w:left="142" w:right="65"/>
              <w:jc w:val="both"/>
            </w:pPr>
            <w:r>
              <w:t xml:space="preserve">2,0 м - для трехэтажного жилого дома.</w:t>
            </w:r>
            <w:r/>
          </w:p>
          <w:p>
            <w:pPr>
              <w:ind w:left="140" w:right="103"/>
              <w:jc w:val="both"/>
            </w:pPr>
            <w:r>
              <w:t xml:space="preserve">Коэффициент использования территории не более 0,4.</w:t>
            </w:r>
            <w:r/>
          </w:p>
          <w:p>
            <w:pPr>
              <w:ind w:left="140" w:right="103"/>
              <w:jc w:val="both"/>
              <w:rPr>
                <w:rFonts w:eastAsia="SimSun"/>
                <w:lang w:eastAsia="zh-CN" w:bidi="ru-RU"/>
              </w:rPr>
            </w:pPr>
            <w:r>
              <w:t xml:space="preserve">Раздел земельных участков площадью 1,5 га и более выполнять исключительно в соответствии с утвержденной документацией по планировке территории.</w:t>
            </w:r>
            <w:r/>
          </w:p>
        </w:tc>
        <w:tc>
          <w:tcPr>
            <w:tcW w:w="3950" w:type="dxa"/>
            <w:vMerge w:val="restart"/>
            <w:textDirection w:val="lrTb"/>
            <w:noWrap w:val="false"/>
          </w:tcPr>
          <w:p>
            <w:pPr>
              <w:ind w:left="131" w:right="132"/>
              <w:jc w:val="both"/>
              <w:tabs>
                <w:tab w:val="left" w:pos="3071" w:leader="none"/>
              </w:tabs>
            </w:pPr>
            <w:r>
              <w:rPr>
                <w:shd w:val="clear" w:color="auto" w:fill="ffffff"/>
              </w:rPr>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r>
              <w:t xml:space="preserve"> </w:t>
            </w:r>
            <w:r/>
          </w:p>
          <w:p>
            <w:pPr>
              <w:ind w:left="131" w:right="132"/>
              <w:jc w:val="both"/>
              <w:tabs>
                <w:tab w:val="left" w:pos="3071" w:leader="none"/>
              </w:tabs>
            </w:pPr>
            <w:r/>
            <w:r/>
          </w:p>
          <w:p>
            <w:pPr>
              <w:ind w:left="131" w:right="132"/>
              <w:jc w:val="both"/>
              <w:tabs>
                <w:tab w:val="left" w:pos="3071" w:leader="none"/>
              </w:tabs>
            </w:pPr>
            <w: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статье 29 настоящих Правил.</w:t>
            </w:r>
            <w:r/>
          </w:p>
          <w:p>
            <w:pPr>
              <w:ind w:left="131" w:right="132"/>
              <w:jc w:val="both"/>
              <w:tabs>
                <w:tab w:val="left" w:pos="3071" w:leader="none"/>
              </w:tabs>
            </w:pPr>
            <w:r/>
            <w:r/>
          </w:p>
          <w:p>
            <w:pPr>
              <w:ind w:left="131" w:right="132"/>
              <w:jc w:val="both"/>
              <w:tabs>
                <w:tab w:val="left" w:pos="3071" w:leader="none"/>
              </w:tabs>
              <w:rPr>
                <w:rFonts w:eastAsia="SimSun"/>
                <w:lang w:eastAsia="zh-CN" w:bidi="ru-RU"/>
              </w:rPr>
            </w:pPr>
            <w:r>
              <w:rPr>
                <w:rFonts w:eastAsia="SimSun"/>
                <w:lang w:eastAsia="zh-CN" w:bidi="ru-RU"/>
              </w:rPr>
              <w:t xml:space="preserve">На территориях с застройкой усадебными одно-, двухквартирными домами </w:t>
            </w:r>
            <w:r>
              <w:rPr>
                <w:rFonts w:eastAsia="SimSun"/>
                <w:lang w:eastAsia="zh-CN" w:bidi="ru-RU"/>
              </w:rPr>
              <w:t xml:space="preserve">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w:t>
            </w:r>
            <w:r>
              <w:rPr>
                <w:rFonts w:eastAsia="SimSun"/>
                <w:sz w:val="24"/>
                <w:szCs w:val="24"/>
                <w:lang w:eastAsia="zh-CN" w:bidi="ru-RU"/>
              </w:rPr>
              <w:t xml:space="preserve"> </w:t>
            </w:r>
            <w:r>
              <w:rPr>
                <w:rFonts w:eastAsia="SimSun"/>
                <w:lang w:eastAsia="zh-CN" w:bidi="ru-RU"/>
              </w:rPr>
              <w:t xml:space="preserve">6 м.</w:t>
            </w:r>
            <w:r/>
          </w:p>
          <w:p>
            <w:pPr>
              <w:ind w:left="131" w:right="132"/>
              <w:jc w:val="both"/>
              <w:tabs>
                <w:tab w:val="left" w:pos="3071" w:leader="none"/>
              </w:tabs>
              <w:rPr>
                <w:rFonts w:eastAsia="SimSun"/>
                <w:lang w:eastAsia="zh-CN" w:bidi="ru-RU"/>
              </w:rPr>
            </w:pPr>
            <w:r>
              <w:rPr>
                <w:rFonts w:eastAsia="SimSun"/>
                <w:lang w:eastAsia="zh-CN" w:bidi="ru-RU"/>
              </w:rPr>
            </w:r>
            <w:r/>
          </w:p>
          <w:p>
            <w:pPr>
              <w:ind w:left="131" w:right="132"/>
              <w:jc w:val="both"/>
              <w:widowControl/>
              <w:rPr>
                <w:lang w:eastAsia="ru-RU"/>
              </w:rPr>
            </w:pPr>
            <w:r>
              <w:rPr>
                <w:lang w:eastAsia="ru-RU"/>
              </w:rPr>
              <w:t xml:space="preserve">Допускает</w:t>
            </w:r>
            <w:r>
              <w:rPr>
                <w:lang w:eastAsia="ru-RU"/>
              </w:rPr>
              <w:t xml:space="preserve">ся блокировка зданий, строений и сооружений, расположенных на смежных земельных участках, по письменному согласию правообладателей смежных земельных участков и (или) объектов капитального строительства, подпись которых должна быть удостоверена нотариально;</w:t>
            </w:r>
            <w:r/>
          </w:p>
          <w:p>
            <w:pPr>
              <w:ind w:left="131" w:right="132"/>
              <w:jc w:val="both"/>
              <w:widowControl/>
              <w:rPr>
                <w:lang w:eastAsia="ru-RU"/>
              </w:rPr>
            </w:pPr>
            <w:r>
              <w:rPr>
                <w:lang w:eastAsia="ru-RU"/>
              </w:rPr>
              <w:t xml:space="preserve">поднятие уровня земельного участка путем отсыпки грунта при наличии письменного согласия правообладателей смежных земельных участков, подпись которых должна быть удостоверена нотариально.</w:t>
            </w:r>
            <w:r/>
          </w:p>
          <w:p>
            <w:pPr>
              <w:ind w:left="131" w:right="132"/>
              <w:jc w:val="both"/>
              <w:widowControl/>
              <w:rPr>
                <w:lang w:eastAsia="ru-RU"/>
              </w:rPr>
            </w:pPr>
            <w:r>
              <w:rPr>
                <w:lang w:eastAsia="ru-RU"/>
              </w:rPr>
            </w:r>
            <w:r/>
          </w:p>
          <w:p>
            <w:pPr>
              <w:ind w:left="131" w:right="140"/>
              <w:jc w:val="both"/>
              <w:tabs>
                <w:tab w:val="left" w:pos="3071" w:leader="none"/>
              </w:tabs>
            </w:pPr>
            <w:r>
              <w:rPr>
                <w:rFonts w:eastAsia="SimSun"/>
                <w:lang w:eastAsia="zh-CN" w:bidi="ru-RU"/>
              </w:rPr>
              <w:t xml:space="preserve">Строите</w:t>
            </w:r>
            <w:r>
              <w:rPr>
                <w:rFonts w:eastAsia="SimSun"/>
                <w:lang w:eastAsia="zh-CN" w:bidi="ru-RU"/>
              </w:rPr>
              <w:t xml:space="preserve">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r>
              <w:t xml:space="preserve"> </w:t>
            </w:r>
            <w:r/>
          </w:p>
          <w:p>
            <w:pPr>
              <w:ind w:left="131" w:right="140"/>
              <w:jc w:val="both"/>
              <w:tabs>
                <w:tab w:val="left" w:pos="3071" w:leader="none"/>
              </w:tabs>
            </w:pPr>
            <w:r/>
            <w:r/>
          </w:p>
          <w:p>
            <w:pPr>
              <w:ind w:left="131" w:right="140"/>
              <w:jc w:val="both"/>
              <w:tabs>
                <w:tab w:val="left" w:pos="3071" w:leader="none"/>
              </w:tabs>
              <w:rPr>
                <w:rFonts w:eastAsia="SimSun"/>
                <w:lang w:eastAsia="zh-CN" w:bidi="ru-RU"/>
              </w:rPr>
            </w:pPr>
            <w:r>
              <w:rPr>
                <w:rFonts w:eastAsia="SimSun"/>
                <w:lang w:eastAsia="zh-CN" w:bidi="ru-RU"/>
              </w:rPr>
              <w:t xml:space="preserve">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w:t>
            </w:r>
            <w:r>
              <w:rPr>
                <w:rFonts w:eastAsia="SimSun"/>
                <w:lang w:eastAsia="zh-CN" w:bidi="ru-RU"/>
              </w:rPr>
              <w:t xml:space="preserve">прочих заведений.</w:t>
            </w:r>
            <w:r/>
          </w:p>
          <w:p>
            <w:pPr>
              <w:ind w:left="131" w:right="132"/>
              <w:jc w:val="both"/>
              <w:rPr>
                <w:rFonts w:eastAsia="SimSun"/>
                <w:lang w:eastAsia="zh-CN" w:bidi="ru-RU"/>
              </w:rPr>
            </w:pPr>
            <w:r>
              <w:rPr>
                <w:rFonts w:eastAsia="SimSun"/>
                <w:lang w:eastAsia="zh-CN" w:bidi="ru-RU"/>
              </w:rPr>
              <w:t xml:space="preserve">Наземные стоянки и парковки для обе</w:t>
            </w:r>
            <w:r>
              <w:rPr>
                <w:rFonts w:eastAsia="SimSun"/>
                <w:lang w:eastAsia="zh-CN" w:bidi="ru-RU"/>
              </w:rPr>
              <w:t xml:space="preserve">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r/>
          </w:p>
          <w:p>
            <w:pPr>
              <w:ind w:left="131" w:right="132"/>
              <w:jc w:val="both"/>
              <w:tabs>
                <w:tab w:val="left" w:pos="1134" w:leader="none"/>
              </w:tabs>
              <w:rPr>
                <w:rFonts w:eastAsia="SimSun"/>
                <w:sz w:val="24"/>
                <w:szCs w:val="24"/>
                <w:lang w:eastAsia="zh-CN" w:bidi="ru-RU"/>
              </w:rPr>
            </w:pPr>
            <w:r>
              <w:rPr>
                <w:rFonts w:eastAsia="SimSun"/>
                <w:lang w:eastAsia="zh-CN" w:bidi="ru-RU"/>
              </w:rPr>
              <w:t xml:space="preserve">Пр</w:t>
            </w:r>
            <w:r>
              <w:rPr>
                <w:rFonts w:eastAsia="SimSun"/>
                <w:lang w:eastAsia="zh-CN" w:bidi="ru-RU"/>
              </w:rPr>
              <w:t xml:space="preserve">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заведений</w:t>
            </w:r>
            <w:r>
              <w:rPr>
                <w:rFonts w:eastAsia="SimSun"/>
                <w:sz w:val="24"/>
                <w:szCs w:val="24"/>
                <w:lang w:eastAsia="zh-CN" w:bidi="ru-RU"/>
              </w:rPr>
              <w:t xml:space="preserve">.</w:t>
            </w:r>
            <w:r/>
          </w:p>
          <w:p>
            <w:pPr>
              <w:ind w:left="131" w:right="63"/>
              <w:jc w:val="both"/>
              <w:rPr>
                <w:shd w:val="clear" w:color="auto" w:fill="ffffff"/>
              </w:rPr>
            </w:pPr>
            <w:r>
              <w:rPr>
                <w:shd w:val="clear" w:color="auto" w:fill="ffffff"/>
              </w:rPr>
            </w:r>
            <w:r/>
          </w:p>
          <w:p>
            <w:pPr>
              <w:ind w:left="132" w:right="132" w:firstLine="141"/>
              <w:jc w:val="both"/>
              <w:tabs>
                <w:tab w:val="left" w:pos="1134" w:leader="none"/>
              </w:tabs>
              <w:rPr>
                <w:rFonts w:eastAsia="SimSun"/>
                <w:sz w:val="24"/>
                <w:szCs w:val="24"/>
                <w:lang w:eastAsia="zh-CN" w:bidi="ru-RU"/>
              </w:rPr>
            </w:pPr>
            <w:r>
              <w:rPr>
                <w:rFonts w:eastAsia="SimSun"/>
                <w:sz w:val="24"/>
                <w:szCs w:val="24"/>
                <w:lang w:eastAsia="zh-CN" w:bidi="ru-RU"/>
              </w:rPr>
            </w:r>
            <w:r/>
          </w:p>
          <w:p>
            <w:pPr>
              <w:ind w:left="708"/>
              <w:tabs>
                <w:tab w:val="left" w:pos="1134" w:leader="none"/>
              </w:tabs>
            </w:pPr>
            <w:r/>
            <w:r/>
          </w:p>
        </w:tc>
      </w:tr>
      <w:tr>
        <w:trPr>
          <w:trHeight w:val="75"/>
        </w:trPr>
        <w:tc>
          <w:tcPr>
            <w:tcW w:w="2014" w:type="dxa"/>
            <w:textDirection w:val="lrTb"/>
            <w:noWrap w:val="false"/>
          </w:tcPr>
          <w:p>
            <w:r>
              <w:t xml:space="preserve">[2.1.1]  Малоэтажная многоквартирная жилая застройка</w:t>
            </w:r>
            <w:r/>
          </w:p>
          <w:p>
            <w:r/>
            <w:r/>
          </w:p>
          <w:p>
            <w:r/>
            <w:r/>
          </w:p>
        </w:tc>
        <w:tc>
          <w:tcPr>
            <w:tcW w:w="3685" w:type="dxa"/>
            <w:textDirection w:val="lrTb"/>
            <w:noWrap w:val="false"/>
          </w:tcPr>
          <w:p>
            <w:pPr>
              <w:ind w:left="131" w:right="131"/>
              <w:jc w:val="both"/>
            </w:pPr>
            <w:r>
              <w:t xml:space="preserve">Размещение малоэтажных многоквартирных домов (многоквартирные дома высотой до 4 этажей, включая мансардный);</w:t>
            </w:r>
            <w:r/>
          </w:p>
          <w:p>
            <w:pPr>
              <w:ind w:left="131" w:right="131"/>
              <w:jc w:val="both"/>
              <w:rPr>
                <w:lang w:eastAsia="ru-RU" w:bidi="ru-RU"/>
              </w:rPr>
            </w:pPr>
            <w:r>
              <w:rPr>
                <w:lang w:eastAsia="ru-RU" w:bidi="ru-RU"/>
              </w:rPr>
              <w:t xml:space="preserve">обустройство спортивных и детских площадок, площадок для отдыха;</w:t>
            </w:r>
            <w:r/>
          </w:p>
          <w:p>
            <w:pPr>
              <w:ind w:left="131" w:right="131"/>
              <w:jc w:val="both"/>
            </w:pPr>
            <w:r>
              <w:rPr>
                <w:lang w:eastAsia="ru-RU" w:bidi="ru-RU"/>
              </w:rPr>
              <w:t xml:space="preserve">размещение объе</w:t>
            </w:r>
            <w:r>
              <w:rPr>
                <w:lang w:eastAsia="ru-RU" w:bidi="ru-RU"/>
              </w:rPr>
              <w:t xml:space="preserve">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r/>
          </w:p>
        </w:tc>
        <w:tc>
          <w:tcPr>
            <w:tcW w:w="5387" w:type="dxa"/>
            <w:textDirection w:val="lrTb"/>
            <w:noWrap w:val="false"/>
          </w:tcPr>
          <w:p>
            <w:pPr>
              <w:ind w:left="116" w:right="116"/>
              <w:jc w:val="both"/>
              <w:tabs>
                <w:tab w:val="left" w:pos="3071" w:leader="none"/>
              </w:tabs>
            </w:pPr>
            <w:r>
              <w:t xml:space="preserve">Минимальная/максимальная площадь земельных участков   – 700/10000 кв.м;</w:t>
            </w:r>
            <w:r/>
          </w:p>
          <w:p>
            <w:pPr>
              <w:ind w:left="116" w:right="116"/>
              <w:jc w:val="both"/>
              <w:tabs>
                <w:tab w:val="left" w:pos="3071" w:leader="none"/>
              </w:tabs>
            </w:pPr>
            <w:r>
              <w:t xml:space="preserve">минимальная ширина земельных участков вдоль фронта улицы (проезда) –50 м; </w:t>
            </w:r>
            <w:r/>
          </w:p>
          <w:p>
            <w:pPr>
              <w:ind w:left="116" w:right="116"/>
              <w:jc w:val="both"/>
              <w:tabs>
                <w:tab w:val="left" w:pos="3071" w:leader="none"/>
              </w:tabs>
            </w:pPr>
            <w:r>
              <w:t xml:space="preserve">максимальное количество надземных этажей зданий – 4 этажа (включая мансардный этаж); </w:t>
            </w:r>
            <w:r/>
          </w:p>
          <w:p>
            <w:pPr>
              <w:ind w:left="116" w:right="116"/>
              <w:jc w:val="both"/>
              <w:tabs>
                <w:tab w:val="left" w:pos="3071" w:leader="none"/>
              </w:tabs>
            </w:pPr>
            <w:r>
              <w:t xml:space="preserve">максимальная высота зданий от уровня земли до верха перекрытия последнего этажа (или конька кровли) - 20 м;</w:t>
            </w:r>
            <w:r/>
          </w:p>
          <w:p>
            <w:pPr>
              <w:ind w:left="116" w:right="116"/>
              <w:jc w:val="both"/>
            </w:pPr>
            <w:r>
              <w:t xml:space="preserve">максимальный процент застройки в границах земельного участка – 40%; при реконструкции – 60%;</w:t>
            </w:r>
            <w:r/>
          </w:p>
          <w:p>
            <w:pPr>
              <w:ind w:left="116" w:right="116"/>
              <w:tabs>
                <w:tab w:val="left" w:pos="3071" w:leader="none"/>
              </w:tabs>
            </w:pPr>
            <w:r>
              <w:t xml:space="preserve">минимальный/максимальный коэффициент использования территории  – 0,4/ 0,8;</w:t>
            </w:r>
            <w:r/>
          </w:p>
          <w:p>
            <w:pPr>
              <w:ind w:left="116"/>
              <w:jc w:val="both"/>
              <w:tabs>
                <w:tab w:val="left" w:pos="2520" w:leader="none"/>
              </w:tabs>
            </w:pPr>
            <w:r>
              <w:t xml:space="preserve">Процент застройки подземной части не регламентируется.</w:t>
            </w:r>
            <w:r/>
          </w:p>
          <w:p>
            <w:pPr>
              <w:ind w:left="116" w:right="116"/>
              <w:jc w:val="both"/>
              <w:tabs>
                <w:tab w:val="left" w:pos="3071" w:leader="none"/>
              </w:tabs>
              <w:rPr>
                <w:rFonts w:eastAsia="SimSun"/>
                <w:lang w:eastAsia="zh-CN" w:bidi="ru-RU"/>
              </w:rPr>
            </w:pPr>
            <w:r>
              <w:rPr>
                <w:rFonts w:eastAsia="SimSun"/>
                <w:lang w:eastAsia="zh-CN" w:bidi="ru-RU"/>
              </w:rPr>
              <w:t xml:space="preserve">Минимальный процент озеленения земельного участка для всех типов многоквартирной жилой застройки – 15%.</w:t>
            </w:r>
            <w:r/>
          </w:p>
          <w:p>
            <w:pPr>
              <w:ind w:left="116" w:right="116"/>
              <w:jc w:val="both"/>
              <w:rPr>
                <w:rFonts w:eastAsia="SimSun"/>
                <w:lang w:eastAsia="zh-CN" w:bidi="ru-RU"/>
              </w:rPr>
            </w:pPr>
            <w:r>
              <w:t xml:space="preserve">Минимальные отступы до  красной линии – 5 м; до иных границ – 3 м</w:t>
            </w:r>
            <w:r>
              <w:rPr>
                <w:rFonts w:eastAsia="SimSun"/>
                <w:lang w:eastAsia="zh-CN" w:bidi="ru-RU"/>
              </w:rPr>
              <w:t xml:space="preserve">. </w:t>
            </w:r>
            <w:r/>
          </w:p>
          <w:p>
            <w:pPr>
              <w:ind w:left="132" w:right="116" w:hanging="132"/>
              <w:jc w:val="both"/>
              <w:rPr>
                <w:rFonts w:eastAsia="SimSun"/>
                <w:lang w:eastAsia="zh-CN" w:bidi="ru-RU"/>
              </w:rPr>
            </w:pPr>
            <w:r>
              <w:t xml:space="preserve">  Минимальный/максимальный </w:t>
            </w:r>
            <w:r>
              <w:rPr>
                <w:rFonts w:eastAsia="SimSun"/>
                <w:lang w:eastAsia="zh-CN" w:bidi="ru-RU"/>
              </w:rPr>
              <w:t xml:space="preserve">коэффициент использования территории - 0,4 - 0,8.</w:t>
            </w:r>
            <w:r/>
          </w:p>
        </w:tc>
        <w:tc>
          <w:tcPr>
            <w:tcW w:w="3950" w:type="dxa"/>
            <w:vMerge w:val="continue"/>
            <w:textDirection w:val="lrTb"/>
            <w:noWrap w:val="false"/>
          </w:tcPr>
          <w:p>
            <w:pPr>
              <w:ind w:left="708"/>
              <w:tabs>
                <w:tab w:val="left" w:pos="1134" w:leader="none"/>
              </w:tabs>
            </w:pPr>
            <w:r/>
            <w:r/>
          </w:p>
        </w:tc>
      </w:tr>
      <w:tr>
        <w:trPr>
          <w:trHeight w:val="1462"/>
        </w:trPr>
        <w:tc>
          <w:tcPr>
            <w:tcW w:w="2014" w:type="dxa"/>
            <w:textDirection w:val="lrTb"/>
            <w:noWrap w:val="false"/>
          </w:tcPr>
          <w:p>
            <w:pPr>
              <w:ind w:left="161" w:right="132"/>
              <w:jc w:val="both"/>
              <w:rPr>
                <w:strike/>
              </w:rPr>
            </w:pPr>
            <w:r>
              <w:t xml:space="preserve">[2.2] Для ведения личного подсобного хозяйства (приусадебный земельный участок)</w:t>
            </w:r>
            <w:r/>
          </w:p>
        </w:tc>
        <w:tc>
          <w:tcPr>
            <w:tcW w:w="3685" w:type="dxa"/>
            <w:textDirection w:val="lrTb"/>
            <w:noWrap w:val="false"/>
          </w:tcPr>
          <w:p>
            <w:pPr>
              <w:pStyle w:val="1051"/>
              <w:ind w:left="75" w:right="131"/>
              <w:rPr>
                <w:rFonts w:ascii="Times New Roman" w:hAnsi="Times New Roman" w:cs="Times New Roman"/>
                <w:sz w:val="20"/>
                <w:szCs w:val="20"/>
              </w:rPr>
            </w:pPr>
            <w:r>
              <w:rPr>
                <w:rFonts w:ascii="Times New Roman" w:hAnsi="Times New Roman" w:cs="Times New Roman"/>
                <w:sz w:val="20"/>
                <w:szCs w:val="20"/>
              </w:rPr>
              <w:t xml:space="preserve">Размещение жилого дома, указанного в описании вида разрешенного использования с </w:t>
            </w:r>
            <w:hyperlink r:id="rId63" w:tooltip="../ПЗЗ%202021%20год/Правила/Кавказская%20зона%202020%20новое%20ИЗМЕНЕНИЯ.doc#sub_1021" w:anchor="sub_1021" w:history="1">
              <w:r>
                <w:rPr>
                  <w:rStyle w:val="977"/>
                  <w:rFonts w:ascii="Times New Roman" w:hAnsi="Times New Roman" w:eastAsia="SimSun"/>
                  <w:sz w:val="20"/>
                  <w:szCs w:val="20"/>
                </w:rPr>
                <w:t xml:space="preserve">кодом 2.1</w:t>
              </w:r>
            </w:hyperlink>
            <w:r>
              <w:rPr>
                <w:rFonts w:ascii="Times New Roman" w:hAnsi="Times New Roman" w:cs="Times New Roman"/>
                <w:sz w:val="20"/>
                <w:szCs w:val="20"/>
              </w:rPr>
              <w:t xml:space="preserve">;</w:t>
            </w:r>
            <w:r/>
          </w:p>
          <w:p>
            <w:pPr>
              <w:pStyle w:val="1051"/>
              <w:ind w:left="75" w:right="131"/>
              <w:rPr>
                <w:rFonts w:ascii="Times New Roman" w:hAnsi="Times New Roman" w:cs="Times New Roman"/>
                <w:sz w:val="20"/>
                <w:szCs w:val="20"/>
              </w:rPr>
            </w:pPr>
            <w:r>
              <w:rPr>
                <w:rFonts w:ascii="Times New Roman" w:hAnsi="Times New Roman" w:cs="Times New Roman"/>
                <w:sz w:val="20"/>
                <w:szCs w:val="20"/>
              </w:rPr>
              <w:t xml:space="preserve">производство сельскохозяйственной продукции;</w:t>
            </w:r>
            <w:r/>
          </w:p>
          <w:p>
            <w:pPr>
              <w:pStyle w:val="1051"/>
              <w:ind w:left="75" w:right="131"/>
              <w:rPr>
                <w:rFonts w:ascii="Times New Roman" w:hAnsi="Times New Roman" w:cs="Times New Roman"/>
                <w:sz w:val="20"/>
                <w:szCs w:val="20"/>
              </w:rPr>
            </w:pPr>
            <w:r>
              <w:rPr>
                <w:rFonts w:ascii="Times New Roman" w:hAnsi="Times New Roman" w:cs="Times New Roman"/>
                <w:sz w:val="20"/>
                <w:szCs w:val="20"/>
              </w:rPr>
              <w:t xml:space="preserve">размещение гаража и иных вспомогательных сооружений;</w:t>
            </w:r>
            <w:r/>
          </w:p>
          <w:p>
            <w:pPr>
              <w:ind w:left="131" w:right="131"/>
              <w:jc w:val="both"/>
              <w:rPr>
                <w:strike/>
              </w:rPr>
            </w:pPr>
            <w:r>
              <w:t xml:space="preserve">содержание сельскохозяйственных животных</w:t>
            </w:r>
            <w:r/>
          </w:p>
        </w:tc>
        <w:tc>
          <w:tcPr>
            <w:tcW w:w="5387" w:type="dxa"/>
            <w:textDirection w:val="lrTb"/>
            <w:noWrap w:val="false"/>
          </w:tcPr>
          <w:p>
            <w:pPr>
              <w:ind w:left="116" w:right="116"/>
              <w:jc w:val="both"/>
              <w:tabs>
                <w:tab w:val="left" w:pos="5660" w:leader="none"/>
              </w:tabs>
            </w:pPr>
            <w:r>
              <w:t xml:space="preserve">минимальная/максимальная площадь земельных участков  –600 /5000 кв. м;</w:t>
            </w:r>
            <w:r/>
          </w:p>
          <w:p>
            <w:pPr>
              <w:ind w:left="116" w:right="116"/>
              <w:jc w:val="both"/>
              <w:tabs>
                <w:tab w:val="left" w:pos="5660" w:leader="none"/>
              </w:tabs>
            </w:pPr>
            <w:r>
              <w:t xml:space="preserve">минимальная ширина земельных участков вдоль фронта улицы (проезда) – 12 м; </w:t>
            </w:r>
            <w:r/>
          </w:p>
          <w:p>
            <w:pPr>
              <w:ind w:left="116" w:right="116"/>
              <w:jc w:val="both"/>
              <w:tabs>
                <w:tab w:val="left" w:pos="5660" w:leader="none"/>
              </w:tabs>
            </w:pPr>
            <w:r>
              <w:t xml:space="preserve">максимальное количество надземных этажей зданий – 3 этажа (включая мансардный этаж); </w:t>
            </w:r>
            <w:r/>
          </w:p>
          <w:p>
            <w:pPr>
              <w:ind w:left="116" w:right="116"/>
              <w:jc w:val="both"/>
              <w:tabs>
                <w:tab w:val="left" w:pos="5660" w:leader="none"/>
              </w:tabs>
            </w:pPr>
            <w:r>
              <w:t xml:space="preserve">максимальная высота зданий от уровня земли до верха перекрытия последнего этажа (или конька кровли) -  20  м;</w:t>
            </w:r>
            <w:r/>
          </w:p>
          <w:p>
            <w:pPr>
              <w:ind w:left="116" w:right="116"/>
              <w:jc w:val="both"/>
            </w:pPr>
            <w:r>
              <w:t xml:space="preserve">максимальный процент застройки в границах земельного участка – 60 %; </w:t>
            </w:r>
            <w:r/>
          </w:p>
          <w:p>
            <w:pPr>
              <w:ind w:left="116" w:right="103"/>
              <w:jc w:val="both"/>
            </w:pPr>
            <w:r>
              <w:t xml:space="preserve">минимальные отступы от красной линии – 5 м или по линии застройки  в </w:t>
            </w:r>
            <w:r>
              <w:rPr>
                <w:rFonts w:eastAsia="SimSun"/>
                <w:lang w:eastAsia="zh-CN" w:bidi="ru-RU"/>
              </w:rPr>
              <w:t xml:space="preserve">сложившейся</w:t>
            </w:r>
            <w:r>
              <w:t xml:space="preserve"> застройке; </w:t>
            </w:r>
            <w:r/>
          </w:p>
          <w:p>
            <w:pPr>
              <w:ind w:left="116" w:right="103"/>
              <w:jc w:val="both"/>
              <w:rPr>
                <w:rFonts w:eastAsia="SimSun"/>
                <w:lang w:eastAsia="zh-CN" w:bidi="ru-RU"/>
              </w:rPr>
            </w:pPr>
            <w:r>
              <w:t xml:space="preserve">от иных границ – 3 м</w:t>
            </w:r>
            <w:r>
              <w:rPr>
                <w:rFonts w:eastAsia="SimSun"/>
                <w:lang w:eastAsia="zh-CN" w:bidi="ru-RU"/>
              </w:rPr>
              <w:t xml:space="preserve">, при блокировке зданий – 0 м.</w:t>
            </w:r>
            <w:r/>
          </w:p>
          <w:p>
            <w:pPr>
              <w:ind w:left="116" w:right="103"/>
              <w:jc w:val="both"/>
              <w:rPr>
                <w:rFonts w:eastAsia="SimSun"/>
                <w:lang w:eastAsia="zh-CN" w:bidi="ru-RU"/>
              </w:rPr>
            </w:pPr>
            <w:r>
              <w:rPr>
                <w:rFonts w:eastAsia="SimSun"/>
                <w:lang w:eastAsia="zh-CN" w:bidi="ru-RU"/>
              </w:rPr>
              <w:t xml:space="preserve">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r/>
          </w:p>
          <w:p>
            <w:pPr>
              <w:ind w:left="116" w:right="103"/>
              <w:jc w:val="both"/>
              <w:rPr>
                <w:rFonts w:eastAsia="SimSun"/>
                <w:lang w:eastAsia="zh-CN" w:bidi="ru-RU"/>
              </w:rPr>
            </w:pPr>
            <w:r>
              <w:rPr>
                <w:rFonts w:eastAsia="SimSun"/>
                <w:lang w:eastAsia="zh-CN" w:bidi="ru-RU"/>
              </w:rPr>
              <w:t xml:space="preserve">1,0 м - для одноэтажного жилого дома;</w:t>
            </w:r>
            <w:r/>
          </w:p>
          <w:p>
            <w:pPr>
              <w:ind w:left="116" w:right="103"/>
              <w:jc w:val="both"/>
              <w:rPr>
                <w:rFonts w:eastAsia="SimSun"/>
                <w:lang w:eastAsia="zh-CN" w:bidi="ru-RU"/>
              </w:rPr>
            </w:pPr>
            <w:r>
              <w:rPr>
                <w:rFonts w:eastAsia="SimSun"/>
                <w:lang w:eastAsia="zh-CN" w:bidi="ru-RU"/>
              </w:rPr>
              <w:t xml:space="preserve">1,5 м - для двухэтажного жилого дома;</w:t>
            </w:r>
            <w:r/>
          </w:p>
          <w:p>
            <w:pPr>
              <w:ind w:left="116" w:right="103"/>
              <w:jc w:val="both"/>
              <w:rPr>
                <w:rFonts w:eastAsia="SimSun"/>
                <w:lang w:eastAsia="zh-CN" w:bidi="ru-RU"/>
              </w:rPr>
            </w:pPr>
            <w:r>
              <w:rPr>
                <w:rFonts w:eastAsia="SimSun"/>
                <w:lang w:eastAsia="zh-CN" w:bidi="ru-RU"/>
              </w:rPr>
              <w:t xml:space="preserve">2,0 м - для трехэтажного жилого дома.</w:t>
            </w:r>
            <w:r/>
          </w:p>
          <w:p>
            <w:pPr>
              <w:ind w:left="132" w:right="116"/>
              <w:jc w:val="both"/>
              <w:rPr>
                <w:rFonts w:eastAsia="SimSun"/>
                <w:strike/>
                <w:lang w:eastAsia="zh-CN" w:bidi="ru-RU"/>
              </w:rPr>
            </w:pPr>
            <w:r>
              <w:t xml:space="preserve">минимальный/максимальный </w:t>
            </w:r>
            <w:r>
              <w:rPr>
                <w:rFonts w:eastAsia="SimSun"/>
                <w:lang w:eastAsia="zh-CN" w:bidi="ru-RU"/>
              </w:rPr>
              <w:t xml:space="preserve">коэффициент использования территории - 0,4 - 0,6</w:t>
            </w:r>
            <w:r/>
          </w:p>
        </w:tc>
        <w:tc>
          <w:tcPr>
            <w:tcW w:w="3950" w:type="dxa"/>
            <w:vMerge w:val="continue"/>
            <w:textDirection w:val="lrTb"/>
            <w:noWrap w:val="false"/>
          </w:tcPr>
          <w:p>
            <w:pPr>
              <w:ind w:left="708"/>
              <w:tabs>
                <w:tab w:val="left" w:pos="1134" w:leader="none"/>
              </w:tabs>
            </w:pPr>
            <w:r/>
            <w:r/>
          </w:p>
        </w:tc>
      </w:tr>
      <w:tr>
        <w:trPr>
          <w:trHeight w:val="23"/>
        </w:trPr>
        <w:tc>
          <w:tcPr>
            <w:tcW w:w="2014" w:type="dxa"/>
            <w:textDirection w:val="lrTb"/>
            <w:noWrap w:val="false"/>
          </w:tcPr>
          <w:p>
            <w:pPr>
              <w:ind w:left="161" w:right="132"/>
            </w:pPr>
            <w:r>
              <w:t xml:space="preserve">[2.3.]  Блокированная жилая застройка</w:t>
            </w:r>
            <w:r/>
          </w:p>
        </w:tc>
        <w:tc>
          <w:tcPr>
            <w:tcW w:w="3685" w:type="dxa"/>
            <w:textDirection w:val="lrTb"/>
            <w:noWrap w:val="false"/>
          </w:tcPr>
          <w:p>
            <w:pPr>
              <w:pStyle w:val="1051"/>
              <w:ind w:left="131" w:right="131"/>
              <w:rPr>
                <w:rFonts w:ascii="Times New Roman" w:hAnsi="Times New Roman" w:cs="Times New Roman"/>
                <w:sz w:val="20"/>
                <w:szCs w:val="20"/>
              </w:rPr>
            </w:pPr>
            <w:r>
              <w:rPr>
                <w:rFonts w:ascii="Times New Roman" w:hAnsi="Times New Roman" w:cs="Times New Roman"/>
                <w:sz w:val="20"/>
                <w:szCs w:val="20"/>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w:t>
            </w:r>
            <w:r>
              <w:rPr>
                <w:rFonts w:ascii="Times New Roman" w:hAnsi="Times New Roman" w:cs="Times New Roman"/>
                <w:sz w:val="20"/>
                <w:szCs w:val="20"/>
              </w:rPr>
              <w:t xml:space="preserve">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r/>
          </w:p>
          <w:p>
            <w:pPr>
              <w:ind w:left="131" w:right="131"/>
              <w:jc w:val="both"/>
            </w:pPr>
            <w:r>
              <w:t xml:space="preserve">разведение декоративных и плодовых деревьев, овощных и ягодных </w:t>
            </w:r>
            <w:r>
              <w:br/>
              <w:t xml:space="preserve">культур; размещение индивидуальных гаражей и иных вспомогательных сооружений; обустройство спортивных и детских площадок, площадок для отдыха</w:t>
            </w:r>
            <w:r/>
          </w:p>
          <w:p>
            <w:pPr>
              <w:ind w:left="131" w:right="131" w:firstLine="142"/>
              <w:jc w:val="both"/>
              <w:rPr>
                <w:strike/>
              </w:rPr>
            </w:pPr>
            <w:r>
              <w:rPr>
                <w:strike/>
              </w:rPr>
            </w:r>
            <w:r/>
          </w:p>
          <w:p>
            <w:pPr>
              <w:ind w:right="131"/>
              <w:jc w:val="both"/>
            </w:pPr>
            <w:r/>
            <w:r/>
          </w:p>
        </w:tc>
        <w:tc>
          <w:tcPr>
            <w:tcW w:w="5387" w:type="dxa"/>
            <w:textDirection w:val="lrTb"/>
            <w:noWrap w:val="false"/>
          </w:tcPr>
          <w:p>
            <w:pPr>
              <w:ind w:left="116" w:right="116"/>
              <w:jc w:val="both"/>
              <w:tabs>
                <w:tab w:val="left" w:pos="5642" w:leader="none"/>
              </w:tabs>
            </w:pPr>
            <w:r>
              <w:t xml:space="preserve">минимальная/максимальная площадь земельных участков  – 100/2000 кв. м. </w:t>
            </w:r>
            <w:r/>
          </w:p>
          <w:p>
            <w:pPr>
              <w:ind w:left="116" w:right="116"/>
              <w:jc w:val="both"/>
              <w:tabs>
                <w:tab w:val="left" w:pos="5642" w:leader="none"/>
              </w:tabs>
            </w:pPr>
            <w:r>
              <w:t xml:space="preserve">минимальная ширина земельных участков вдоль фронта улицы (проезда) – 15 м; </w:t>
            </w:r>
            <w:r/>
          </w:p>
          <w:p>
            <w:pPr>
              <w:ind w:left="116" w:right="116"/>
              <w:jc w:val="both"/>
              <w:tabs>
                <w:tab w:val="left" w:pos="5642" w:leader="none"/>
              </w:tabs>
            </w:pPr>
            <w:r>
              <w:t xml:space="preserve">максимальное количество надземных этажей зданий – 3 этажа (включая мансардный этаж); </w:t>
            </w:r>
            <w:r/>
          </w:p>
          <w:p>
            <w:pPr>
              <w:ind w:left="116" w:right="116"/>
              <w:jc w:val="both"/>
              <w:tabs>
                <w:tab w:val="left" w:pos="5642" w:leader="none"/>
              </w:tabs>
            </w:pPr>
            <w:r>
              <w:t xml:space="preserve">максимальная высота зданий от уровня земли до верха перекрытия последнего этажа (или конька кровли) - 20 м;</w:t>
            </w:r>
            <w:r/>
          </w:p>
          <w:p>
            <w:pPr>
              <w:ind w:left="116" w:right="116"/>
              <w:jc w:val="both"/>
            </w:pPr>
            <w:r>
              <w:t xml:space="preserve">максимальный процент застройки в границах земельного участка – 60%.</w:t>
            </w:r>
            <w:r/>
          </w:p>
          <w:p>
            <w:pPr>
              <w:ind w:left="116" w:right="116"/>
              <w:jc w:val="both"/>
              <w:tabs>
                <w:tab w:val="left" w:pos="5642" w:leader="none"/>
              </w:tabs>
            </w:pPr>
            <w:r>
              <w:t xml:space="preserve">Процент застройки подземной части не регламентируется</w:t>
            </w:r>
            <w:r/>
          </w:p>
          <w:p>
            <w:pPr>
              <w:ind w:left="116" w:right="116"/>
              <w:jc w:val="both"/>
            </w:pPr>
            <w:r>
              <w:t xml:space="preserve">Минимальные отступы от  красной линии – 5 м или по линии застройки  в </w:t>
            </w:r>
            <w:r>
              <w:rPr>
                <w:rFonts w:eastAsia="SimSun"/>
                <w:lang w:eastAsia="zh-CN" w:bidi="ru-RU"/>
              </w:rPr>
              <w:t xml:space="preserve">сложившейся</w:t>
            </w:r>
            <w:r>
              <w:t xml:space="preserve"> застройке; </w:t>
            </w:r>
            <w:r/>
          </w:p>
          <w:p>
            <w:pPr>
              <w:ind w:left="116" w:right="116"/>
              <w:jc w:val="both"/>
              <w:rPr>
                <w:rFonts w:eastAsia="SimSun"/>
                <w:lang w:eastAsia="zh-CN" w:bidi="ru-RU"/>
              </w:rPr>
            </w:pPr>
            <w:r>
              <w:t xml:space="preserve">от иных границ – 3 м</w:t>
            </w:r>
            <w:r>
              <w:rPr>
                <w:rFonts w:eastAsia="SimSun"/>
                <w:lang w:eastAsia="zh-CN" w:bidi="ru-RU"/>
              </w:rPr>
              <w:t xml:space="preserve">, </w:t>
            </w:r>
            <w:r/>
          </w:p>
          <w:p>
            <w:pPr>
              <w:ind w:left="116" w:right="116"/>
              <w:jc w:val="both"/>
              <w:rPr>
                <w:rFonts w:eastAsia="SimSun"/>
                <w:lang w:eastAsia="zh-CN" w:bidi="ru-RU"/>
              </w:rPr>
            </w:pPr>
            <w:r>
              <w:rPr>
                <w:rFonts w:eastAsia="SimSun"/>
                <w:lang w:eastAsia="zh-CN" w:bidi="ru-RU"/>
              </w:rPr>
              <w:t xml:space="preserve">при блокировке зданий – 0 м.</w:t>
            </w:r>
            <w:r/>
          </w:p>
          <w:p>
            <w:pPr>
              <w:ind w:left="116" w:right="116"/>
              <w:jc w:val="both"/>
              <w:rPr>
                <w:rFonts w:eastAsia="SimSun"/>
                <w:lang w:eastAsia="zh-CN" w:bidi="ru-RU"/>
              </w:rPr>
            </w:pPr>
            <w:r>
              <w:rPr>
                <w:rFonts w:eastAsia="SimSun"/>
                <w:lang w:eastAsia="zh-CN" w:bidi="ru-RU"/>
              </w:rPr>
              <w:t xml:space="preserve">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r/>
          </w:p>
          <w:p>
            <w:pPr>
              <w:ind w:left="116" w:right="116"/>
              <w:jc w:val="both"/>
              <w:rPr>
                <w:rFonts w:eastAsia="SimSun"/>
                <w:lang w:eastAsia="zh-CN" w:bidi="ru-RU"/>
              </w:rPr>
            </w:pPr>
            <w:r>
              <w:rPr>
                <w:rFonts w:eastAsia="SimSun"/>
                <w:lang w:eastAsia="zh-CN" w:bidi="ru-RU"/>
              </w:rPr>
              <w:t xml:space="preserve">1,0 м - для одноэтажного жилого дома;</w:t>
            </w:r>
            <w:r/>
          </w:p>
          <w:p>
            <w:pPr>
              <w:ind w:left="116" w:right="116"/>
              <w:jc w:val="both"/>
              <w:rPr>
                <w:rFonts w:eastAsia="SimSun"/>
                <w:lang w:eastAsia="zh-CN" w:bidi="ru-RU"/>
              </w:rPr>
            </w:pPr>
            <w:r>
              <w:rPr>
                <w:rFonts w:eastAsia="SimSun"/>
                <w:lang w:eastAsia="zh-CN" w:bidi="ru-RU"/>
              </w:rPr>
              <w:t xml:space="preserve">1,5 м - для двухэтажного жилого дома;</w:t>
            </w:r>
            <w:r/>
          </w:p>
          <w:p>
            <w:pPr>
              <w:ind w:left="116" w:right="116"/>
              <w:jc w:val="both"/>
              <w:rPr>
                <w:rFonts w:eastAsia="SimSun"/>
                <w:lang w:eastAsia="zh-CN" w:bidi="ru-RU"/>
              </w:rPr>
            </w:pPr>
            <w:r>
              <w:rPr>
                <w:rFonts w:eastAsia="SimSun"/>
                <w:lang w:eastAsia="zh-CN" w:bidi="ru-RU"/>
              </w:rPr>
              <w:t xml:space="preserve">2,0 м - для трехэтажного жилого дома.</w:t>
            </w:r>
            <w:r/>
          </w:p>
          <w:p>
            <w:pPr>
              <w:ind w:left="160" w:right="116" w:hanging="10"/>
            </w:pPr>
            <w:r>
              <w:t xml:space="preserve">минимальный коэффициент использования территории  – 0,8, </w:t>
            </w:r>
            <w:r>
              <w:rPr>
                <w:rFonts w:eastAsia="SimSun"/>
                <w:lang w:eastAsia="zh-CN" w:bidi="ru-RU"/>
              </w:rPr>
              <w:t xml:space="preserve">максимальный – 1,6</w:t>
            </w:r>
            <w:r>
              <w:t xml:space="preserve">.</w:t>
            </w:r>
            <w:r/>
          </w:p>
        </w:tc>
        <w:tc>
          <w:tcPr>
            <w:tcW w:w="3950" w:type="dxa"/>
            <w:vMerge w:val="continue"/>
            <w:textDirection w:val="lrTb"/>
            <w:noWrap w:val="false"/>
          </w:tcPr>
          <w:p>
            <w:pPr>
              <w:ind w:firstLine="426"/>
              <w:tabs>
                <w:tab w:val="left" w:pos="1134" w:leader="none"/>
              </w:tabs>
            </w:pPr>
            <w:r/>
            <w:r/>
          </w:p>
        </w:tc>
      </w:tr>
      <w:tr>
        <w:trPr>
          <w:trHeight w:val="328"/>
        </w:trPr>
        <w:tc>
          <w:tcPr>
            <w:tcW w:w="2014" w:type="dxa"/>
            <w:textDirection w:val="lrTb"/>
            <w:noWrap w:val="false"/>
          </w:tcPr>
          <w:p>
            <w:pPr>
              <w:ind w:left="161"/>
              <w:rPr>
                <w:rFonts w:eastAsia="SimSun"/>
                <w:lang w:eastAsia="zh-CN" w:bidi="ru-RU"/>
              </w:rPr>
            </w:pPr>
            <w:r>
              <w:rPr>
                <w:rFonts w:eastAsia="SimSun"/>
                <w:lang w:eastAsia="zh-CN" w:bidi="ru-RU"/>
              </w:rPr>
              <w:t xml:space="preserve">[3.5.1] - Дошкольное, начальное и среднее общее образование</w:t>
            </w:r>
            <w:r/>
          </w:p>
          <w:p>
            <w:pPr>
              <w:ind w:left="19"/>
              <w:rPr>
                <w:rFonts w:eastAsia="SimSun"/>
                <w:lang w:eastAsia="zh-CN" w:bidi="ru-RU"/>
              </w:rPr>
            </w:pPr>
            <w:r>
              <w:rPr>
                <w:rFonts w:eastAsia="SimSun"/>
                <w:lang w:eastAsia="zh-CN" w:bidi="ru-RU"/>
              </w:rPr>
            </w:r>
            <w:r/>
          </w:p>
        </w:tc>
        <w:tc>
          <w:tcPr>
            <w:tcW w:w="3685" w:type="dxa"/>
            <w:textDirection w:val="lrTb"/>
            <w:noWrap w:val="false"/>
          </w:tcPr>
          <w:p>
            <w:pPr>
              <w:ind w:left="131" w:right="132" w:firstLine="142"/>
              <w:jc w:val="both"/>
              <w:rPr>
                <w:rFonts w:eastAsia="SimSun"/>
                <w:lang w:eastAsia="zh-CN" w:bidi="ru-RU"/>
              </w:rPr>
            </w:pPr>
            <w:r>
              <w:rPr>
                <w:lang w:eastAsia="ru-RU" w:bidi="ru-RU"/>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w:t>
            </w:r>
            <w:r>
              <w:rPr>
                <w:lang w:eastAsia="ru-RU" w:bidi="ru-RU"/>
              </w:rPr>
              <w:t xml:space="preserve">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r/>
          </w:p>
        </w:tc>
        <w:tc>
          <w:tcPr>
            <w:tcW w:w="5387" w:type="dxa"/>
            <w:textDirection w:val="lrTb"/>
            <w:noWrap w:val="false"/>
          </w:tcPr>
          <w:p>
            <w:pPr>
              <w:ind w:left="132" w:right="116"/>
              <w:jc w:val="both"/>
              <w:tabs>
                <w:tab w:val="left" w:pos="3071" w:leader="none"/>
              </w:tabs>
            </w:pPr>
            <w:r>
              <w:t xml:space="preserve">Минимальная/максимальная площадь земельных участков   – 700/10000 кв. м;</w:t>
            </w:r>
            <w:r/>
          </w:p>
          <w:p>
            <w:pPr>
              <w:ind w:left="132" w:right="116"/>
              <w:jc w:val="both"/>
              <w:tabs>
                <w:tab w:val="left" w:pos="3071" w:leader="none"/>
              </w:tabs>
            </w:pPr>
            <w:r>
              <w:t xml:space="preserve">максимальное количество надземных этажей зданий – 3 этажа; </w:t>
            </w:r>
            <w:r/>
          </w:p>
          <w:p>
            <w:pPr>
              <w:ind w:left="132" w:right="116"/>
              <w:jc w:val="both"/>
              <w:tabs>
                <w:tab w:val="left" w:pos="3071" w:leader="none"/>
              </w:tabs>
            </w:pPr>
            <w:r>
              <w:t xml:space="preserve">максимальная высота зданий от уровня земли до верха перекрытия последнего этажа (или конька кровли) - 20 м;</w:t>
            </w:r>
            <w:r/>
          </w:p>
          <w:p>
            <w:pPr>
              <w:ind w:left="132"/>
              <w:jc w:val="both"/>
            </w:pPr>
            <w:r>
              <w:t xml:space="preserve">максимальный процент застройки – 40%;</w:t>
            </w:r>
            <w:r/>
          </w:p>
          <w:p>
            <w:pPr>
              <w:ind w:left="132" w:right="134"/>
              <w:jc w:val="both"/>
            </w:pPr>
            <w:r>
              <w:t xml:space="preserve">минимальные отступы от красной линии до дошкольных    образовательных учреждений и общеобразовательных школ (от стены здания) -10 м; </w:t>
            </w:r>
            <w:r/>
          </w:p>
          <w:p>
            <w:pPr>
              <w:ind w:left="132" w:right="134"/>
              <w:jc w:val="both"/>
            </w:pPr>
            <w:r>
              <w:t xml:space="preserve">минимальные отступы от границ земельных участков до зданий, строений, сооружений – 3 м;  </w:t>
            </w:r>
            <w:r/>
          </w:p>
          <w:p>
            <w:pPr>
              <w:ind w:left="132" w:right="134"/>
              <w:jc w:val="both"/>
              <w:rPr>
                <w:rFonts w:eastAsia="SimSun"/>
                <w:lang w:eastAsia="zh-CN" w:bidi="ru-RU"/>
              </w:rPr>
            </w:pPr>
            <w:r>
              <w:rPr>
                <w:rFonts w:eastAsia="SimSun"/>
                <w:lang w:eastAsia="zh-CN" w:bidi="ru-RU"/>
              </w:rPr>
              <w:t xml:space="preserve">Минимальный процент озеленения земельного участка 15%.</w:t>
            </w:r>
            <w:r/>
          </w:p>
          <w:p>
            <w:pPr>
              <w:ind w:left="132" w:right="134"/>
              <w:jc w:val="both"/>
              <w:rPr>
                <w:rFonts w:eastAsia="SimSun"/>
                <w:lang w:eastAsia="zh-CN" w:bidi="ru-RU"/>
              </w:rPr>
            </w:pPr>
            <w:r>
              <w:rPr>
                <w:rFonts w:eastAsia="SimSun"/>
                <w:lang w:eastAsia="zh-CN" w:bidi="ru-RU"/>
              </w:rPr>
              <w:t xml:space="preserve">Рекомендуемые размеры земельного участка для дошкольных учреждений, кв.м.</w:t>
            </w:r>
            <w:r>
              <w:rPr>
                <w:rFonts w:eastAsia="Calibri"/>
                <w:lang w:eastAsia="en-US"/>
              </w:rPr>
              <w:t xml:space="preserve">  на 1 место</w:t>
            </w:r>
            <w:r>
              <w:rPr>
                <w:rFonts w:eastAsia="SimSun"/>
                <w:lang w:eastAsia="zh-CN" w:bidi="ru-RU"/>
              </w:rPr>
              <w:t xml:space="preserve">:</w:t>
            </w:r>
            <w:r/>
          </w:p>
          <w:p>
            <w:pPr>
              <w:ind w:left="132" w:right="131"/>
              <w:rPr>
                <w:lang w:eastAsia="ru-RU"/>
              </w:rPr>
            </w:pPr>
            <w:r>
              <w:rPr>
                <w:lang w:eastAsia="ru-RU"/>
              </w:rPr>
              <w:t xml:space="preserve">для отдельно стоящих зданий при вместимости до 100 мест - 40, свыше 100 мест - 35, в комплексе яслей - садов свыше 500 мест - 30, для встроенных при вместимости более 100 мест - не менее 29.</w:t>
            </w:r>
            <w:r/>
          </w:p>
          <w:p>
            <w:pPr>
              <w:ind w:left="132" w:right="131"/>
              <w:jc w:val="both"/>
              <w:rPr>
                <w:rFonts w:eastAsia="Calibri"/>
                <w:lang w:eastAsia="en-US"/>
              </w:rPr>
            </w:pPr>
            <w:r>
              <w:rPr>
                <w:rFonts w:eastAsia="Calibri"/>
                <w:lang w:eastAsia="en-US"/>
              </w:rPr>
              <w:t xml:space="preserve">Размеры земельных участков могут быть уменьшены: на 25% - в условиях реконструкции; на 15% - при размещении на рельефе с уклоном более 20%; на 10% - в поселениях - новостройках (за счет сокращения площади озеленения).</w:t>
            </w:r>
            <w:r/>
          </w:p>
          <w:p>
            <w:pPr>
              <w:ind w:left="132" w:right="131"/>
              <w:jc w:val="both"/>
              <w:rPr>
                <w:rFonts w:eastAsia="Calibri"/>
                <w:lang w:eastAsia="en-US"/>
              </w:rPr>
            </w:pPr>
            <w:r>
              <w:rPr>
                <w:rFonts w:eastAsia="Calibri"/>
                <w:lang w:eastAsia="en-US"/>
              </w:rPr>
              <w:t xml:space="preserve">Для среднеобразовательных учреждений, кв. м. на 1 место:</w:t>
            </w:r>
            <w:r/>
          </w:p>
          <w:p>
            <w:pPr>
              <w:ind w:left="132" w:right="131"/>
              <w:rPr>
                <w:lang w:eastAsia="ru-RU"/>
              </w:rPr>
            </w:pPr>
            <w:r>
              <w:rPr>
                <w:lang w:eastAsia="ru-RU"/>
              </w:rPr>
              <w:t xml:space="preserve">при вместимости: до 400 мест – 50;  400 - 500 мест – 60; 500 - 600 мест – 50; 600 - 800 мест – 40; 800 - 1100 мест – 33; 1100 - 1500 мест – 21; 1500 - 2000 мест – 17; 2000 и более - 16, с учетом площади спортивной зоны и здания школы.</w:t>
            </w:r>
            <w:r/>
          </w:p>
          <w:p>
            <w:pPr>
              <w:ind w:left="132" w:right="131"/>
              <w:rPr>
                <w:lang w:eastAsia="ru-RU"/>
              </w:rPr>
            </w:pPr>
            <w:r>
              <w:rPr>
                <w:lang w:eastAsia="ru-RU"/>
              </w:rPr>
              <w:t xml:space="preserve">В условиях реконструкции возможно уменьшение на 20 % или увеличение на 30 % - в сельских поселениях, если для организации учебно-опытной работы не предусмотрены специальные участки на землях сельскохозяйственного использования.</w:t>
            </w:r>
            <w:r/>
          </w:p>
          <w:p>
            <w:pPr>
              <w:ind w:left="132" w:right="131"/>
              <w:jc w:val="both"/>
              <w:rPr>
                <w:rFonts w:eastAsia="Calibri"/>
                <w:lang w:eastAsia="en-US"/>
              </w:rPr>
            </w:pPr>
            <w:r>
              <w:rPr>
                <w:rFonts w:eastAsia="Calibri"/>
                <w:lang w:eastAsia="en-US"/>
              </w:rPr>
              <w:t xml:space="preserve">В сложившейся плотной застройке, при дефиците уча</w:t>
            </w:r>
            <w:r>
              <w:rPr>
                <w:rFonts w:eastAsia="Calibri"/>
                <w:lang w:eastAsia="en-US"/>
              </w:rPr>
              <w:t xml:space="preserve">стка территории, допускается располагать отдельные зоны территории общеобразовательной организации (физкультурно-оздоровительную, учебно-опытную и т.д.) на автономных участках, находящихся в пешеходной доступности от здания общеобразовательной организации.</w:t>
            </w:r>
            <w:r/>
          </w:p>
        </w:tc>
        <w:tc>
          <w:tcPr>
            <w:tcW w:w="3950" w:type="dxa"/>
            <w:vMerge w:val="restart"/>
            <w:textDirection w:val="lrTb"/>
            <w:noWrap w:val="false"/>
          </w:tcPr>
          <w:p>
            <w:pPr>
              <w:ind w:left="132" w:right="140" w:hanging="1"/>
              <w:jc w:val="both"/>
              <w:tabs>
                <w:tab w:val="left" w:pos="3071" w:leader="none"/>
              </w:tabs>
            </w:pPr>
            <w:r>
              <w:rPr>
                <w:shd w:val="clear" w:color="auto" w:fill="ffffff"/>
              </w:rPr>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r/>
          </w:p>
          <w:p>
            <w:pPr>
              <w:ind w:left="132" w:right="140" w:hanging="1"/>
              <w:jc w:val="both"/>
              <w:tabs>
                <w:tab w:val="left" w:pos="3071" w:leader="none"/>
              </w:tabs>
            </w:pPr>
            <w: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статье 29 настоящих Правил.</w:t>
            </w:r>
            <w:r/>
          </w:p>
          <w:p>
            <w:pPr>
              <w:ind w:left="132" w:right="132" w:hanging="1"/>
              <w:jc w:val="both"/>
              <w:rPr>
                <w:rFonts w:eastAsia="Calibri"/>
              </w:rPr>
            </w:pPr>
            <w:r>
              <w:rPr>
                <w:rFonts w:eastAsia="Calibri"/>
              </w:rPr>
              <w:t xml:space="preserve">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r/>
          </w:p>
          <w:p>
            <w:pPr>
              <w:ind w:left="132" w:right="132" w:hanging="1"/>
              <w:jc w:val="both"/>
              <w:rPr>
                <w:rFonts w:eastAsia="Calibri"/>
              </w:rPr>
            </w:pPr>
            <w:r>
              <w:rPr>
                <w:rFonts w:eastAsia="Calibri"/>
              </w:rPr>
              <w:t xml:space="preserve">При проектировании объекта расчетное количество парковочных мест для его обслуживания определять по таблице 1 ст. 42.</w:t>
            </w:r>
            <w:r/>
          </w:p>
          <w:p>
            <w:pPr>
              <w:ind w:left="132" w:right="132" w:hanging="1"/>
              <w:jc w:val="both"/>
              <w:rPr>
                <w:rFonts w:eastAsia="Calibri"/>
              </w:rPr>
            </w:pPr>
            <w:r>
              <w:rPr>
                <w:rFonts w:eastAsia="Calibri"/>
              </w:rPr>
              <w:t xml:space="preserve">Расстояние от объектов капитального строительства до парковок определять по таблице 2 статьи 42.</w:t>
            </w:r>
            <w:r/>
          </w:p>
          <w:p>
            <w:pPr>
              <w:ind w:left="132" w:hanging="1"/>
              <w:jc w:val="both"/>
              <w:rPr>
                <w:rFonts w:eastAsia="Calibri"/>
              </w:rPr>
            </w:pPr>
            <w:r>
              <w:rPr>
                <w:rFonts w:eastAsia="Calibri"/>
              </w:rPr>
              <w:t xml:space="preserve">Допускается размещение парковок на землях общего пользования при наличии свободных парковок с необходимым количеством мест по письменному согласию органов местного самоуправления сельского поселения</w:t>
            </w:r>
            <w:r/>
          </w:p>
          <w:p>
            <w:pPr>
              <w:ind w:left="132" w:hanging="1"/>
              <w:jc w:val="both"/>
              <w:rPr>
                <w:rFonts w:eastAsia="Calibri"/>
              </w:rPr>
            </w:pPr>
            <w:r>
              <w:rPr>
                <w:rFonts w:eastAsia="Calibri"/>
              </w:rPr>
            </w:r>
            <w:r/>
          </w:p>
          <w:p>
            <w:pPr>
              <w:ind w:left="132" w:right="63" w:hanging="1"/>
              <w:jc w:val="both"/>
              <w:rPr>
                <w:shd w:val="clear" w:color="auto" w:fill="ffffff"/>
              </w:rPr>
            </w:pPr>
            <w:r>
              <w:rPr>
                <w:rFonts w:eastAsia="Calibri"/>
              </w:rPr>
              <w:t xml:space="preserve">При отсутствии в материалах проектной документации расчета СЗЗ, СЗЗ принимать в соответствии с СанПиН</w:t>
            </w:r>
            <w:r>
              <w:rPr>
                <w:rFonts w:ascii="Arial" w:hAnsi="Arial" w:cs="Arial"/>
                <w:sz w:val="27"/>
                <w:szCs w:val="27"/>
                <w:shd w:val="clear" w:color="auto" w:fill="ffffff"/>
              </w:rPr>
              <w:t xml:space="preserve"> </w:t>
            </w:r>
            <w:r>
              <w:rPr>
                <w:shd w:val="clear" w:color="auto" w:fill="ffffff"/>
              </w:rPr>
              <w:t xml:space="preserve">2.2.1/2.1.1.1200-03 "</w:t>
            </w:r>
            <w:r>
              <w:rPr>
                <w:bCs/>
                <w:shd w:val="clear" w:color="auto" w:fill="ffffff"/>
              </w:rPr>
              <w:t xml:space="preserve">Санитарно</w:t>
            </w:r>
            <w:r>
              <w:rPr>
                <w:shd w:val="clear" w:color="auto" w:fill="ffffff"/>
              </w:rPr>
              <w:t xml:space="preserve">-</w:t>
            </w:r>
            <w:r>
              <w:rPr>
                <w:bCs/>
                <w:shd w:val="clear" w:color="auto" w:fill="ffffff"/>
              </w:rPr>
              <w:t xml:space="preserve">защитные</w:t>
            </w:r>
            <w:r>
              <w:rPr>
                <w:shd w:val="clear" w:color="auto" w:fill="ffffff"/>
              </w:rPr>
              <w:t xml:space="preserve"> </w:t>
            </w:r>
            <w:r>
              <w:rPr>
                <w:bCs/>
                <w:shd w:val="clear" w:color="auto" w:fill="ffffff"/>
              </w:rPr>
              <w:t xml:space="preserve">зоны</w:t>
            </w:r>
            <w:r>
              <w:rPr>
                <w:shd w:val="clear" w:color="auto" w:fill="ffffff"/>
              </w:rPr>
              <w:t xml:space="preserve"> и </w:t>
            </w:r>
            <w:r>
              <w:rPr>
                <w:bCs/>
                <w:shd w:val="clear" w:color="auto" w:fill="ffffff"/>
              </w:rPr>
              <w:t xml:space="preserve">санитарная</w:t>
            </w:r>
            <w:r>
              <w:rPr>
                <w:shd w:val="clear" w:color="auto" w:fill="ffffff"/>
              </w:rPr>
              <w:t xml:space="preserve"> </w:t>
            </w:r>
            <w:r>
              <w:rPr>
                <w:bCs/>
                <w:shd w:val="clear" w:color="auto" w:fill="ffffff"/>
              </w:rPr>
              <w:t xml:space="preserve">классификация</w:t>
            </w:r>
            <w:r>
              <w:rPr>
                <w:shd w:val="clear" w:color="auto" w:fill="ffffff"/>
              </w:rPr>
              <w:t xml:space="preserve"> </w:t>
            </w:r>
            <w:r>
              <w:rPr>
                <w:bCs/>
                <w:shd w:val="clear" w:color="auto" w:fill="ffffff"/>
              </w:rPr>
              <w:t xml:space="preserve">предприятий</w:t>
            </w:r>
            <w:r>
              <w:rPr>
                <w:shd w:val="clear" w:color="auto" w:fill="ffffff"/>
              </w:rPr>
              <w:t xml:space="preserve">, </w:t>
            </w:r>
            <w:r>
              <w:rPr>
                <w:bCs/>
                <w:shd w:val="clear" w:color="auto" w:fill="ffffff"/>
              </w:rPr>
              <w:t xml:space="preserve">сооружений</w:t>
            </w:r>
            <w:r>
              <w:rPr>
                <w:shd w:val="clear" w:color="auto" w:fill="ffffff"/>
              </w:rPr>
              <w:t xml:space="preserve"> и иных объектов".</w:t>
            </w:r>
            <w:r/>
          </w:p>
          <w:p>
            <w:pPr>
              <w:ind w:left="132" w:right="63" w:hanging="1"/>
              <w:jc w:val="both"/>
              <w:rPr>
                <w:shd w:val="clear" w:color="auto" w:fill="ffffff"/>
              </w:rPr>
            </w:pPr>
            <w:r>
              <w:rPr>
                <w:shd w:val="clear" w:color="auto" w:fill="ffffff"/>
              </w:rPr>
            </w:r>
            <w:r/>
          </w:p>
          <w:p>
            <w:pPr>
              <w:ind w:left="132" w:right="63" w:hanging="1"/>
              <w:jc w:val="both"/>
              <w:rPr>
                <w:rFonts w:eastAsia="Calibri"/>
              </w:rPr>
            </w:pPr>
            <w:r>
              <w:rPr>
                <w:shd w:val="clear" w:color="auto" w:fill="ffffff"/>
              </w:rPr>
              <w:t xml:space="preserve">В материалах проектной документации указывать</w:t>
            </w:r>
            <w:r>
              <w:rPr>
                <w:rFonts w:ascii="Arial" w:hAnsi="Arial" w:cs="Arial"/>
                <w:sz w:val="26"/>
                <w:szCs w:val="26"/>
                <w:shd w:val="clear" w:color="auto" w:fill="ffffff"/>
              </w:rPr>
              <w:t xml:space="preserve"> </w:t>
            </w:r>
            <w:r>
              <w:rPr>
                <w:shd w:val="clear" w:color="auto" w:fill="ffffff"/>
              </w:rPr>
              <w:t xml:space="preserve">количество единовременно прибывающих на объекте человек для </w:t>
            </w:r>
            <w:r>
              <w:rPr>
                <w:shd w:val="clear" w:color="auto" w:fill="ffffff"/>
              </w:rPr>
              <w:t xml:space="preserve">определения отношения объекта к объекту массового пребывания граждан.</w:t>
            </w:r>
            <w:r/>
          </w:p>
          <w:p>
            <w:pPr>
              <w:ind w:left="33" w:firstLine="426"/>
              <w:jc w:val="both"/>
            </w:pPr>
            <w:r/>
            <w:r/>
          </w:p>
        </w:tc>
      </w:tr>
      <w:tr>
        <w:trPr>
          <w:trHeight w:val="3109"/>
        </w:trPr>
        <w:tc>
          <w:tcPr>
            <w:tcW w:w="2014" w:type="dxa"/>
            <w:textDirection w:val="lrTb"/>
            <w:noWrap w:val="false"/>
          </w:tcPr>
          <w:p>
            <w:pPr>
              <w:ind w:left="161"/>
            </w:pPr>
            <w:r>
              <w:t xml:space="preserve">[3.1.1.] Предоставление коммунальных услуг</w:t>
            </w:r>
            <w:r/>
          </w:p>
        </w:tc>
        <w:tc>
          <w:tcPr>
            <w:tcW w:w="3685" w:type="dxa"/>
            <w:textDirection w:val="lrTb"/>
            <w:noWrap w:val="false"/>
          </w:tcPr>
          <w:p>
            <w:pPr>
              <w:jc w:val="both"/>
            </w:pPr>
            <w:r>
              <w:t xml:space="preserve"> Размещение зданий и сооружений, обеспечивающих поставку воды, тепла, электричества, газа, отвод канализационных стоков, очистку и уборку объектов н</w:t>
            </w:r>
            <w:r>
              <w:t xml:space="preserve">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w:t>
            </w:r>
            <w:r>
              <w:br/>
              <w:t xml:space="preserve"> и аварийной техники, сооружений, необходимых для сбора и плавки снега)</w:t>
            </w:r>
            <w:r/>
          </w:p>
        </w:tc>
        <w:tc>
          <w:tcPr>
            <w:tcW w:w="5387" w:type="dxa"/>
            <w:textDirection w:val="lrTb"/>
            <w:noWrap w:val="false"/>
          </w:tcPr>
          <w:p>
            <w:pPr>
              <w:ind w:left="132" w:right="134"/>
              <w:jc w:val="both"/>
            </w:pPr>
            <w:r>
              <w:t xml:space="preserve">Минимальная площадь земельных участков - 10 кв. м;</w:t>
            </w:r>
            <w:r/>
          </w:p>
          <w:p>
            <w:pPr>
              <w:ind w:left="132" w:right="134"/>
              <w:jc w:val="both"/>
            </w:pPr>
            <w:r>
              <w:t xml:space="preserve">максимальное количество надземных этажей зданий –1;</w:t>
            </w:r>
            <w:r/>
          </w:p>
          <w:p>
            <w:pPr>
              <w:ind w:left="132" w:right="134"/>
              <w:jc w:val="both"/>
            </w:pPr>
            <w:r>
              <w:t xml:space="preserve">максимальный процент застройки в границах земельного участка – 80%;</w:t>
            </w:r>
            <w:r/>
          </w:p>
          <w:p>
            <w:pPr>
              <w:ind w:left="132" w:right="134"/>
              <w:jc w:val="both"/>
            </w:pPr>
            <w:r>
              <w:t xml:space="preserve">минимальные отступы от красной линии – 5 м; от иных границ – 3 м;  </w:t>
            </w:r>
            <w:r/>
          </w:p>
          <w:p>
            <w:pPr>
              <w:ind w:left="132" w:right="134"/>
              <w:jc w:val="both"/>
            </w:pPr>
            <w:r>
              <w:t xml:space="preserve">для линейных объектов минимальные отступы – не регламентируются</w:t>
            </w:r>
            <w:r/>
          </w:p>
        </w:tc>
        <w:tc>
          <w:tcPr>
            <w:tcW w:w="3950" w:type="dxa"/>
            <w:vMerge w:val="continue"/>
            <w:textDirection w:val="lrTb"/>
            <w:noWrap w:val="false"/>
          </w:tcPr>
          <w:p>
            <w:pPr>
              <w:ind w:left="33" w:firstLine="426"/>
              <w:jc w:val="both"/>
            </w:pPr>
            <w:r/>
            <w:r/>
          </w:p>
        </w:tc>
      </w:tr>
      <w:tr>
        <w:trPr>
          <w:trHeight w:val="23"/>
        </w:trPr>
        <w:tc>
          <w:tcPr>
            <w:tcW w:w="2014" w:type="dxa"/>
            <w:textDirection w:val="lrTb"/>
            <w:noWrap w:val="false"/>
          </w:tcPr>
          <w:p>
            <w:pPr>
              <w:ind w:right="151"/>
              <w:jc w:val="both"/>
            </w:pPr>
            <w:r>
              <w:t xml:space="preserve">[3.1.2.] Административные здания организаций, обеспечивающих предоставление коммунальных услуг</w:t>
            </w:r>
            <w:r/>
          </w:p>
        </w:tc>
        <w:tc>
          <w:tcPr>
            <w:tcW w:w="3685" w:type="dxa"/>
            <w:textDirection w:val="lrTb"/>
            <w:noWrap w:val="false"/>
          </w:tcPr>
          <w:p>
            <w:pPr>
              <w:ind w:left="132" w:right="131" w:firstLine="142"/>
              <w:jc w:val="both"/>
            </w:pPr>
            <w:r>
              <w:t xml:space="preserve">Размещение зданий, предназначены</w:t>
            </w:r>
            <w:r>
              <w:br/>
              <w:t xml:space="preserve"> для приема физических и юридических лиц в связи с предоставлением им коммунальных услуг.</w:t>
            </w:r>
            <w:r/>
          </w:p>
        </w:tc>
        <w:tc>
          <w:tcPr>
            <w:tcW w:w="5387" w:type="dxa"/>
            <w:textDirection w:val="lrTb"/>
            <w:noWrap w:val="false"/>
          </w:tcPr>
          <w:p>
            <w:pPr>
              <w:ind w:left="132" w:right="116"/>
              <w:jc w:val="both"/>
            </w:pPr>
            <w:r>
              <w:t xml:space="preserve">Минимальная/максимальная площадь земельных участков  – 50 /1000 кв. м.;</w:t>
            </w:r>
            <w:r/>
          </w:p>
          <w:p>
            <w:pPr>
              <w:ind w:left="132" w:right="116"/>
              <w:jc w:val="both"/>
              <w:tabs>
                <w:tab w:val="left" w:pos="1134" w:leader="none"/>
              </w:tabs>
            </w:pPr>
            <w:r>
              <w:t xml:space="preserve">максимальное количество надземных этажей зданий – 2 этажа;</w:t>
            </w:r>
            <w:r/>
          </w:p>
          <w:p>
            <w:pPr>
              <w:ind w:left="132" w:right="116"/>
              <w:jc w:val="both"/>
            </w:pPr>
            <w:r>
              <w:t xml:space="preserve">максимальная высота зданий, строений, сооружений от уровня земли - 20 м;</w:t>
            </w:r>
            <w:r/>
          </w:p>
          <w:p>
            <w:pPr>
              <w:ind w:left="132" w:right="116"/>
              <w:jc w:val="both"/>
            </w:pPr>
            <w:r>
              <w:t xml:space="preserve">максимальный процент застройки в границах земельного участка – 60 %;  </w:t>
            </w:r>
            <w:r/>
          </w:p>
          <w:p>
            <w:pPr>
              <w:ind w:left="132" w:right="103"/>
              <w:jc w:val="both"/>
            </w:pPr>
            <w:r>
              <w:t xml:space="preserve">минимальные отступы от  красной линии – 5 м от иных границ – 3 м</w:t>
            </w:r>
            <w:r>
              <w:rPr>
                <w:rFonts w:eastAsia="SimSun"/>
                <w:lang w:eastAsia="zh-CN" w:bidi="ru-RU"/>
              </w:rPr>
              <w:t xml:space="preserve">.</w:t>
            </w:r>
            <w:r/>
          </w:p>
          <w:p>
            <w:pPr>
              <w:ind w:left="140" w:right="116"/>
              <w:jc w:val="both"/>
              <w:rPr>
                <w:rFonts w:eastAsia="SimSun"/>
                <w:lang w:eastAsia="zh-CN" w:bidi="ru-RU"/>
              </w:rPr>
            </w:pPr>
            <w:r>
              <w:rPr>
                <w:rFonts w:eastAsia="SimSun"/>
                <w:lang w:eastAsia="zh-CN" w:bidi="ru-RU"/>
              </w:rPr>
              <w:t xml:space="preserve">Минимальный процент озеленения земельного участка 10%.</w:t>
            </w:r>
            <w:r/>
          </w:p>
        </w:tc>
        <w:tc>
          <w:tcPr>
            <w:tcW w:w="3950" w:type="dxa"/>
            <w:vMerge w:val="continue"/>
            <w:textDirection w:val="lrTb"/>
            <w:noWrap w:val="false"/>
          </w:tcPr>
          <w:p>
            <w:pPr>
              <w:ind w:left="33" w:firstLine="426"/>
              <w:jc w:val="both"/>
            </w:pPr>
            <w:r/>
            <w:r/>
          </w:p>
        </w:tc>
      </w:tr>
      <w:tr>
        <w:trPr>
          <w:trHeight w:val="2355"/>
        </w:trPr>
        <w:tc>
          <w:tcPr>
            <w:tcW w:w="2014" w:type="dxa"/>
            <w:textDirection w:val="lrTb"/>
            <w:noWrap w:val="false"/>
          </w:tcPr>
          <w:p>
            <w:pPr>
              <w:rPr>
                <w:rFonts w:eastAsia="SimSun"/>
                <w:lang w:eastAsia="zh-CN" w:bidi="ru-RU"/>
              </w:rPr>
            </w:pPr>
            <w:r>
              <w:rPr>
                <w:rFonts w:eastAsia="SimSun"/>
                <w:lang w:eastAsia="zh-CN" w:bidi="ru-RU"/>
              </w:rPr>
              <w:t xml:space="preserve">[3.4.1] - Амбулаторно-поликлиническое обслуживание</w:t>
            </w:r>
            <w:r/>
          </w:p>
          <w:p>
            <w:pPr>
              <w:rPr>
                <w:rFonts w:eastAsia="SimSun"/>
                <w:lang w:eastAsia="zh-CN" w:bidi="ru-RU"/>
              </w:rPr>
            </w:pPr>
            <w:r>
              <w:rPr>
                <w:rFonts w:eastAsia="SimSun"/>
                <w:lang w:eastAsia="zh-CN" w:bidi="ru-RU"/>
              </w:rPr>
            </w:r>
            <w:r/>
          </w:p>
        </w:tc>
        <w:tc>
          <w:tcPr>
            <w:tcW w:w="3685" w:type="dxa"/>
            <w:textDirection w:val="lrTb"/>
            <w:noWrap w:val="false"/>
          </w:tcPr>
          <w:p>
            <w:pPr>
              <w:ind w:left="131" w:right="132"/>
              <w:jc w:val="both"/>
              <w:rPr>
                <w:rFonts w:eastAsia="SimSun"/>
                <w:lang w:eastAsia="zh-CN" w:bidi="ru-RU"/>
              </w:rPr>
            </w:pPr>
            <w:r>
              <w:rPr>
                <w:lang w:eastAsia="ru-RU" w:bidi="ru-RU"/>
              </w:rPr>
              <w:t xml:space="preserve">Размещение объектов капитального строительства, пре</w:t>
            </w:r>
            <w:r>
              <w:rPr>
                <w:lang w:eastAsia="ru-RU" w:bidi="ru-RU"/>
              </w:rPr>
              <w:t xml:space="preserve">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r/>
          </w:p>
        </w:tc>
        <w:tc>
          <w:tcPr>
            <w:tcW w:w="5387" w:type="dxa"/>
            <w:textDirection w:val="lrTb"/>
            <w:noWrap w:val="false"/>
          </w:tcPr>
          <w:p>
            <w:pPr>
              <w:ind w:left="132" w:right="116"/>
              <w:jc w:val="both"/>
              <w:tabs>
                <w:tab w:val="left" w:pos="3071" w:leader="none"/>
              </w:tabs>
            </w:pPr>
            <w:r>
              <w:t xml:space="preserve">Минимальная/максимальная площадь земельных участков   – 500/1000 кв. м;</w:t>
            </w:r>
            <w:r/>
          </w:p>
          <w:p>
            <w:pPr>
              <w:ind w:left="132" w:right="116"/>
              <w:jc w:val="both"/>
              <w:tabs>
                <w:tab w:val="left" w:pos="3071" w:leader="none"/>
              </w:tabs>
            </w:pPr>
            <w:r>
              <w:t xml:space="preserve">максимальное количество надземных этажей зданий – 2 этажа; </w:t>
            </w:r>
            <w:r/>
          </w:p>
          <w:p>
            <w:pPr>
              <w:ind w:left="132" w:right="116"/>
              <w:jc w:val="both"/>
              <w:tabs>
                <w:tab w:val="left" w:pos="3071" w:leader="none"/>
              </w:tabs>
            </w:pPr>
            <w:r>
              <w:t xml:space="preserve">максимальная высота зданий от уровня земли до верха перекрытия последнего этажа (или конька кровли) - 12 м;</w:t>
            </w:r>
            <w:r/>
          </w:p>
          <w:p>
            <w:pPr>
              <w:ind w:left="132"/>
              <w:jc w:val="both"/>
            </w:pPr>
            <w:r>
              <w:t xml:space="preserve">максимальный процент застройки – 60%;</w:t>
            </w:r>
            <w:r/>
          </w:p>
          <w:p>
            <w:pPr>
              <w:ind w:left="132" w:right="116"/>
              <w:jc w:val="both"/>
              <w:tabs>
                <w:tab w:val="left" w:pos="3071" w:leader="none"/>
              </w:tabs>
              <w:rPr>
                <w:rFonts w:eastAsia="SimSun"/>
                <w:lang w:eastAsia="zh-CN" w:bidi="ru-RU"/>
              </w:rPr>
            </w:pPr>
            <w:r>
              <w:t xml:space="preserve">минимальные отступы от  красной линии – 5 м; до иных границ – 3 м</w:t>
            </w:r>
            <w:r>
              <w:rPr>
                <w:rFonts w:eastAsia="SimSun"/>
                <w:lang w:eastAsia="zh-CN" w:bidi="ru-RU"/>
              </w:rPr>
              <w:t xml:space="preserve">;</w:t>
            </w:r>
            <w:r/>
          </w:p>
          <w:p>
            <w:pPr>
              <w:ind w:left="160" w:right="116" w:firstLine="114"/>
              <w:jc w:val="both"/>
              <w:tabs>
                <w:tab w:val="left" w:pos="3071" w:leader="none"/>
              </w:tabs>
            </w:pPr>
            <w:r/>
            <w:r/>
          </w:p>
        </w:tc>
        <w:tc>
          <w:tcPr>
            <w:tcW w:w="3950" w:type="dxa"/>
            <w:vMerge w:val="continue"/>
            <w:textDirection w:val="lrTb"/>
            <w:noWrap w:val="false"/>
          </w:tcPr>
          <w:p>
            <w:pPr>
              <w:ind w:firstLine="426"/>
              <w:tabs>
                <w:tab w:val="left" w:pos="1134" w:leader="none"/>
              </w:tabs>
            </w:pPr>
            <w:r/>
            <w:r/>
          </w:p>
        </w:tc>
      </w:tr>
      <w:tr>
        <w:trPr>
          <w:trHeight w:val="445"/>
        </w:trPr>
        <w:tc>
          <w:tcPr>
            <w:tcW w:w="2014" w:type="dxa"/>
            <w:textDirection w:val="lrTb"/>
            <w:noWrap w:val="false"/>
          </w:tcPr>
          <w:p>
            <w:pPr>
              <w:tabs>
                <w:tab w:val="left" w:pos="2520" w:leader="none"/>
              </w:tabs>
            </w:pPr>
            <w:r>
              <w:t xml:space="preserve">[5.1.3] Площадки для занятий спортом</w:t>
            </w:r>
            <w:r/>
          </w:p>
          <w:p>
            <w:pPr>
              <w:tabs>
                <w:tab w:val="left" w:pos="2520" w:leader="none"/>
              </w:tabs>
            </w:pPr>
            <w:r/>
            <w:r/>
          </w:p>
        </w:tc>
        <w:tc>
          <w:tcPr>
            <w:tcW w:w="3685" w:type="dxa"/>
            <w:textDirection w:val="lrTb"/>
            <w:noWrap w:val="false"/>
          </w:tcPr>
          <w:p>
            <w:pPr>
              <w:ind w:left="131"/>
            </w:pPr>
            <w:r>
              <w:t xml:space="preserve">     Размещение площадок для занятия спортом и физкультурой на открытом воздухе (физкультурные площадки, беговые дорожки, поля для спортивной игры)</w:t>
            </w:r>
            <w:r/>
          </w:p>
        </w:tc>
        <w:tc>
          <w:tcPr>
            <w:tcW w:w="5387" w:type="dxa"/>
            <w:textDirection w:val="lrTb"/>
            <w:noWrap w:val="false"/>
          </w:tcPr>
          <w:p>
            <w:pPr>
              <w:ind w:left="132"/>
              <w:jc w:val="both"/>
              <w:tabs>
                <w:tab w:val="left" w:pos="2520" w:leader="none"/>
              </w:tabs>
            </w:pPr>
            <w:r>
              <w:t xml:space="preserve">Минимальная/максимальная площадь земельных участков –300/50000 кв. м;</w:t>
            </w:r>
            <w:r/>
          </w:p>
          <w:p>
            <w:pPr>
              <w:ind w:left="132"/>
              <w:jc w:val="both"/>
              <w:tabs>
                <w:tab w:val="left" w:pos="2520" w:leader="none"/>
              </w:tabs>
            </w:pPr>
            <w:r>
              <w:t xml:space="preserve">максимальная высота зданий, строений, сооружений от уровня земли - 12 м;</w:t>
            </w:r>
            <w:r/>
          </w:p>
          <w:p>
            <w:pPr>
              <w:ind w:left="132"/>
              <w:jc w:val="both"/>
              <w:tabs>
                <w:tab w:val="left" w:pos="2520" w:leader="none"/>
              </w:tabs>
            </w:pPr>
            <w:r>
              <w:t xml:space="preserve">максимальный процент застройки в границах земельного </w:t>
            </w:r>
            <w:r/>
          </w:p>
          <w:p>
            <w:pPr>
              <w:ind w:left="132"/>
              <w:jc w:val="both"/>
              <w:tabs>
                <w:tab w:val="left" w:pos="2520" w:leader="none"/>
              </w:tabs>
            </w:pPr>
            <w:r>
              <w:t xml:space="preserve"> участка – 80%;</w:t>
            </w:r>
            <w:r/>
          </w:p>
          <w:p>
            <w:pPr>
              <w:ind w:left="132"/>
              <w:jc w:val="both"/>
              <w:tabs>
                <w:tab w:val="left" w:pos="2520" w:leader="none"/>
              </w:tabs>
            </w:pPr>
            <w:r>
              <w:t xml:space="preserve">Минимальный процент озеленения – 15%.</w:t>
            </w:r>
            <w:r/>
          </w:p>
        </w:tc>
        <w:tc>
          <w:tcPr>
            <w:tcW w:w="3950" w:type="dxa"/>
            <w:vMerge w:val="continue"/>
            <w:textDirection w:val="lrTb"/>
            <w:noWrap w:val="false"/>
          </w:tcPr>
          <w:p>
            <w:pPr>
              <w:ind w:firstLine="426"/>
              <w:tabs>
                <w:tab w:val="left" w:pos="1134" w:leader="none"/>
              </w:tabs>
            </w:pPr>
            <w:r/>
            <w:r/>
          </w:p>
        </w:tc>
      </w:tr>
      <w:tr>
        <w:trPr>
          <w:trHeight w:val="549"/>
        </w:trPr>
        <w:tc>
          <w:tcPr>
            <w:tcW w:w="2014" w:type="dxa"/>
            <w:textDirection w:val="lrTb"/>
            <w:noWrap w:val="false"/>
          </w:tcPr>
          <w:p>
            <w:pPr>
              <w:ind w:left="161"/>
              <w:tabs>
                <w:tab w:val="left" w:pos="2520" w:leader="none"/>
              </w:tabs>
            </w:pPr>
            <w:r>
              <w:t xml:space="preserve">[2.7.1] Хранение автотранспорта</w:t>
            </w:r>
            <w:r/>
          </w:p>
        </w:tc>
        <w:tc>
          <w:tcPr>
            <w:tcW w:w="3685" w:type="dxa"/>
            <w:textDirection w:val="lrTb"/>
            <w:noWrap w:val="false"/>
          </w:tcPr>
          <w:p>
            <w:pPr>
              <w:ind w:left="131" w:right="131"/>
              <w:jc w:val="both"/>
              <w:tabs>
                <w:tab w:val="left" w:pos="2520" w:leader="none"/>
              </w:tabs>
            </w:pPr>
            <w:r>
              <w:t xml:space="preserve"> 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w:t>
            </w:r>
            <w:r>
              <w:br/>
              <w:t xml:space="preserve">-места, </w:t>
            </w:r>
            <w:r>
              <w:rPr>
                <w:shd w:val="clear" w:color="auto" w:fill="ffffff"/>
              </w:rPr>
              <w:t xml:space="preserve">за исключением гаражей, размещение которых предусмотрено содержанием вида разрешенного использования с </w:t>
            </w:r>
            <w:hyperlink r:id="rId64" w:tooltip="https://base.garant.ru/70736874/53f89421bbdaf741eb2d1ecc4ddb4c33/#block_1049" w:anchor="block_1049" w:history="1">
              <w:r>
                <w:rPr>
                  <w:shd w:val="clear" w:color="auto" w:fill="ffffff"/>
                </w:rPr>
                <w:t xml:space="preserve">кодом 4.9</w:t>
              </w:r>
            </w:hyperlink>
            <w:r>
              <w:t xml:space="preserve"> (</w:t>
            </w:r>
            <w:r>
              <w:rPr>
                <w:shd w:val="clear" w:color="auto" w:fill="ffffff"/>
              </w:rPr>
              <w:t xml:space="preserve">Служебные гаражи)</w:t>
            </w:r>
            <w:r/>
          </w:p>
        </w:tc>
        <w:tc>
          <w:tcPr>
            <w:tcW w:w="5387" w:type="dxa"/>
            <w:textDirection w:val="lrTb"/>
            <w:noWrap w:val="false"/>
          </w:tcPr>
          <w:p>
            <w:pPr>
              <w:ind w:left="132" w:right="116"/>
              <w:jc w:val="both"/>
              <w:tabs>
                <w:tab w:val="left" w:pos="1134" w:leader="none"/>
              </w:tabs>
            </w:pPr>
            <w:r>
              <w:t xml:space="preserve">Минимальная/максимальная площадь земельных участков – 15/1000 кв. м;</w:t>
            </w:r>
            <w:r/>
          </w:p>
          <w:p>
            <w:pPr>
              <w:ind w:left="132" w:right="116"/>
              <w:jc w:val="both"/>
              <w:tabs>
                <w:tab w:val="left" w:pos="1134" w:leader="none"/>
              </w:tabs>
            </w:pPr>
            <w:r>
              <w:t xml:space="preserve">максимальное количество надземных этажей зданий – 1</w:t>
            </w:r>
            <w:r/>
          </w:p>
          <w:p>
            <w:pPr>
              <w:ind w:left="132" w:right="116"/>
              <w:jc w:val="both"/>
            </w:pPr>
            <w:r>
              <w:t xml:space="preserve">максимальная высота зданий, строений, сооружений от уровня земли – 6 м;</w:t>
            </w:r>
            <w:r/>
          </w:p>
          <w:p>
            <w:pPr>
              <w:ind w:left="132" w:right="116"/>
              <w:jc w:val="both"/>
              <w:tabs>
                <w:tab w:val="left" w:pos="2520" w:leader="none"/>
              </w:tabs>
            </w:pPr>
            <w:r>
              <w:t xml:space="preserve">максимальный процент застройки в границах земельного участка не подлежит установлению;</w:t>
            </w:r>
            <w:r/>
          </w:p>
          <w:p>
            <w:pPr>
              <w:ind w:left="160" w:right="116"/>
              <w:jc w:val="both"/>
            </w:pPr>
            <w:r>
              <w:t xml:space="preserve">Минимальные отступы от  красной линии – 5 м; от иных границ – 3 м.</w:t>
            </w:r>
            <w:r/>
          </w:p>
        </w:tc>
        <w:tc>
          <w:tcPr>
            <w:tcW w:w="3950" w:type="dxa"/>
            <w:vMerge w:val="continue"/>
            <w:textDirection w:val="lrTb"/>
            <w:noWrap w:val="false"/>
          </w:tcPr>
          <w:p>
            <w:pPr>
              <w:ind w:firstLine="426"/>
              <w:tabs>
                <w:tab w:val="left" w:pos="1134" w:leader="none"/>
              </w:tabs>
            </w:pPr>
            <w:r/>
            <w:r/>
          </w:p>
        </w:tc>
      </w:tr>
      <w:tr>
        <w:trPr>
          <w:trHeight w:val="549"/>
        </w:trPr>
        <w:tc>
          <w:tcPr>
            <w:tcW w:w="2014" w:type="dxa"/>
            <w:textDirection w:val="lrTb"/>
            <w:noWrap w:val="false"/>
          </w:tcPr>
          <w:p>
            <w:pPr>
              <w:ind w:left="142" w:right="117"/>
              <w:rPr>
                <w:rFonts w:eastAsia="SimSun"/>
                <w:lang w:eastAsia="zh-CN" w:bidi="ru-RU"/>
              </w:rPr>
            </w:pPr>
            <w:r>
              <w:rPr>
                <w:rFonts w:eastAsia="SimSun"/>
                <w:lang w:eastAsia="zh-CN" w:bidi="ru-RU"/>
              </w:rPr>
              <w:t xml:space="preserve">[2.7.2]</w:t>
            </w:r>
            <w:r/>
          </w:p>
          <w:p>
            <w:pPr>
              <w:ind w:left="142" w:right="117"/>
              <w:rPr>
                <w:rFonts w:eastAsia="SimSun"/>
                <w:lang w:eastAsia="zh-CN" w:bidi="ru-RU"/>
              </w:rPr>
            </w:pPr>
            <w:r>
              <w:t xml:space="preserve">Размещение гаражей для собственных нужд</w:t>
            </w:r>
            <w:r/>
          </w:p>
        </w:tc>
        <w:tc>
          <w:tcPr>
            <w:tcW w:w="3685" w:type="dxa"/>
            <w:textDirection w:val="lrTb"/>
            <w:noWrap w:val="false"/>
          </w:tcPr>
          <w:p>
            <w:pPr>
              <w:ind w:left="142" w:right="117"/>
              <w:jc w:val="both"/>
              <w:tabs>
                <w:tab w:val="left" w:pos="2520" w:leader="none"/>
              </w:tabs>
            </w:pPr>
            <w:r>
              <w:t xml:space="preserve">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r/>
          </w:p>
        </w:tc>
        <w:tc>
          <w:tcPr>
            <w:tcW w:w="5387" w:type="dxa"/>
            <w:textDirection w:val="lrTb"/>
            <w:noWrap w:val="false"/>
          </w:tcPr>
          <w:p>
            <w:pPr>
              <w:ind w:left="142" w:right="117"/>
              <w:jc w:val="both"/>
              <w:tabs>
                <w:tab w:val="left" w:pos="1134" w:leader="none"/>
              </w:tabs>
            </w:pPr>
            <w:r>
              <w:t xml:space="preserve">Минимальная/максимальная площадь земельных участков – 15/100 кв. м;</w:t>
            </w:r>
            <w:r/>
          </w:p>
          <w:p>
            <w:pPr>
              <w:ind w:left="142" w:right="117"/>
              <w:jc w:val="both"/>
              <w:tabs>
                <w:tab w:val="left" w:pos="1134" w:leader="none"/>
              </w:tabs>
            </w:pPr>
            <w:r>
              <w:t xml:space="preserve">максимальное количество надземных этажей зданий – 2;</w:t>
            </w:r>
            <w:r/>
          </w:p>
          <w:p>
            <w:pPr>
              <w:ind w:left="142" w:right="117"/>
              <w:jc w:val="both"/>
              <w:tabs>
                <w:tab w:val="left" w:pos="1134" w:leader="none"/>
              </w:tabs>
            </w:pPr>
            <w:r>
              <w:t xml:space="preserve">максимальная высота зданий, строений, сооружений от уровня земли – 6 м;</w:t>
            </w:r>
            <w:r/>
          </w:p>
        </w:tc>
        <w:tc>
          <w:tcPr>
            <w:tcW w:w="3950" w:type="dxa"/>
            <w:vMerge w:val="continue"/>
            <w:textDirection w:val="lrTb"/>
            <w:noWrap w:val="false"/>
          </w:tcPr>
          <w:p>
            <w:pPr>
              <w:ind w:firstLine="426"/>
              <w:tabs>
                <w:tab w:val="left" w:pos="1134" w:leader="none"/>
              </w:tabs>
            </w:pPr>
            <w:r/>
            <w:r/>
          </w:p>
        </w:tc>
      </w:tr>
      <w:tr>
        <w:trPr>
          <w:trHeight w:val="23"/>
        </w:trPr>
        <w:tc>
          <w:tcPr>
            <w:tcW w:w="2014" w:type="dxa"/>
            <w:textDirection w:val="lrTb"/>
            <w:noWrap w:val="false"/>
          </w:tcPr>
          <w:p>
            <w:pPr>
              <w:ind w:left="161"/>
              <w:tabs>
                <w:tab w:val="left" w:pos="2520" w:leader="none"/>
              </w:tabs>
            </w:pPr>
            <w:r>
              <w:t xml:space="preserve">[9.3] Историко-культурная деятельность</w:t>
            </w:r>
            <w:r/>
          </w:p>
        </w:tc>
        <w:tc>
          <w:tcPr>
            <w:tcW w:w="3685" w:type="dxa"/>
            <w:textDirection w:val="lrTb"/>
            <w:noWrap w:val="false"/>
          </w:tcPr>
          <w:p>
            <w:pPr>
              <w:ind w:left="132" w:right="131" w:firstLine="142"/>
              <w:jc w:val="both"/>
              <w:tabs>
                <w:tab w:val="left" w:pos="2520" w:leader="none"/>
              </w:tabs>
            </w:pPr>
            <w:r>
              <w:t xml:space="preserve">     Сохранение и изучение объектов к</w:t>
            </w:r>
            <w:r>
              <w:t xml:space="preserve">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w:t>
            </w:r>
            <w:r>
              <w:br/>
              <w:t xml:space="preserve">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w:t>
            </w:r>
            <w:r>
              <w:br/>
              <w:t xml:space="preserve">деятельность, обеспечивающая познавательный туризм </w:t>
            </w:r>
            <w:r/>
          </w:p>
        </w:tc>
        <w:tc>
          <w:tcPr>
            <w:tcW w:w="5387" w:type="dxa"/>
            <w:textDirection w:val="lrTb"/>
            <w:noWrap w:val="false"/>
          </w:tcPr>
          <w:p>
            <w:pPr>
              <w:ind w:left="132" w:right="116" w:firstLine="356"/>
              <w:jc w:val="center"/>
              <w:tabs>
                <w:tab w:val="left" w:pos="1134" w:leader="none"/>
              </w:tabs>
            </w:pPr>
            <w:r>
              <w:t xml:space="preserve">Регламенты не распространяются</w:t>
            </w:r>
            <w:r/>
          </w:p>
          <w:p>
            <w:pPr>
              <w:ind w:left="132" w:right="116" w:firstLine="356"/>
              <w:jc w:val="center"/>
              <w:tabs>
                <w:tab w:val="left" w:pos="1134" w:leader="none"/>
              </w:tabs>
            </w:pPr>
            <w:r>
              <w:t xml:space="preserve">(не подлежат установлению)</w:t>
            </w:r>
            <w:r/>
          </w:p>
        </w:tc>
        <w:tc>
          <w:tcPr>
            <w:tcW w:w="3950" w:type="dxa"/>
            <w:textDirection w:val="lrTb"/>
            <w:noWrap w:val="false"/>
          </w:tcPr>
          <w:p>
            <w:pPr>
              <w:ind w:left="132" w:right="132" w:firstLine="142"/>
              <w:jc w:val="both"/>
              <w:rPr>
                <w:rFonts w:cs="Arial"/>
                <w:lang w:eastAsia="ru-RU"/>
              </w:rPr>
            </w:pPr>
            <w:r>
              <w:rPr>
                <w:rFonts w:cs="Arial"/>
                <w:lang w:eastAsia="ru-RU"/>
              </w:rPr>
              <w:t xml:space="preserve"> Режимы использования земель и требования к градостроительным регламентам в границах зон охраны объекта культурного наследия не применяются к правоотношениям, связанны</w:t>
            </w:r>
            <w:r>
              <w:rPr>
                <w:rFonts w:cs="Arial"/>
                <w:lang w:eastAsia="ru-RU"/>
              </w:rPr>
              <w:t xml:space="preserve">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 до вступления в силу правового акта об утверждении зон охраны объекта культурного наследия.</w:t>
            </w:r>
            <w:r/>
          </w:p>
          <w:p>
            <w:pPr>
              <w:ind w:left="132" w:right="132"/>
              <w:jc w:val="both"/>
              <w:rPr>
                <w:rFonts w:cs="Arial"/>
                <w:lang w:eastAsia="ru-RU"/>
              </w:rPr>
            </w:pPr>
            <w:r>
              <w:rPr>
                <w:rFonts w:cs="Arial"/>
                <w:lang w:eastAsia="ru-RU"/>
              </w:rPr>
              <w:t xml:space="preserve">  Реконструкция объектов капитального строительства и их частей может осуществляться только путем приведения таких объектов в соответствие с режимами использования земель и градостроительными регламентами, установленными в граница</w:t>
            </w:r>
            <w:r>
              <w:rPr>
                <w:rFonts w:cs="Arial"/>
                <w:lang w:eastAsia="ru-RU"/>
              </w:rPr>
              <w:br/>
              <w:t xml:space="preserve"> зон охраны объекта культурного наследия, или путем уменьшения</w:t>
            </w:r>
            <w:r>
              <w:rPr>
                <w:rFonts w:cs="Arial"/>
                <w:lang w:eastAsia="ru-RU"/>
              </w:rPr>
              <w:br/>
              <w:t xml:space="preserve">их несоответствия установленным предельным параметрам разрешенного строительства.</w:t>
            </w:r>
            <w:r/>
          </w:p>
        </w:tc>
      </w:tr>
      <w:tr>
        <w:trPr>
          <w:trHeight w:val="23"/>
        </w:trPr>
        <w:tc>
          <w:tcPr>
            <w:tcW w:w="2014" w:type="dxa"/>
            <w:textDirection w:val="lrTb"/>
            <w:noWrap w:val="false"/>
          </w:tcPr>
          <w:p>
            <w:pPr>
              <w:tabs>
                <w:tab w:val="left" w:pos="2520" w:leader="none"/>
              </w:tabs>
            </w:pPr>
            <w:r>
              <w:t xml:space="preserve">[12.0] Земельные участки (территории) общего пользования</w:t>
            </w:r>
            <w:r/>
          </w:p>
        </w:tc>
        <w:tc>
          <w:tcPr>
            <w:tcW w:w="3685" w:type="dxa"/>
            <w:textDirection w:val="lrTb"/>
            <w:noWrap w:val="false"/>
          </w:tcPr>
          <w:p>
            <w:pPr>
              <w:pStyle w:val="1051"/>
              <w:rPr>
                <w:rFonts w:ascii="Times New Roman" w:hAnsi="Times New Roman" w:cs="Times New Roman"/>
                <w:sz w:val="20"/>
                <w:szCs w:val="20"/>
              </w:rPr>
            </w:pPr>
            <w:r>
              <w:rPr>
                <w:rFonts w:ascii="Times New Roman" w:hAnsi="Times New Roman" w:cs="Times New Roman"/>
                <w:sz w:val="20"/>
                <w:szCs w:val="20"/>
              </w:rPr>
              <w:t xml:space="preserve">Земельные участки общего пользования.</w:t>
            </w:r>
            <w:r/>
          </w:p>
          <w:p>
            <w:pPr>
              <w:jc w:val="both"/>
              <w:tabs>
                <w:tab w:val="left" w:pos="2520" w:leader="none"/>
              </w:tabs>
            </w:pPr>
            <w:r>
              <w:t xml:space="preserve">Содержание данного вида разрешенного использования включает в себя содержание видов разрешенного использования с </w:t>
            </w:r>
            <w:hyperlink r:id="rId65" w:tooltip="../ПЗЗ%202021%20год/Правила/Кавказская%20зона%202020%20новое%20ИЗМЕНЕНИЯ.doc#sub_11201" w:anchor="sub_11201" w:history="1">
              <w:r>
                <w:rPr>
                  <w:rStyle w:val="977"/>
                  <w:rFonts w:eastAsia="SimSun"/>
                </w:rPr>
                <w:t xml:space="preserve">кодами 12.0.1 - 12.0.2</w:t>
              </w:r>
            </w:hyperlink>
            <w:r/>
            <w:r/>
          </w:p>
        </w:tc>
        <w:tc>
          <w:tcPr>
            <w:tcW w:w="5387" w:type="dxa"/>
            <w:textDirection w:val="lrTb"/>
            <w:noWrap w:val="false"/>
          </w:tcPr>
          <w:p>
            <w:pPr>
              <w:ind w:left="132" w:right="116" w:firstLine="356"/>
              <w:jc w:val="center"/>
              <w:tabs>
                <w:tab w:val="left" w:pos="1134" w:leader="none"/>
              </w:tabs>
            </w:pPr>
            <w:r>
              <w:t xml:space="preserve">Регламенты не распространяются</w:t>
            </w:r>
            <w:r/>
          </w:p>
          <w:p>
            <w:pPr>
              <w:ind w:firstLine="356"/>
              <w:jc w:val="center"/>
              <w:tabs>
                <w:tab w:val="left" w:pos="1134" w:leader="none"/>
              </w:tabs>
            </w:pPr>
            <w:r>
              <w:t xml:space="preserve">(не подлежат установлению)</w:t>
            </w:r>
            <w:r/>
          </w:p>
        </w:tc>
        <w:tc>
          <w:tcPr>
            <w:tcW w:w="3950" w:type="dxa"/>
            <w:textDirection w:val="lrTb"/>
            <w:noWrap w:val="false"/>
          </w:tcPr>
          <w:p>
            <w:pPr>
              <w:ind w:left="132" w:right="132"/>
              <w:jc w:val="both"/>
              <w:tabs>
                <w:tab w:val="left" w:pos="1134" w:leader="none"/>
                <w:tab w:val="left" w:pos="3071" w:leader="none"/>
              </w:tabs>
            </w:pPr>
            <w:r>
              <w:rPr>
                <w:lang w:eastAsia="ru-RU"/>
              </w:rPr>
              <w:t xml:space="preserve">На территориях общего пользования не разрешается возведение объектов капитального строительства, за исключением объектов инженерной инфраструктуры, линейных объектов, а </w:t>
            </w:r>
            <w:r>
              <w:rPr>
                <w:lang w:eastAsia="ru-RU"/>
              </w:rPr>
              <w:t xml:space="preserve">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r/>
          </w:p>
        </w:tc>
      </w:tr>
      <w:tr>
        <w:trPr>
          <w:trHeight w:val="23"/>
        </w:trPr>
        <w:tc>
          <w:tcPr>
            <w:tcW w:w="2014" w:type="dxa"/>
            <w:textDirection w:val="lrTb"/>
            <w:noWrap w:val="false"/>
          </w:tcPr>
          <w:p>
            <w:pPr>
              <w:ind w:left="161"/>
              <w:tabs>
                <w:tab w:val="left" w:pos="2520" w:leader="none"/>
              </w:tabs>
            </w:pPr>
            <w:r>
              <w:t xml:space="preserve">[12.0.2] Благоустройство территории</w:t>
            </w:r>
            <w:r/>
          </w:p>
        </w:tc>
        <w:tc>
          <w:tcPr>
            <w:tcW w:w="3685" w:type="dxa"/>
            <w:textDirection w:val="lrTb"/>
            <w:noWrap w:val="false"/>
          </w:tcPr>
          <w:p>
            <w:pPr>
              <w:ind w:left="131" w:right="132"/>
              <w:jc w:val="both"/>
              <w:tabs>
                <w:tab w:val="left" w:pos="2520" w:leader="none"/>
              </w:tabs>
            </w:pPr>
            <w: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w:t>
            </w:r>
            <w:r>
              <w:br/>
              <w:t xml:space="preserve">сооружений, информационных щитов и указателей, применяемых как составные части благоустройства территории,</w:t>
            </w:r>
            <w:r>
              <w:br/>
              <w:t xml:space="preserve">общественных туалетов</w:t>
            </w:r>
            <w:r/>
          </w:p>
        </w:tc>
        <w:tc>
          <w:tcPr>
            <w:tcW w:w="5387" w:type="dxa"/>
            <w:textDirection w:val="lrTb"/>
            <w:noWrap w:val="false"/>
          </w:tcPr>
          <w:p>
            <w:pPr>
              <w:ind w:left="132" w:right="116" w:firstLine="356"/>
              <w:jc w:val="center"/>
              <w:tabs>
                <w:tab w:val="left" w:pos="1134" w:leader="none"/>
              </w:tabs>
            </w:pPr>
            <w:r>
              <w:t xml:space="preserve">Регламенты не распространяются</w:t>
            </w:r>
            <w:r/>
          </w:p>
          <w:p>
            <w:pPr>
              <w:ind w:firstLine="356"/>
              <w:jc w:val="center"/>
              <w:tabs>
                <w:tab w:val="left" w:pos="1134" w:leader="none"/>
              </w:tabs>
            </w:pPr>
            <w:r>
              <w:t xml:space="preserve">(не подлежат установлению)</w:t>
            </w:r>
            <w:r/>
          </w:p>
        </w:tc>
        <w:tc>
          <w:tcPr>
            <w:tcW w:w="3950" w:type="dxa"/>
            <w:textDirection w:val="lrTb"/>
            <w:noWrap w:val="false"/>
          </w:tcPr>
          <w:p>
            <w:pPr>
              <w:ind w:left="132" w:right="132"/>
              <w:jc w:val="both"/>
              <w:widowControl/>
              <w:rPr>
                <w:lang w:eastAsia="ru-RU"/>
              </w:rPr>
            </w:pPr>
            <w:r>
              <w:rPr>
                <w:lang w:eastAsia="ru-RU"/>
              </w:rPr>
              <w:t xml:space="preserve">  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r/>
          </w:p>
          <w:p>
            <w:pPr>
              <w:ind w:right="557"/>
              <w:tabs>
                <w:tab w:val="left" w:pos="1134" w:leader="none"/>
                <w:tab w:val="left" w:pos="3071" w:leader="none"/>
              </w:tabs>
            </w:pPr>
            <w:r/>
            <w:r/>
          </w:p>
        </w:tc>
      </w:tr>
      <w:tr>
        <w:trPr>
          <w:trHeight w:val="23"/>
        </w:trPr>
        <w:tc>
          <w:tcPr>
            <w:tcW w:w="2014" w:type="dxa"/>
            <w:textDirection w:val="lrTb"/>
            <w:noWrap w:val="false"/>
          </w:tcPr>
          <w:p>
            <w:pPr>
              <w:ind w:left="161"/>
              <w:tabs>
                <w:tab w:val="left" w:pos="2520" w:leader="none"/>
              </w:tabs>
            </w:pPr>
            <w:r>
              <w:t xml:space="preserve">[12.0.1] Улично-дорожная сеть</w:t>
            </w:r>
            <w:r/>
          </w:p>
        </w:tc>
        <w:tc>
          <w:tcPr>
            <w:tcW w:w="3685" w:type="dxa"/>
            <w:textDirection w:val="lrTb"/>
            <w:noWrap w:val="false"/>
          </w:tcPr>
          <w:p>
            <w:pPr>
              <w:pStyle w:val="1051"/>
              <w:ind w:left="131" w:right="132"/>
              <w:rPr>
                <w:rFonts w:ascii="Times New Roman" w:hAnsi="Times New Roman" w:cs="Times New Roman"/>
                <w:sz w:val="20"/>
                <w:szCs w:val="20"/>
              </w:rPr>
            </w:pPr>
            <w:r>
              <w:rPr>
                <w:rFonts w:ascii="Times New Roman" w:hAnsi="Times New Roman" w:cs="Times New Roman"/>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w:t>
            </w:r>
            <w:r>
              <w:rPr>
                <w:rFonts w:ascii="Times New Roman" w:hAnsi="Times New Roman" w:cs="Times New Roman"/>
                <w:sz w:val="20"/>
                <w:szCs w:val="20"/>
              </w:rPr>
              <w:t xml:space="preserve">,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66" w:tooltip="../ПЗЗ%202021%20год/Правила/Кавказская%20зона%202020%20новое%20ИЗМЕНЕНИЯ.doc#sub_10271" w:anchor="sub_10271" w:history="1">
              <w:r>
                <w:rPr>
                  <w:rStyle w:val="977"/>
                  <w:rFonts w:ascii="Times New Roman" w:hAnsi="Times New Roman" w:eastAsia="SimSun"/>
                  <w:sz w:val="20"/>
                  <w:szCs w:val="20"/>
                </w:rPr>
                <w:t xml:space="preserve">кодами 2.7.1</w:t>
              </w:r>
            </w:hyperlink>
            <w:r>
              <w:rPr>
                <w:rFonts w:ascii="Times New Roman" w:hAnsi="Times New Roman" w:cs="Times New Roman"/>
                <w:sz w:val="20"/>
                <w:szCs w:val="20"/>
              </w:rPr>
              <w:t xml:space="preserve">, </w:t>
            </w:r>
            <w:hyperlink r:id="rId67" w:tooltip="../ПЗЗ%202021%20год/Правила/Кавказская%20зона%202020%20новое%20ИЗМЕНЕНИЯ.doc#sub_1049" w:anchor="sub_1049" w:history="1">
              <w:r>
                <w:rPr>
                  <w:rStyle w:val="977"/>
                  <w:rFonts w:ascii="Times New Roman" w:hAnsi="Times New Roman" w:eastAsia="SimSun"/>
                  <w:sz w:val="20"/>
                  <w:szCs w:val="20"/>
                </w:rPr>
                <w:t xml:space="preserve">4.9</w:t>
              </w:r>
            </w:hyperlink>
            <w:r>
              <w:rPr>
                <w:rFonts w:ascii="Times New Roman" w:hAnsi="Times New Roman" w:cs="Times New Roman"/>
                <w:sz w:val="20"/>
                <w:szCs w:val="20"/>
              </w:rPr>
              <w:t xml:space="preserve">, </w:t>
            </w:r>
            <w:hyperlink r:id="rId68" w:tooltip="../ПЗЗ%202021%20год/Правила/Кавказская%20зона%202020%20новое%20ИЗМЕНЕНИЯ.doc#sub_1723" w:anchor="sub_1723" w:history="1">
              <w:r>
                <w:rPr>
                  <w:rStyle w:val="977"/>
                  <w:rFonts w:ascii="Times New Roman" w:hAnsi="Times New Roman" w:eastAsia="SimSun"/>
                  <w:sz w:val="20"/>
                  <w:szCs w:val="20"/>
                </w:rPr>
                <w:t xml:space="preserve">7.2.3</w:t>
              </w:r>
            </w:hyperlink>
            <w:r>
              <w:rPr>
                <w:rFonts w:ascii="Times New Roman" w:hAnsi="Times New Roman" w:cs="Times New Roman"/>
                <w:sz w:val="20"/>
                <w:szCs w:val="20"/>
              </w:rPr>
              <w:t xml:space="preserve">, а также некапитальных сооружений, предназначенных для охраны транспортных средств</w:t>
            </w:r>
            <w:r/>
          </w:p>
        </w:tc>
        <w:tc>
          <w:tcPr>
            <w:tcW w:w="5387" w:type="dxa"/>
            <w:textDirection w:val="lrTb"/>
            <w:noWrap w:val="false"/>
          </w:tcPr>
          <w:p>
            <w:pPr>
              <w:ind w:left="132" w:right="116" w:firstLine="356"/>
              <w:jc w:val="center"/>
              <w:tabs>
                <w:tab w:val="left" w:pos="1134" w:leader="none"/>
              </w:tabs>
            </w:pPr>
            <w:r>
              <w:t xml:space="preserve">Регламенты не распространяются</w:t>
            </w:r>
            <w:r/>
          </w:p>
          <w:p>
            <w:pPr>
              <w:ind w:firstLine="356"/>
              <w:jc w:val="center"/>
              <w:tabs>
                <w:tab w:val="left" w:pos="1134" w:leader="none"/>
              </w:tabs>
            </w:pPr>
            <w:r>
              <w:t xml:space="preserve">(не подлежат установлению)</w:t>
            </w:r>
            <w:r/>
          </w:p>
        </w:tc>
        <w:tc>
          <w:tcPr>
            <w:tcW w:w="3950" w:type="dxa"/>
            <w:textDirection w:val="lrTb"/>
            <w:noWrap w:val="false"/>
          </w:tcPr>
          <w:p>
            <w:pPr>
              <w:ind w:right="557"/>
              <w:tabs>
                <w:tab w:val="left" w:pos="1134" w:leader="none"/>
                <w:tab w:val="left" w:pos="3071" w:leader="none"/>
              </w:tabs>
            </w:pPr>
            <w:r/>
            <w:r/>
          </w:p>
        </w:tc>
      </w:tr>
    </w:tbl>
    <w:p>
      <w:pPr>
        <w:jc w:val="center"/>
        <w:tabs>
          <w:tab w:val="left" w:pos="2520" w:leader="none"/>
        </w:tabs>
      </w:pPr>
      <w:r/>
      <w:r/>
    </w:p>
    <w:p>
      <w:pPr>
        <w:jc w:val="center"/>
        <w:tabs>
          <w:tab w:val="left" w:pos="2520" w:leader="none"/>
        </w:tabs>
      </w:pPr>
      <w:r>
        <w:rPr>
          <w:b/>
          <w:color w:val="000000"/>
        </w:rPr>
        <w:t xml:space="preserve">УСЛОВНО РАЗРЕШЕННЫЕ ВИДЫ И ПАРАМЕТРЫ ИСПОЛЬЗОВАНИЯ</w:t>
      </w:r>
      <w:r/>
    </w:p>
    <w:p>
      <w:pPr>
        <w:ind w:firstLine="567"/>
        <w:jc w:val="center"/>
        <w:tabs>
          <w:tab w:val="left" w:pos="2520" w:leader="none"/>
        </w:tabs>
      </w:pPr>
      <w:r>
        <w:rPr>
          <w:b/>
          <w:color w:val="000000"/>
        </w:rPr>
        <w:t xml:space="preserve">ЗЕМЕЛЬНЫХ УЧАСТКОВ И ОБЪЕКТОВ КАПИТАЛЬНОГО СТРОИТЕЛЬСТВА</w:t>
      </w:r>
      <w:r/>
    </w:p>
    <w:p>
      <w:pPr>
        <w:ind w:firstLine="567"/>
        <w:jc w:val="center"/>
        <w:tabs>
          <w:tab w:val="left" w:pos="2520" w:leader="none"/>
        </w:tabs>
      </w:pPr>
      <w:r/>
      <w:r/>
    </w:p>
    <w:tbl>
      <w:tblPr>
        <w:tblW w:w="14892" w:type="dxa"/>
        <w:tblInd w:w="16"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left w:w="10" w:type="dxa"/>
          <w:right w:w="10" w:type="dxa"/>
        </w:tblCellMar>
        <w:tblLook w:val="04A0" w:firstRow="1" w:lastRow="0" w:firstColumn="1" w:lastColumn="0" w:noHBand="0" w:noVBand="1"/>
      </w:tblPr>
      <w:tblGrid>
        <w:gridCol w:w="1993"/>
        <w:gridCol w:w="3685"/>
        <w:gridCol w:w="5387"/>
        <w:gridCol w:w="3827"/>
      </w:tblGrid>
      <w:tr>
        <w:trPr>
          <w:trHeight w:val="1087"/>
          <w:tblHeader/>
        </w:trPr>
        <w:tc>
          <w:tcPr>
            <w:tcW w:w="1993" w:type="dxa"/>
            <w:vAlign w:val="center"/>
            <w:textDirection w:val="lrTb"/>
            <w:noWrap w:val="false"/>
          </w:tcPr>
          <w:p>
            <w:pPr>
              <w:jc w:val="center"/>
              <w:tabs>
                <w:tab w:val="left" w:pos="2520" w:leader="none"/>
              </w:tabs>
              <w:rPr>
                <w:b/>
              </w:rPr>
            </w:pPr>
            <w:r>
              <w:rPr>
                <w:rFonts w:eastAsia="SimSun"/>
                <w:lang w:eastAsia="zh-CN" w:bidi="ru-RU"/>
              </w:rPr>
              <w:t xml:space="preserve">[</w:t>
            </w:r>
            <w:r>
              <w:rPr>
                <w:b/>
              </w:rPr>
              <w:t xml:space="preserve">КОД (ЧИСЛОВОЕ ОБОЗНАЧЕНИЕ)</w:t>
            </w:r>
            <w:r>
              <w:rPr>
                <w:rFonts w:eastAsia="SimSun"/>
                <w:lang w:eastAsia="zh-CN" w:bidi="ru-RU"/>
              </w:rPr>
              <w:t xml:space="preserve">]-</w:t>
            </w:r>
            <w:r>
              <w:rPr>
                <w:b/>
              </w:rPr>
              <w:t xml:space="preserve"> НАИМЕНОВАНИЕ ВИДА</w:t>
            </w:r>
            <w:r>
              <w:rPr>
                <w:b/>
                <w:strike/>
              </w:rPr>
              <w:t xml:space="preserve"> </w:t>
            </w:r>
            <w:r>
              <w:rPr>
                <w:b/>
              </w:rPr>
              <w:t xml:space="preserve">РАЗРЕШЕННОГО ИСПОЛЬЗОВАНИЯ ЗЕМЕЛЬНЫХ УЧАСТКОВ</w:t>
            </w:r>
            <w:r/>
          </w:p>
        </w:tc>
        <w:tc>
          <w:tcPr>
            <w:tcW w:w="3685" w:type="dxa"/>
            <w:vAlign w:val="center"/>
            <w:textDirection w:val="lrTb"/>
            <w:noWrap w:val="false"/>
          </w:tcPr>
          <w:p>
            <w:pPr>
              <w:ind w:left="-10"/>
              <w:jc w:val="center"/>
              <w:tabs>
                <w:tab w:val="left" w:pos="2520" w:leader="none"/>
              </w:tabs>
              <w:rPr>
                <w:b/>
              </w:rPr>
            </w:pPr>
            <w:r>
              <w:rPr>
                <w:b/>
              </w:rPr>
              <w:t xml:space="preserve">ВИДЫ ОБЪЕКТОВ </w:t>
            </w:r>
            <w:r/>
          </w:p>
          <w:p>
            <w:pPr>
              <w:ind w:left="-10"/>
              <w:jc w:val="center"/>
              <w:tabs>
                <w:tab w:val="left" w:pos="2520" w:leader="none"/>
              </w:tabs>
              <w:rPr>
                <w:b/>
              </w:rPr>
            </w:pPr>
            <w:r>
              <w:rPr>
                <w:b/>
              </w:rPr>
              <w:t xml:space="preserve">КАПИТАЛЬНОГО СТРОИТЕЛЬСТВА</w:t>
            </w:r>
            <w:r/>
          </w:p>
        </w:tc>
        <w:tc>
          <w:tcPr>
            <w:tcW w:w="5387" w:type="dxa"/>
            <w:vAlign w:val="center"/>
            <w:textDirection w:val="lrTb"/>
            <w:noWrap w:val="false"/>
          </w:tcPr>
          <w:p>
            <w:pPr>
              <w:ind w:firstLine="356"/>
              <w:jc w:val="center"/>
              <w:tabs>
                <w:tab w:val="left" w:pos="2520" w:leader="none"/>
              </w:tabs>
              <w:rPr>
                <w:b/>
              </w:rPr>
            </w:pPr>
            <w:r>
              <w:rPr>
                <w:rFonts w:eastAsia="SimSun"/>
                <w:b/>
                <w:lang w:eastAsia="zh-CN" w:bidi="ru-RU"/>
              </w:rPr>
              <w:t xml:space="preserve">ПРЕДЕЛЬНЫЕ (МИНИМАЛЬНЫЕ И (ИЛИ) МАКСИМАЛЬНЫЕ РАЗМЕРЫ ЗЕМЕЛЬНЫХ УЧАСТКОВ И ПЕРЕДЕЛЬНЫЕ</w:t>
            </w:r>
            <w:r>
              <w:rPr>
                <w:rFonts w:eastAsia="SimSun"/>
                <w:lang w:eastAsia="zh-CN" w:bidi="ru-RU"/>
              </w:rPr>
              <w:t xml:space="preserve"> </w:t>
            </w:r>
            <w:r>
              <w:rPr>
                <w:b/>
              </w:rPr>
              <w:t xml:space="preserve">ПАРАМЕТРЫ РАЗРЕШЕННОГО ИСПОЛЬЗОВАНИЯ ЗЕМЕЛЬНЫХ УЧАСТКОВ И ОБЪЕКТОВ </w:t>
            </w:r>
            <w:r/>
          </w:p>
          <w:p>
            <w:pPr>
              <w:ind w:firstLine="356"/>
              <w:jc w:val="center"/>
              <w:tabs>
                <w:tab w:val="left" w:pos="2520" w:leader="none"/>
              </w:tabs>
              <w:rPr>
                <w:b/>
              </w:rPr>
            </w:pPr>
            <w:r>
              <w:rPr>
                <w:b/>
              </w:rPr>
              <w:t xml:space="preserve">КАПИТАЛЬНОГО СТРОИТЕЛЬСТВА</w:t>
            </w:r>
            <w:r>
              <w:rPr>
                <w:rFonts w:eastAsia="SimSun"/>
                <w:lang w:eastAsia="zh-CN" w:bidi="ru-RU"/>
              </w:rPr>
              <w:t xml:space="preserve"> </w:t>
            </w:r>
            <w:r/>
          </w:p>
        </w:tc>
        <w:tc>
          <w:tcPr>
            <w:tcW w:w="3827" w:type="dxa"/>
            <w:vAlign w:val="center"/>
            <w:textDirection w:val="lrTb"/>
            <w:noWrap w:val="false"/>
          </w:tcPr>
          <w:p>
            <w:pPr>
              <w:jc w:val="center"/>
              <w:tabs>
                <w:tab w:val="left" w:pos="3071" w:leader="none"/>
              </w:tabs>
              <w:rPr>
                <w:b/>
              </w:rPr>
            </w:pPr>
            <w:r>
              <w:rPr>
                <w:b/>
              </w:rPr>
              <w:t xml:space="preserve">ОСОБЫЕ УСЛОВИЯ РЕАЛИЗАЦИИ РЕГЛАМЕНТА </w:t>
            </w:r>
            <w:r/>
          </w:p>
        </w:tc>
      </w:tr>
      <w:tr>
        <w:trPr>
          <w:trHeight w:val="2129"/>
        </w:trPr>
        <w:tc>
          <w:tcPr>
            <w:tcW w:w="1993" w:type="dxa"/>
            <w:textDirection w:val="lrTb"/>
            <w:noWrap w:val="false"/>
          </w:tcPr>
          <w:p>
            <w:pPr>
              <w:ind w:left="161"/>
            </w:pPr>
            <w:r>
              <w:t xml:space="preserve">[3.4.1] Амбулаторно-поликлиническое обслуживание</w:t>
            </w:r>
            <w:r/>
          </w:p>
        </w:tc>
        <w:tc>
          <w:tcPr>
            <w:tcW w:w="3685" w:type="dxa"/>
            <w:textDirection w:val="lrTb"/>
            <w:noWrap w:val="false"/>
          </w:tcPr>
          <w:p>
            <w:pPr>
              <w:ind w:left="124" w:right="111"/>
              <w:jc w:val="both"/>
            </w:pPr>
            <w:r>
              <w:t xml:space="preserve">Размещение объектов капитального строительства, пре</w:t>
            </w:r>
            <w:r>
              <w:t xml:space="preserve">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r/>
          </w:p>
        </w:tc>
        <w:tc>
          <w:tcPr>
            <w:tcW w:w="5387" w:type="dxa"/>
            <w:textDirection w:val="lrTb"/>
            <w:noWrap w:val="false"/>
          </w:tcPr>
          <w:p>
            <w:pPr>
              <w:ind w:left="152" w:right="172"/>
              <w:jc w:val="both"/>
            </w:pPr>
            <w:r>
              <w:t xml:space="preserve">Минимальная/максимальная площадь земельных участков  – 500/15000 кв. м;</w:t>
            </w:r>
            <w:r/>
          </w:p>
          <w:p>
            <w:pPr>
              <w:ind w:left="152" w:right="172"/>
              <w:jc w:val="both"/>
            </w:pPr>
            <w:r>
              <w:t xml:space="preserve">максимальный процент застройки в границах земельного участка – 60%;</w:t>
            </w:r>
            <w:r/>
          </w:p>
          <w:p>
            <w:pPr>
              <w:ind w:left="152" w:right="172"/>
              <w:jc w:val="both"/>
            </w:pPr>
            <w:r>
              <w:t xml:space="preserve">максимальное количество надземных этажей зданий – 5 этажей;</w:t>
            </w:r>
            <w:r/>
          </w:p>
          <w:p>
            <w:pPr>
              <w:ind w:left="152" w:right="172"/>
              <w:jc w:val="both"/>
            </w:pPr>
            <w:r>
              <w:t xml:space="preserve">максимальная высота зданий, строений, сооружений от уровня земли - 25 м;</w:t>
            </w:r>
            <w:r/>
          </w:p>
          <w:p>
            <w:pPr>
              <w:ind w:left="152" w:right="172"/>
              <w:jc w:val="both"/>
            </w:pPr>
            <w:r>
              <w:t xml:space="preserve">минимальные отступы от красной линии – 5 м; от иных границ – 3 м;  </w:t>
            </w:r>
            <w:r/>
          </w:p>
          <w:p>
            <w:pPr>
              <w:ind w:left="152" w:right="172"/>
              <w:jc w:val="both"/>
            </w:pPr>
            <w:r>
              <w:t xml:space="preserve">минимальный процент озеленения – 10%</w:t>
            </w:r>
            <w:r/>
          </w:p>
        </w:tc>
        <w:tc>
          <w:tcPr>
            <w:tcW w:w="3827" w:type="dxa"/>
            <w:vAlign w:val="center"/>
            <w:vMerge w:val="restart"/>
            <w:textDirection w:val="lrTb"/>
            <w:noWrap w:val="false"/>
          </w:tcPr>
          <w:p>
            <w:pPr>
              <w:ind w:left="131" w:right="132"/>
              <w:jc w:val="both"/>
              <w:tabs>
                <w:tab w:val="left" w:pos="3071" w:leader="none"/>
              </w:tabs>
            </w:pPr>
            <w:r>
              <w:rPr>
                <w:shd w:val="clear" w:color="auto" w:fill="ffffff"/>
              </w:rPr>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r>
              <w:t xml:space="preserve"> </w:t>
            </w:r>
            <w:r/>
          </w:p>
          <w:p>
            <w:pPr>
              <w:ind w:left="131" w:right="132"/>
              <w:jc w:val="both"/>
              <w:tabs>
                <w:tab w:val="left" w:pos="3071" w:leader="none"/>
              </w:tabs>
            </w:pPr>
            <w:r/>
            <w:r/>
          </w:p>
          <w:p>
            <w:pPr>
              <w:ind w:left="131" w:right="132"/>
              <w:jc w:val="both"/>
              <w:tabs>
                <w:tab w:val="left" w:pos="3071" w:leader="none"/>
              </w:tabs>
            </w:pPr>
            <w: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статье 29 настоящих Правил.</w:t>
            </w:r>
            <w:r/>
          </w:p>
          <w:p>
            <w:pPr>
              <w:ind w:left="131" w:right="132"/>
              <w:jc w:val="both"/>
              <w:tabs>
                <w:tab w:val="left" w:pos="3071" w:leader="none"/>
              </w:tabs>
            </w:pPr>
            <w:r/>
            <w:r/>
          </w:p>
          <w:p>
            <w:pPr>
              <w:ind w:left="131" w:right="132"/>
              <w:jc w:val="both"/>
              <w:tabs>
                <w:tab w:val="left" w:pos="3071" w:leader="none"/>
              </w:tabs>
              <w:rPr>
                <w:rFonts w:eastAsia="SimSun"/>
                <w:lang w:eastAsia="zh-CN" w:bidi="ru-RU"/>
              </w:rPr>
            </w:pPr>
            <w:r>
              <w:rPr>
                <w:rFonts w:eastAsia="SimSun"/>
                <w:lang w:eastAsia="zh-CN" w:bidi="ru-RU"/>
              </w:rPr>
              <w:t xml:space="preserve">На территор</w:t>
            </w:r>
            <w:r>
              <w:rPr>
                <w:rFonts w:eastAsia="SimSun"/>
                <w:lang w:eastAsia="zh-CN" w:bidi="ru-RU"/>
              </w:rPr>
              <w:t xml:space="preserve">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w:t>
            </w:r>
            <w:r>
              <w:rPr>
                <w:rFonts w:eastAsia="SimSun"/>
                <w:sz w:val="24"/>
                <w:szCs w:val="24"/>
                <w:lang w:eastAsia="zh-CN" w:bidi="ru-RU"/>
              </w:rPr>
              <w:t xml:space="preserve"> </w:t>
            </w:r>
            <w:r>
              <w:rPr>
                <w:rFonts w:eastAsia="SimSun"/>
                <w:lang w:eastAsia="zh-CN" w:bidi="ru-RU"/>
              </w:rPr>
              <w:t xml:space="preserve">6 м.</w:t>
            </w:r>
            <w:r/>
          </w:p>
          <w:p>
            <w:pPr>
              <w:ind w:left="131" w:right="140"/>
              <w:jc w:val="both"/>
              <w:tabs>
                <w:tab w:val="left" w:pos="3071" w:leader="none"/>
              </w:tabs>
              <w:rPr>
                <w:shd w:val="clear" w:color="auto" w:fill="ffffff"/>
              </w:rPr>
            </w:pPr>
            <w:r>
              <w:rPr>
                <w:shd w:val="clear" w:color="auto" w:fill="ffffff"/>
              </w:rPr>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r/>
          </w:p>
          <w:p>
            <w:pPr>
              <w:ind w:left="131" w:right="140"/>
              <w:jc w:val="both"/>
              <w:tabs>
                <w:tab w:val="left" w:pos="3071" w:leader="none"/>
              </w:tabs>
            </w:pPr>
            <w:r/>
            <w:r/>
          </w:p>
          <w:p>
            <w:pPr>
              <w:ind w:left="131" w:right="140"/>
              <w:jc w:val="both"/>
              <w:tabs>
                <w:tab w:val="left" w:pos="3071" w:leader="none"/>
              </w:tabs>
            </w:pPr>
            <w: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статье 29 настоящих Правил.</w:t>
            </w:r>
            <w:r/>
          </w:p>
          <w:p>
            <w:pPr>
              <w:ind w:left="131" w:right="140"/>
              <w:jc w:val="both"/>
              <w:tabs>
                <w:tab w:val="left" w:pos="3071" w:leader="none"/>
              </w:tabs>
            </w:pPr>
            <w:r/>
            <w:r/>
          </w:p>
          <w:p>
            <w:pPr>
              <w:ind w:left="131" w:right="140"/>
              <w:jc w:val="both"/>
              <w:tabs>
                <w:tab w:val="left" w:pos="3071" w:leader="none"/>
              </w:tabs>
              <w:rPr>
                <w:rFonts w:eastAsia="SimSun"/>
                <w:lang w:eastAsia="zh-CN" w:bidi="ru-RU"/>
              </w:rPr>
            </w:pPr>
            <w:r>
              <w:rPr>
                <w:rFonts w:eastAsia="SimSun"/>
                <w:lang w:eastAsia="zh-CN" w:bidi="ru-RU"/>
              </w:rPr>
              <w:t xml:space="preserve">Наземные стоянки и парковки для </w:t>
            </w:r>
            <w:r>
              <w:rPr>
                <w:rFonts w:eastAsia="SimSun"/>
                <w:lang w:eastAsia="zh-CN" w:bidi="ru-RU"/>
              </w:rPr>
              <w:t xml:space="preserve">обе</w:t>
            </w:r>
            <w:r>
              <w:rPr>
                <w:rFonts w:eastAsia="SimSun"/>
                <w:lang w:eastAsia="zh-CN" w:bidi="ru-RU"/>
              </w:rPr>
              <w:t xml:space="preserve">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r/>
          </w:p>
          <w:p>
            <w:pPr>
              <w:ind w:left="131" w:right="140"/>
              <w:jc w:val="both"/>
              <w:tabs>
                <w:tab w:val="left" w:pos="3071" w:leader="none"/>
              </w:tabs>
              <w:rPr>
                <w:rFonts w:eastAsia="SimSun"/>
                <w:lang w:eastAsia="zh-CN" w:bidi="ru-RU"/>
              </w:rPr>
            </w:pPr>
            <w:r>
              <w:rPr>
                <w:rFonts w:eastAsia="SimSun"/>
                <w:lang w:eastAsia="zh-CN" w:bidi="ru-RU"/>
              </w:rPr>
            </w:r>
            <w:r/>
          </w:p>
          <w:p>
            <w:pPr>
              <w:ind w:left="131" w:right="132"/>
              <w:jc w:val="both"/>
              <w:widowControl/>
              <w:rPr>
                <w:lang w:eastAsia="ru-RU"/>
              </w:rPr>
            </w:pPr>
            <w:r>
              <w:rPr>
                <w:lang w:eastAsia="ru-RU"/>
              </w:rPr>
              <w:t xml:space="preserve"> Объекты по оказанию услуг и обслуживанию населения допускается размещать в отдельно стоящих, встроенных или пристроенных строениях с изолированными от жилых зданий или их частей входами с учетом следующих условий:</w:t>
            </w:r>
            <w:r/>
          </w:p>
          <w:p>
            <w:pPr>
              <w:ind w:left="131" w:right="132"/>
              <w:jc w:val="both"/>
              <w:widowControl/>
              <w:rPr>
                <w:lang w:eastAsia="ru-RU"/>
              </w:rPr>
            </w:pPr>
            <w:r>
              <w:rPr>
                <w:lang w:eastAsia="ru-RU"/>
              </w:rPr>
              <w:t xml:space="preserve">- обустройство входа с созданием условий для беспрепятственного доступа маломобильных граждан к месту получения услуги (обслуживания);</w:t>
            </w:r>
            <w:r/>
          </w:p>
          <w:p>
            <w:pPr>
              <w:ind w:left="131" w:right="132"/>
              <w:jc w:val="both"/>
              <w:widowControl/>
              <w:rPr>
                <w:lang w:eastAsia="ru-RU"/>
              </w:rPr>
            </w:pPr>
            <w:r>
              <w:rPr>
                <w:lang w:eastAsia="ru-RU"/>
              </w:rPr>
              <w:t xml:space="preserve">- оборудование площадок для стоянки автомобилей посетителей;</w:t>
            </w:r>
            <w:r/>
          </w:p>
          <w:p>
            <w:pPr>
              <w:ind w:left="131" w:right="132"/>
              <w:jc w:val="both"/>
              <w:widowControl/>
              <w:tabs>
                <w:tab w:val="left" w:pos="416" w:leader="none"/>
                <w:tab w:val="left" w:pos="1266" w:leader="none"/>
              </w:tabs>
              <w:rPr>
                <w:lang w:eastAsia="ru-RU"/>
              </w:rPr>
            </w:pPr>
            <w:r>
              <w:rPr>
                <w:lang w:eastAsia="ru-RU"/>
              </w:rPr>
              <w:t xml:space="preserve">- соблюдение норм благоустройства, установленных соответствующими муниципальными правовыми актами.</w:t>
            </w:r>
            <w:r/>
          </w:p>
          <w:p>
            <w:pPr>
              <w:ind w:left="131" w:right="132"/>
              <w:jc w:val="both"/>
              <w:widowControl/>
              <w:tabs>
                <w:tab w:val="left" w:pos="416" w:leader="none"/>
                <w:tab w:val="left" w:pos="1266" w:leader="none"/>
              </w:tabs>
              <w:rPr>
                <w:lang w:eastAsia="ru-RU"/>
              </w:rPr>
            </w:pPr>
            <w:r>
              <w:rPr>
                <w:lang w:eastAsia="ru-RU"/>
              </w:rPr>
            </w:r>
            <w:r/>
          </w:p>
          <w:p>
            <w:pPr>
              <w:ind w:left="131" w:right="132"/>
              <w:jc w:val="both"/>
              <w:rPr>
                <w:rFonts w:eastAsia="Calibri"/>
              </w:rPr>
            </w:pPr>
            <w:r>
              <w:rPr>
                <w:rFonts w:eastAsia="Calibri"/>
              </w:rPr>
              <w:t xml:space="preserve">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r/>
          </w:p>
          <w:p>
            <w:pPr>
              <w:ind w:left="131" w:right="132"/>
              <w:jc w:val="both"/>
              <w:rPr>
                <w:rFonts w:eastAsia="Calibri"/>
              </w:rPr>
            </w:pPr>
            <w:r>
              <w:rPr>
                <w:rFonts w:eastAsia="Calibri"/>
              </w:rPr>
            </w:r>
            <w:r/>
          </w:p>
          <w:p>
            <w:pPr>
              <w:ind w:left="131" w:right="132"/>
              <w:jc w:val="both"/>
              <w:rPr>
                <w:rFonts w:eastAsia="Calibri"/>
              </w:rPr>
            </w:pPr>
            <w:r>
              <w:rPr>
                <w:rFonts w:eastAsia="Calibri"/>
              </w:rPr>
              <w:t xml:space="preserve">Расчетное количество парковочных мест определять по таблице 1 ст. 42 настоящих Правил.</w:t>
            </w:r>
            <w:r/>
          </w:p>
          <w:p>
            <w:pPr>
              <w:ind w:left="131" w:right="132"/>
              <w:jc w:val="both"/>
              <w:rPr>
                <w:rFonts w:eastAsia="Calibri"/>
              </w:rPr>
            </w:pPr>
            <w:r>
              <w:rPr>
                <w:rFonts w:eastAsia="Calibri"/>
              </w:rPr>
            </w:r>
            <w:r/>
          </w:p>
          <w:p>
            <w:pPr>
              <w:ind w:left="131" w:right="132"/>
              <w:jc w:val="both"/>
              <w:rPr>
                <w:rFonts w:eastAsia="Calibri"/>
              </w:rPr>
            </w:pPr>
            <w:r>
              <w:rPr>
                <w:rFonts w:eastAsia="Calibri"/>
              </w:rPr>
              <w:t xml:space="preserve">Допускается размещение парковок на землях общего пользования при наличии таких парковок с необходимым количеством парковочных мест по письменному согласованию с органами местного самоуправления сельского поселения.</w:t>
            </w:r>
            <w:r/>
          </w:p>
          <w:p>
            <w:pPr>
              <w:ind w:left="131" w:right="132"/>
              <w:jc w:val="both"/>
              <w:rPr>
                <w:rFonts w:eastAsia="Calibri"/>
              </w:rPr>
            </w:pPr>
            <w:r>
              <w:rPr>
                <w:rFonts w:eastAsia="Calibri"/>
              </w:rPr>
            </w:r>
            <w:r/>
          </w:p>
          <w:p>
            <w:pPr>
              <w:ind w:left="131" w:right="63"/>
              <w:jc w:val="both"/>
              <w:rPr>
                <w:shd w:val="clear" w:color="auto" w:fill="ffffff"/>
              </w:rPr>
            </w:pPr>
            <w:r>
              <w:rPr>
                <w:rFonts w:eastAsia="Calibri"/>
              </w:rPr>
              <w:t xml:space="preserve">При отсутствии в материалах проектной документации расчета СЗЗ, СЗЗ принимать в соответствии с СанПиН</w:t>
            </w:r>
            <w:r>
              <w:rPr>
                <w:rFonts w:ascii="Arial" w:hAnsi="Arial" w:cs="Arial"/>
                <w:sz w:val="27"/>
                <w:szCs w:val="27"/>
                <w:shd w:val="clear" w:color="auto" w:fill="ffffff"/>
              </w:rPr>
              <w:t xml:space="preserve"> </w:t>
            </w:r>
            <w:r>
              <w:rPr>
                <w:shd w:val="clear" w:color="auto" w:fill="ffffff"/>
              </w:rPr>
              <w:t xml:space="preserve">2.2.1/2.1.1.1200-03 "</w:t>
            </w:r>
            <w:r>
              <w:rPr>
                <w:bCs/>
                <w:shd w:val="clear" w:color="auto" w:fill="ffffff"/>
              </w:rPr>
              <w:t xml:space="preserve">Санитарно</w:t>
            </w:r>
            <w:r>
              <w:rPr>
                <w:shd w:val="clear" w:color="auto" w:fill="ffffff"/>
              </w:rPr>
              <w:t xml:space="preserve">-</w:t>
            </w:r>
            <w:r>
              <w:rPr>
                <w:bCs/>
                <w:shd w:val="clear" w:color="auto" w:fill="ffffff"/>
              </w:rPr>
              <w:t xml:space="preserve">защитные</w:t>
            </w:r>
            <w:r>
              <w:rPr>
                <w:shd w:val="clear" w:color="auto" w:fill="ffffff"/>
              </w:rPr>
              <w:t xml:space="preserve"> </w:t>
            </w:r>
            <w:r>
              <w:rPr>
                <w:bCs/>
                <w:shd w:val="clear" w:color="auto" w:fill="ffffff"/>
              </w:rPr>
              <w:t xml:space="preserve">зоны</w:t>
            </w:r>
            <w:r>
              <w:rPr>
                <w:shd w:val="clear" w:color="auto" w:fill="ffffff"/>
              </w:rPr>
              <w:t xml:space="preserve"> и </w:t>
            </w:r>
            <w:r>
              <w:rPr>
                <w:bCs/>
                <w:shd w:val="clear" w:color="auto" w:fill="ffffff"/>
              </w:rPr>
              <w:t xml:space="preserve">санитарная</w:t>
            </w:r>
            <w:r>
              <w:rPr>
                <w:shd w:val="clear" w:color="auto" w:fill="ffffff"/>
              </w:rPr>
              <w:t xml:space="preserve"> </w:t>
            </w:r>
            <w:r>
              <w:rPr>
                <w:bCs/>
                <w:shd w:val="clear" w:color="auto" w:fill="ffffff"/>
              </w:rPr>
              <w:t xml:space="preserve">классификация</w:t>
            </w:r>
            <w:r>
              <w:rPr>
                <w:shd w:val="clear" w:color="auto" w:fill="ffffff"/>
              </w:rPr>
              <w:t xml:space="preserve"> </w:t>
            </w:r>
            <w:r>
              <w:rPr>
                <w:bCs/>
                <w:shd w:val="clear" w:color="auto" w:fill="ffffff"/>
              </w:rPr>
              <w:t xml:space="preserve">предприятий</w:t>
            </w:r>
            <w:r>
              <w:rPr>
                <w:shd w:val="clear" w:color="auto" w:fill="ffffff"/>
              </w:rPr>
              <w:t xml:space="preserve">, </w:t>
            </w:r>
            <w:r>
              <w:rPr>
                <w:bCs/>
                <w:shd w:val="clear" w:color="auto" w:fill="ffffff"/>
              </w:rPr>
              <w:t xml:space="preserve">сооружений</w:t>
            </w:r>
            <w:r>
              <w:rPr>
                <w:shd w:val="clear" w:color="auto" w:fill="ffffff"/>
              </w:rPr>
              <w:t xml:space="preserve"> и иных объектов".</w:t>
            </w:r>
            <w:r/>
          </w:p>
          <w:p>
            <w:pPr>
              <w:ind w:left="131" w:right="63"/>
              <w:jc w:val="both"/>
              <w:rPr>
                <w:shd w:val="clear" w:color="auto" w:fill="ffffff"/>
              </w:rPr>
            </w:pPr>
            <w:r>
              <w:rPr>
                <w:shd w:val="clear" w:color="auto" w:fill="ffffff"/>
              </w:rPr>
            </w:r>
            <w:r/>
          </w:p>
          <w:p>
            <w:pPr>
              <w:ind w:left="131" w:right="63"/>
              <w:jc w:val="both"/>
              <w:rPr>
                <w:rFonts w:eastAsia="Calibri"/>
              </w:rPr>
            </w:pPr>
            <w:r>
              <w:rPr>
                <w:shd w:val="clear" w:color="auto" w:fill="ffffff"/>
              </w:rPr>
              <w:t xml:space="preserve">В материалах проектной документации указывать</w:t>
            </w:r>
            <w:r>
              <w:rPr>
                <w:rFonts w:ascii="Arial" w:hAnsi="Arial" w:cs="Arial"/>
                <w:sz w:val="26"/>
                <w:szCs w:val="26"/>
                <w:shd w:val="clear" w:color="auto" w:fill="ffffff"/>
              </w:rPr>
              <w:t xml:space="preserve"> </w:t>
            </w:r>
            <w:r>
              <w:rPr>
                <w:shd w:val="clear" w:color="auto" w:fill="ffffff"/>
              </w:rPr>
              <w:t xml:space="preserve">количество единовременно прибывающих на объекте человек для определения отношения объекта к объекту массового пребывания граждан.</w:t>
            </w:r>
            <w:r/>
          </w:p>
          <w:p>
            <w:pPr>
              <w:ind w:left="132" w:right="132" w:firstLine="283"/>
              <w:jc w:val="both"/>
              <w:rPr>
                <w:rFonts w:eastAsia="Calibri"/>
              </w:rPr>
            </w:pPr>
            <w:r>
              <w:rPr>
                <w:rFonts w:eastAsia="Calibri"/>
              </w:rPr>
            </w:r>
            <w:r/>
          </w:p>
          <w:p>
            <w:pPr>
              <w:ind w:left="132" w:right="132" w:firstLine="283"/>
              <w:jc w:val="both"/>
              <w:rPr>
                <w:rFonts w:eastAsia="Calibri"/>
              </w:rPr>
            </w:pPr>
            <w:r>
              <w:rPr>
                <w:rFonts w:eastAsia="Calibri"/>
              </w:rPr>
            </w:r>
            <w:r/>
          </w:p>
          <w:p>
            <w:pPr>
              <w:ind w:right="557" w:firstLine="356"/>
              <w:jc w:val="center"/>
              <w:tabs>
                <w:tab w:val="left" w:pos="3071" w:leader="none"/>
              </w:tabs>
              <w:rPr>
                <w:shd w:val="clear" w:color="auto" w:fill="ffffff"/>
              </w:rPr>
            </w:pPr>
            <w:r>
              <w:rPr>
                <w:shd w:val="clear" w:color="auto" w:fill="ffffff"/>
              </w:rPr>
            </w:r>
            <w:r/>
          </w:p>
        </w:tc>
      </w:tr>
      <w:tr>
        <w:trPr>
          <w:trHeight w:val="2129"/>
        </w:trPr>
        <w:tc>
          <w:tcPr>
            <w:tcW w:w="1993" w:type="dxa"/>
            <w:textDirection w:val="lrTb"/>
            <w:noWrap w:val="false"/>
          </w:tcPr>
          <w:p>
            <w:pPr>
              <w:ind w:left="140"/>
            </w:pPr>
            <w:r>
              <w:t xml:space="preserve">[3.10.1]  Амбулаторное ветеринарное обслуживание</w:t>
            </w:r>
            <w:r/>
          </w:p>
        </w:tc>
        <w:tc>
          <w:tcPr>
            <w:tcW w:w="3685" w:type="dxa"/>
            <w:textDirection w:val="lrTb"/>
            <w:noWrap w:val="false"/>
          </w:tcPr>
          <w:p>
            <w:pPr>
              <w:pStyle w:val="1051"/>
              <w:ind w:left="132" w:right="131"/>
              <w:rPr>
                <w:rFonts w:ascii="Times New Roman" w:hAnsi="Times New Roman" w:cs="Times New Roman"/>
                <w:sz w:val="20"/>
                <w:szCs w:val="20"/>
              </w:rPr>
            </w:pPr>
            <w:r>
              <w:rPr>
                <w:rFonts w:ascii="Times New Roman" w:hAnsi="Times New Roman" w:cs="Times New Roman"/>
                <w:sz w:val="20"/>
                <w:szCs w:val="20"/>
              </w:rPr>
              <w:t xml:space="preserve">Размещение объектов капитального строительства, предназначенных для оказания ветеринарных услуг без содержания животных</w:t>
            </w:r>
            <w:r/>
          </w:p>
        </w:tc>
        <w:tc>
          <w:tcPr>
            <w:tcW w:w="5387" w:type="dxa"/>
            <w:textDirection w:val="lrTb"/>
            <w:noWrap w:val="false"/>
          </w:tcPr>
          <w:p>
            <w:pPr>
              <w:ind w:left="132" w:right="132"/>
              <w:jc w:val="both"/>
              <w:rPr>
                <w:rFonts w:eastAsia="Calibri"/>
                <w:strike/>
              </w:rPr>
            </w:pPr>
            <w:r>
              <w:rPr>
                <w:rFonts w:eastAsia="Calibri"/>
              </w:rPr>
              <w:t xml:space="preserve">Минимальная/максимальная площадь земельных участков  – 400/5000 кв. м; максимальн</w:t>
            </w:r>
            <w:r>
              <w:rPr>
                <w:rFonts w:eastAsia="Calibri"/>
              </w:rPr>
              <w:t xml:space="preserve">ое количество надземных этажей зданий – 3 этажа (включая мансардный этаж);                                                                                                                  максимальный процент застройки в границах земельного участка – 60 %;</w:t>
            </w:r>
            <w:r/>
          </w:p>
          <w:p>
            <w:pPr>
              <w:ind w:left="132" w:right="132"/>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32" w:right="132"/>
              <w:jc w:val="both"/>
            </w:pPr>
            <w:r>
              <w:rPr>
                <w:rFonts w:eastAsia="SimSun"/>
                <w:lang w:eastAsia="zh-CN" w:bidi="ru-RU"/>
              </w:rPr>
              <w:t xml:space="preserve">минимальный процент озеленения земельного участка 10%.</w:t>
            </w:r>
            <w:r/>
          </w:p>
        </w:tc>
        <w:tc>
          <w:tcPr>
            <w:tcW w:w="3827" w:type="dxa"/>
            <w:vAlign w:val="center"/>
            <w:vMerge w:val="continue"/>
            <w:textDirection w:val="lrTb"/>
            <w:noWrap w:val="false"/>
          </w:tcPr>
          <w:p>
            <w:pPr>
              <w:ind w:right="557" w:firstLine="356"/>
              <w:jc w:val="center"/>
              <w:tabs>
                <w:tab w:val="left" w:pos="3071" w:leader="none"/>
              </w:tabs>
              <w:rPr>
                <w:b/>
              </w:rPr>
            </w:pPr>
            <w:r>
              <w:rPr>
                <w:b/>
              </w:rPr>
            </w:r>
            <w:r/>
          </w:p>
        </w:tc>
      </w:tr>
      <w:tr>
        <w:trPr>
          <w:trHeight w:val="380"/>
        </w:trPr>
        <w:tc>
          <w:tcPr>
            <w:tcW w:w="1993" w:type="dxa"/>
            <w:textDirection w:val="lrTb"/>
            <w:noWrap w:val="false"/>
          </w:tcPr>
          <w:p>
            <w:pPr>
              <w:ind w:left="140"/>
              <w:tabs>
                <w:tab w:val="left" w:pos="2520" w:leader="none"/>
              </w:tabs>
            </w:pPr>
            <w:r>
              <w:t xml:space="preserve">[3.7]  Религиозное использование</w:t>
            </w:r>
            <w:r/>
          </w:p>
        </w:tc>
        <w:tc>
          <w:tcPr>
            <w:tcW w:w="3685" w:type="dxa"/>
            <w:textDirection w:val="lrTb"/>
            <w:noWrap w:val="false"/>
          </w:tcPr>
          <w:p>
            <w:pPr>
              <w:ind w:left="110" w:right="132" w:firstLine="142"/>
              <w:jc w:val="both"/>
            </w:pPr>
            <w: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69" w:tooltip="../ПЗЗ%202021%20год/Правила/Кавказская%20зона%202020%20новое%20ИЗМЕНЕНИЯ.doc#sub_1371" w:anchor="sub_1371" w:history="1">
              <w:r>
                <w:rPr>
                  <w:rStyle w:val="977"/>
                  <w:rFonts w:eastAsia="SimSun"/>
                </w:rPr>
                <w:t xml:space="preserve">кодами 3.7.1-3.7.2</w:t>
              </w:r>
            </w:hyperlink>
            <w:r/>
            <w:r/>
          </w:p>
        </w:tc>
        <w:tc>
          <w:tcPr>
            <w:tcW w:w="5387" w:type="dxa"/>
            <w:textDirection w:val="lrTb"/>
            <w:noWrap w:val="false"/>
          </w:tcPr>
          <w:p>
            <w:pPr>
              <w:ind w:left="132" w:right="132"/>
              <w:jc w:val="both"/>
              <w:tabs>
                <w:tab w:val="left" w:pos="2520" w:leader="none"/>
              </w:tabs>
            </w:pPr>
            <w:r>
              <w:t xml:space="preserve">Минимальная/максимальная площадь земельных участков –500/5000 кв. м;</w:t>
            </w:r>
            <w:r/>
          </w:p>
          <w:p>
            <w:pPr>
              <w:ind w:left="132" w:right="132"/>
              <w:jc w:val="both"/>
              <w:tabs>
                <w:tab w:val="left" w:pos="2520" w:leader="none"/>
              </w:tabs>
            </w:pPr>
            <w:r>
              <w:t xml:space="preserve">максимальная высота зданий, строений, сооружений от уровня земли - 25 м; </w:t>
            </w:r>
            <w:r/>
          </w:p>
          <w:p>
            <w:pPr>
              <w:ind w:left="132" w:right="132"/>
              <w:jc w:val="both"/>
              <w:tabs>
                <w:tab w:val="left" w:pos="2520" w:leader="none"/>
              </w:tabs>
            </w:pPr>
            <w:r>
              <w:t xml:space="preserve">максимальный процент застройки в границах земельного участка – 60%;</w:t>
            </w:r>
            <w:r/>
          </w:p>
          <w:p>
            <w:pPr>
              <w:ind w:left="132" w:right="132"/>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32" w:right="132" w:firstLine="142"/>
              <w:jc w:val="both"/>
              <w:tabs>
                <w:tab w:val="left" w:pos="2520" w:leader="none"/>
              </w:tabs>
            </w:pPr>
            <w:r>
              <w:rPr>
                <w:rFonts w:eastAsia="SimSun"/>
                <w:lang w:eastAsia="zh-CN" w:bidi="ru-RU"/>
              </w:rPr>
              <w:t xml:space="preserve">минимальный процент озеленения земельного участка 15%.</w:t>
            </w:r>
            <w:r/>
          </w:p>
        </w:tc>
        <w:tc>
          <w:tcPr>
            <w:tcW w:w="3827" w:type="dxa"/>
            <w:vAlign w:val="center"/>
            <w:vMerge w:val="continue"/>
            <w:textDirection w:val="lrTb"/>
            <w:noWrap w:val="false"/>
          </w:tcPr>
          <w:p>
            <w:pPr>
              <w:ind w:right="557" w:firstLine="356"/>
              <w:jc w:val="center"/>
              <w:tabs>
                <w:tab w:val="left" w:pos="3071" w:leader="none"/>
              </w:tabs>
              <w:rPr>
                <w:b/>
              </w:rPr>
            </w:pPr>
            <w:r>
              <w:rPr>
                <w:b/>
              </w:rPr>
            </w:r>
            <w:r/>
          </w:p>
        </w:tc>
      </w:tr>
      <w:tr>
        <w:trPr>
          <w:trHeight w:val="285"/>
        </w:trPr>
        <w:tc>
          <w:tcPr>
            <w:tcW w:w="1993" w:type="dxa"/>
            <w:textDirection w:val="lrTb"/>
            <w:noWrap w:val="false"/>
          </w:tcPr>
          <w:p>
            <w:pPr>
              <w:ind w:left="140"/>
              <w:tabs>
                <w:tab w:val="left" w:pos="2520" w:leader="none"/>
              </w:tabs>
            </w:pPr>
            <w:r>
              <w:t xml:space="preserve">[3.7.1]  Осуществление религиозных обрядов</w:t>
            </w:r>
            <w:r/>
          </w:p>
        </w:tc>
        <w:tc>
          <w:tcPr>
            <w:tcW w:w="3685" w:type="dxa"/>
            <w:textDirection w:val="lrTb"/>
            <w:noWrap w:val="false"/>
          </w:tcPr>
          <w:p>
            <w:pPr>
              <w:ind w:left="110" w:right="132" w:firstLine="142"/>
              <w:jc w:val="both"/>
            </w:pPr>
            <w:r>
              <w:t xml:space="preserve">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w:t>
            </w:r>
            <w:r>
              <w:t xml:space="preserve">синагоги)</w:t>
            </w:r>
            <w:r/>
          </w:p>
        </w:tc>
        <w:tc>
          <w:tcPr>
            <w:tcW w:w="5387" w:type="dxa"/>
            <w:textDirection w:val="lrTb"/>
            <w:noWrap w:val="false"/>
          </w:tcPr>
          <w:p>
            <w:pPr>
              <w:ind w:left="132" w:right="132"/>
              <w:jc w:val="both"/>
              <w:tabs>
                <w:tab w:val="left" w:pos="2520" w:leader="none"/>
              </w:tabs>
            </w:pPr>
            <w:r>
              <w:t xml:space="preserve">Минимальная/максимальная площадь земельных участков –500/5000 кв. м;</w:t>
            </w:r>
            <w:r/>
          </w:p>
          <w:p>
            <w:pPr>
              <w:ind w:left="132" w:right="132"/>
              <w:jc w:val="both"/>
              <w:tabs>
                <w:tab w:val="left" w:pos="2520" w:leader="none"/>
              </w:tabs>
            </w:pPr>
            <w:r>
              <w:t xml:space="preserve">максимальная высота зданий, строений, сооружений от уровня земли - 25 м; </w:t>
            </w:r>
            <w:r/>
          </w:p>
          <w:p>
            <w:pPr>
              <w:ind w:left="132" w:right="132"/>
              <w:jc w:val="both"/>
              <w:tabs>
                <w:tab w:val="left" w:pos="2520" w:leader="none"/>
              </w:tabs>
            </w:pPr>
            <w:r>
              <w:t xml:space="preserve">максимальный процент застройки в границах земельного </w:t>
            </w:r>
            <w:r>
              <w:t xml:space="preserve">участка – 60%;</w:t>
            </w:r>
            <w:r/>
          </w:p>
          <w:p>
            <w:pPr>
              <w:ind w:left="132" w:right="132"/>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32" w:right="132"/>
              <w:jc w:val="both"/>
              <w:tabs>
                <w:tab w:val="left" w:pos="2520" w:leader="none"/>
              </w:tabs>
            </w:pPr>
            <w:r>
              <w:rPr>
                <w:rFonts w:eastAsia="SimSun"/>
                <w:lang w:eastAsia="zh-CN" w:bidi="ru-RU"/>
              </w:rPr>
              <w:t xml:space="preserve">минимальный процент озеленения земельного участка 15%.</w:t>
            </w:r>
            <w:r/>
          </w:p>
        </w:tc>
        <w:tc>
          <w:tcPr>
            <w:tcW w:w="3827" w:type="dxa"/>
            <w:vAlign w:val="center"/>
            <w:vMerge w:val="continue"/>
            <w:textDirection w:val="lrTb"/>
            <w:noWrap w:val="false"/>
          </w:tcPr>
          <w:p>
            <w:pPr>
              <w:ind w:right="557" w:firstLine="356"/>
              <w:jc w:val="center"/>
              <w:tabs>
                <w:tab w:val="left" w:pos="3071" w:leader="none"/>
              </w:tabs>
              <w:rPr>
                <w:b/>
              </w:rPr>
            </w:pPr>
            <w:r>
              <w:rPr>
                <w:b/>
              </w:rPr>
            </w:r>
            <w:r/>
          </w:p>
        </w:tc>
      </w:tr>
      <w:tr>
        <w:trPr>
          <w:trHeight w:val="285"/>
        </w:trPr>
        <w:tc>
          <w:tcPr>
            <w:tcW w:w="1993" w:type="dxa"/>
            <w:textDirection w:val="lrTb"/>
            <w:noWrap w:val="false"/>
          </w:tcPr>
          <w:p>
            <w:pPr>
              <w:ind w:left="140"/>
              <w:tabs>
                <w:tab w:val="left" w:pos="2520" w:leader="none"/>
              </w:tabs>
            </w:pPr>
            <w:r>
              <w:t xml:space="preserve">[3.7.2]  Религиозное управление и образование</w:t>
            </w:r>
            <w:r/>
          </w:p>
        </w:tc>
        <w:tc>
          <w:tcPr>
            <w:tcW w:w="3685" w:type="dxa"/>
            <w:textDirection w:val="lrTb"/>
            <w:noWrap w:val="false"/>
          </w:tcPr>
          <w:p>
            <w:pPr>
              <w:ind w:left="110" w:right="132" w:firstLine="142"/>
              <w:jc w:val="both"/>
            </w:pPr>
            <w:r>
              <w:t xml:space="preserve">Размещение зданий, предназначенных для постоянного местонахождения духовных лиц, паломнико</w:t>
            </w:r>
            <w:r>
              <w:t xml:space="preserve">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r/>
          </w:p>
        </w:tc>
        <w:tc>
          <w:tcPr>
            <w:tcW w:w="5387" w:type="dxa"/>
            <w:textDirection w:val="lrTb"/>
            <w:noWrap w:val="false"/>
          </w:tcPr>
          <w:p>
            <w:pPr>
              <w:ind w:left="132" w:right="132"/>
              <w:jc w:val="both"/>
              <w:tabs>
                <w:tab w:val="left" w:pos="2520" w:leader="none"/>
              </w:tabs>
            </w:pPr>
            <w:r>
              <w:t xml:space="preserve">Минимальная/максимальная площадь земельных участков –500/5000 кв. м;</w:t>
            </w:r>
            <w:r/>
          </w:p>
          <w:p>
            <w:pPr>
              <w:ind w:left="132" w:right="132"/>
              <w:jc w:val="both"/>
              <w:tabs>
                <w:tab w:val="left" w:pos="2520" w:leader="none"/>
              </w:tabs>
            </w:pPr>
            <w:r>
              <w:t xml:space="preserve">максимальная высота зданий, строений, сооружений от уровня земли - 15 м;</w:t>
            </w:r>
            <w:r/>
          </w:p>
          <w:p>
            <w:pPr>
              <w:ind w:left="132" w:right="132"/>
              <w:jc w:val="both"/>
              <w:tabs>
                <w:tab w:val="left" w:pos="2520" w:leader="none"/>
              </w:tabs>
            </w:pPr>
            <w:r>
              <w:t xml:space="preserve">максимальный процент застройки в границах земельного участка – 60%;</w:t>
            </w:r>
            <w:r/>
          </w:p>
          <w:p>
            <w:pPr>
              <w:ind w:left="132" w:right="132"/>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32" w:right="132"/>
              <w:jc w:val="both"/>
              <w:tabs>
                <w:tab w:val="left" w:pos="2520" w:leader="none"/>
              </w:tabs>
            </w:pPr>
            <w:r>
              <w:rPr>
                <w:rFonts w:eastAsia="SimSun"/>
                <w:lang w:eastAsia="zh-CN" w:bidi="ru-RU"/>
              </w:rPr>
              <w:t xml:space="preserve">минимальный процент озеленения земельного участка 15%.</w:t>
            </w:r>
            <w:r/>
          </w:p>
        </w:tc>
        <w:tc>
          <w:tcPr>
            <w:tcW w:w="3827" w:type="dxa"/>
            <w:vAlign w:val="center"/>
            <w:vMerge w:val="continue"/>
            <w:textDirection w:val="lrTb"/>
            <w:noWrap w:val="false"/>
          </w:tcPr>
          <w:p>
            <w:pPr>
              <w:ind w:right="557" w:firstLine="356"/>
              <w:jc w:val="center"/>
              <w:tabs>
                <w:tab w:val="left" w:pos="3071" w:leader="none"/>
              </w:tabs>
              <w:rPr>
                <w:b/>
              </w:rPr>
            </w:pPr>
            <w:r>
              <w:rPr>
                <w:b/>
              </w:rPr>
            </w:r>
            <w:r/>
          </w:p>
        </w:tc>
      </w:tr>
      <w:tr>
        <w:trPr>
          <w:trHeight w:val="294"/>
        </w:trPr>
        <w:tc>
          <w:tcPr>
            <w:tcW w:w="1993" w:type="dxa"/>
            <w:textDirection w:val="lrTb"/>
            <w:noWrap w:val="false"/>
          </w:tcPr>
          <w:p>
            <w:pPr>
              <w:ind w:left="140"/>
              <w:rPr>
                <w:rFonts w:eastAsia="SimSun"/>
                <w:lang w:eastAsia="zh-CN" w:bidi="ru-RU"/>
              </w:rPr>
            </w:pPr>
            <w:r>
              <w:rPr>
                <w:rFonts w:eastAsia="SimSun"/>
                <w:lang w:eastAsia="zh-CN" w:bidi="ru-RU"/>
              </w:rPr>
              <w:t xml:space="preserve">[4</w:t>
            </w:r>
            <w:r>
              <w:rPr>
                <w:lang w:eastAsia="zh-CN" w:bidi="ru-RU"/>
              </w:rPr>
              <w:t xml:space="preserve">.1</w:t>
            </w:r>
            <w:r>
              <w:rPr>
                <w:rFonts w:eastAsia="SimSun"/>
                <w:lang w:eastAsia="zh-CN" w:bidi="ru-RU"/>
              </w:rPr>
              <w:t xml:space="preserve">] - Деловое управление </w:t>
            </w:r>
            <w:r/>
          </w:p>
        </w:tc>
        <w:tc>
          <w:tcPr>
            <w:tcW w:w="3685" w:type="dxa"/>
            <w:textDirection w:val="lrTb"/>
            <w:noWrap w:val="false"/>
          </w:tcPr>
          <w:p>
            <w:pPr>
              <w:ind w:left="110" w:right="132" w:firstLine="142"/>
              <w:jc w:val="both"/>
              <w:rPr>
                <w:rFonts w:eastAsia="SimSun"/>
                <w:lang w:eastAsia="zh-CN" w:bidi="ru-RU"/>
              </w:rPr>
            </w:pPr>
            <w:r>
              <w:rPr>
                <w:rFonts w:ascii="Times New Roman CYR" w:hAnsi="Times New Roman CYR" w:cs="Times New Roman CYR"/>
                <w:lang w:eastAsia="ru-RU" w:bidi="ru-RU"/>
              </w:rPr>
              <w:t xml:space="preserve">Размещение объектов капитального строительства с целью: размещения объектов управленческой деятельности, не связанной с государственным</w:t>
            </w:r>
            <w:r>
              <w:rPr>
                <w:rFonts w:ascii="Times New Roman CYR" w:hAnsi="Times New Roman CYR" w:cs="Times New Roman CYR"/>
                <w:lang w:eastAsia="ru-RU" w:bidi="ru-RU"/>
              </w:rPr>
              <w:t xml:space="preserve">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r/>
          </w:p>
        </w:tc>
        <w:tc>
          <w:tcPr>
            <w:tcW w:w="5387" w:type="dxa"/>
            <w:textDirection w:val="lrTb"/>
            <w:noWrap w:val="false"/>
          </w:tcPr>
          <w:p>
            <w:pPr>
              <w:ind w:left="132" w:right="132"/>
              <w:jc w:val="both"/>
              <w:tabs>
                <w:tab w:val="left" w:pos="2520" w:leader="none"/>
              </w:tabs>
            </w:pPr>
            <w:r>
              <w:t xml:space="preserve">Минимальная/максимальная площадь земельных участков –100/5000 кв. м;</w:t>
            </w:r>
            <w:r/>
          </w:p>
          <w:p>
            <w:pPr>
              <w:ind w:left="132" w:right="132"/>
              <w:jc w:val="both"/>
              <w:tabs>
                <w:tab w:val="left" w:pos="2520" w:leader="none"/>
              </w:tabs>
            </w:pPr>
            <w:r>
              <w:t xml:space="preserve">максимальная высота зданий, строений, сооружений от уровня земли - 12 м;</w:t>
            </w:r>
            <w:r/>
          </w:p>
          <w:p>
            <w:pPr>
              <w:ind w:left="132" w:right="132"/>
              <w:jc w:val="both"/>
              <w:tabs>
                <w:tab w:val="left" w:pos="2520" w:leader="none"/>
              </w:tabs>
            </w:pPr>
            <w:r>
              <w:t xml:space="preserve">максимальный процент застройки в границах земельного участка – 60%;</w:t>
            </w:r>
            <w:r/>
          </w:p>
          <w:p>
            <w:pPr>
              <w:ind w:left="132" w:right="132"/>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32" w:right="132"/>
              <w:jc w:val="both"/>
              <w:tabs>
                <w:tab w:val="left" w:pos="2520" w:leader="none"/>
              </w:tabs>
            </w:pPr>
            <w:r>
              <w:rPr>
                <w:rFonts w:eastAsia="SimSun"/>
                <w:lang w:eastAsia="zh-CN" w:bidi="ru-RU"/>
              </w:rPr>
              <w:t xml:space="preserve">минимальный процент озеленения земельного участка 15%.</w:t>
            </w:r>
            <w:r/>
          </w:p>
        </w:tc>
        <w:tc>
          <w:tcPr>
            <w:tcW w:w="3827" w:type="dxa"/>
            <w:vAlign w:val="center"/>
            <w:vMerge w:val="continue"/>
            <w:textDirection w:val="lrTb"/>
            <w:noWrap w:val="false"/>
          </w:tcPr>
          <w:p>
            <w:pPr>
              <w:ind w:right="557" w:firstLine="356"/>
              <w:jc w:val="center"/>
              <w:tabs>
                <w:tab w:val="left" w:pos="3071" w:leader="none"/>
              </w:tabs>
              <w:rPr>
                <w:b/>
              </w:rPr>
            </w:pPr>
            <w:r>
              <w:rPr>
                <w:b/>
              </w:rPr>
            </w:r>
            <w:r/>
          </w:p>
        </w:tc>
      </w:tr>
      <w:tr>
        <w:trPr>
          <w:trHeight w:val="294"/>
        </w:trPr>
        <w:tc>
          <w:tcPr>
            <w:tcW w:w="1993" w:type="dxa"/>
            <w:textDirection w:val="lrTb"/>
            <w:noWrap w:val="false"/>
          </w:tcPr>
          <w:p>
            <w:pPr>
              <w:ind w:left="140"/>
              <w:tabs>
                <w:tab w:val="left" w:pos="2520" w:leader="none"/>
              </w:tabs>
            </w:pPr>
            <w:r>
              <w:t xml:space="preserve">[3.6.2]  Парки культуры и отдыха</w:t>
            </w:r>
            <w:r/>
          </w:p>
        </w:tc>
        <w:tc>
          <w:tcPr>
            <w:tcW w:w="3685" w:type="dxa"/>
            <w:textDirection w:val="lrTb"/>
            <w:noWrap w:val="false"/>
          </w:tcPr>
          <w:p>
            <w:r>
              <w:t xml:space="preserve">     Размещение парков культуры и отдыха</w:t>
            </w:r>
            <w:r/>
          </w:p>
        </w:tc>
        <w:tc>
          <w:tcPr>
            <w:tcW w:w="5387" w:type="dxa"/>
            <w:textDirection w:val="lrTb"/>
            <w:noWrap w:val="false"/>
          </w:tcPr>
          <w:p>
            <w:pPr>
              <w:ind w:left="132"/>
              <w:tabs>
                <w:tab w:val="left" w:pos="2520" w:leader="none"/>
              </w:tabs>
            </w:pPr>
            <w:r>
              <w:t xml:space="preserve">Минимальная/максимальная площадь земельных участков –1000/10000 кв. м;</w:t>
            </w:r>
            <w:r/>
          </w:p>
          <w:p>
            <w:pPr>
              <w:ind w:left="132"/>
              <w:tabs>
                <w:tab w:val="left" w:pos="2520" w:leader="none"/>
              </w:tabs>
            </w:pPr>
            <w:r>
              <w:t xml:space="preserve">максимальная высота зданий, строений, сооружений от уровня земли - 6 м;</w:t>
            </w:r>
            <w:r/>
          </w:p>
          <w:p>
            <w:pPr>
              <w:ind w:left="132"/>
              <w:tabs>
                <w:tab w:val="left" w:pos="2520" w:leader="none"/>
              </w:tabs>
            </w:pPr>
            <w:r>
              <w:t xml:space="preserve">максимальный процент застройки в границах земельного участка – 20 %;</w:t>
            </w:r>
            <w:r/>
          </w:p>
          <w:p>
            <w:pPr>
              <w:ind w:left="132" w:right="132"/>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32"/>
              <w:tabs>
                <w:tab w:val="left" w:pos="2520" w:leader="none"/>
              </w:tabs>
              <w:rPr>
                <w:rFonts w:eastAsia="SimSun"/>
                <w:lang w:eastAsia="zh-CN" w:bidi="ru-RU"/>
              </w:rPr>
            </w:pPr>
            <w:r>
              <w:rPr>
                <w:rFonts w:eastAsia="SimSun"/>
                <w:lang w:eastAsia="zh-CN" w:bidi="ru-RU"/>
              </w:rPr>
              <w:t xml:space="preserve">минимальный процент озеленения земельного участка 70%.</w:t>
            </w:r>
            <w:r/>
          </w:p>
        </w:tc>
        <w:tc>
          <w:tcPr>
            <w:tcW w:w="3827" w:type="dxa"/>
            <w:vAlign w:val="center"/>
            <w:vMerge w:val="continue"/>
            <w:textDirection w:val="lrTb"/>
            <w:noWrap w:val="false"/>
          </w:tcPr>
          <w:p>
            <w:pPr>
              <w:ind w:right="557" w:firstLine="356"/>
              <w:jc w:val="center"/>
              <w:tabs>
                <w:tab w:val="left" w:pos="3071" w:leader="none"/>
              </w:tabs>
              <w:rPr>
                <w:b/>
              </w:rPr>
            </w:pPr>
            <w:r>
              <w:rPr>
                <w:b/>
              </w:rPr>
            </w:r>
            <w:r/>
          </w:p>
        </w:tc>
      </w:tr>
      <w:tr>
        <w:trPr>
          <w:trHeight w:val="216"/>
        </w:trPr>
        <w:tc>
          <w:tcPr>
            <w:tcW w:w="1993" w:type="dxa"/>
            <w:textDirection w:val="lrTb"/>
            <w:noWrap w:val="false"/>
          </w:tcPr>
          <w:p>
            <w:pPr>
              <w:ind w:left="140"/>
              <w:tabs>
                <w:tab w:val="left" w:pos="2520" w:leader="none"/>
              </w:tabs>
              <w:rPr>
                <w:rFonts w:eastAsia="SimSun"/>
                <w:lang w:eastAsia="zh-CN" w:bidi="ru-RU"/>
              </w:rPr>
            </w:pPr>
            <w:r>
              <w:rPr>
                <w:rFonts w:eastAsia="SimSun"/>
                <w:lang w:eastAsia="zh-CN" w:bidi="ru-RU"/>
              </w:rPr>
              <w:t xml:space="preserve">[4.3] –</w:t>
            </w:r>
            <w:r>
              <w:rPr>
                <w:lang w:eastAsia="ru-RU" w:bidi="ru-RU"/>
              </w:rPr>
              <w:t xml:space="preserve"> </w:t>
            </w:r>
            <w:r>
              <w:rPr>
                <w:rFonts w:eastAsia="SimSun"/>
                <w:lang w:eastAsia="zh-CN" w:bidi="ru-RU"/>
              </w:rPr>
              <w:t xml:space="preserve">Рынки</w:t>
            </w:r>
            <w:r/>
          </w:p>
          <w:p>
            <w:pPr>
              <w:ind w:left="140"/>
              <w:tabs>
                <w:tab w:val="left" w:pos="2520" w:leader="none"/>
              </w:tabs>
              <w:rPr>
                <w:rFonts w:eastAsia="SimSun"/>
                <w:lang w:eastAsia="zh-CN" w:bidi="ru-RU"/>
              </w:rPr>
            </w:pPr>
            <w:r>
              <w:rPr>
                <w:rFonts w:eastAsia="SimSun"/>
                <w:lang w:eastAsia="zh-CN" w:bidi="ru-RU"/>
              </w:rPr>
            </w:r>
            <w:r/>
          </w:p>
        </w:tc>
        <w:tc>
          <w:tcPr>
            <w:tcW w:w="3685" w:type="dxa"/>
            <w:textDirection w:val="lrTb"/>
            <w:noWrap w:val="false"/>
          </w:tcPr>
          <w:p>
            <w:pPr>
              <w:ind w:left="110" w:right="132" w:firstLine="21"/>
              <w:jc w:val="both"/>
              <w:tabs>
                <w:tab w:val="left" w:pos="2520" w:leader="none"/>
              </w:tabs>
              <w:rPr>
                <w:lang w:eastAsia="ru-RU" w:bidi="ru-RU"/>
              </w:rPr>
            </w:pPr>
            <w:r>
              <w:rPr>
                <w:lang w:eastAsia="ru-RU" w:bidi="ru-RU"/>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r/>
          </w:p>
          <w:p>
            <w:pPr>
              <w:ind w:left="110" w:right="132" w:firstLine="21"/>
              <w:jc w:val="both"/>
              <w:tabs>
                <w:tab w:val="left" w:pos="2520" w:leader="none"/>
              </w:tabs>
              <w:rPr>
                <w:lang w:eastAsia="ru-RU" w:bidi="ru-RU"/>
              </w:rPr>
            </w:pPr>
            <w:r>
              <w:rPr>
                <w:lang w:eastAsia="ru-RU" w:bidi="ru-RU"/>
              </w:rPr>
              <w:t xml:space="preserve">размещение гаражей и (или) стоянок для автомобилей сотрудников и посетителей рынка</w:t>
            </w:r>
            <w:r/>
          </w:p>
        </w:tc>
        <w:tc>
          <w:tcPr>
            <w:tcW w:w="5387" w:type="dxa"/>
            <w:textDirection w:val="lrTb"/>
            <w:noWrap w:val="false"/>
          </w:tcPr>
          <w:p>
            <w:pPr>
              <w:ind w:left="132" w:right="132"/>
              <w:jc w:val="both"/>
              <w:tabs>
                <w:tab w:val="left" w:pos="2520" w:leader="none"/>
              </w:tabs>
            </w:pPr>
            <w:r>
              <w:t xml:space="preserve">Минимальная/максимальная площадь земельных участков –500/3000 кв. м;</w:t>
            </w:r>
            <w:r/>
          </w:p>
          <w:p>
            <w:pPr>
              <w:ind w:left="132" w:right="132"/>
              <w:jc w:val="both"/>
              <w:tabs>
                <w:tab w:val="left" w:pos="2520" w:leader="none"/>
              </w:tabs>
            </w:pPr>
            <w:r>
              <w:rPr>
                <w:rFonts w:eastAsia="Calibri"/>
              </w:rPr>
              <w:t xml:space="preserve">максимальное количество надземных этажей зданий – 1 этаж;                                                                                                                  </w:t>
            </w:r>
            <w:r/>
          </w:p>
          <w:p>
            <w:pPr>
              <w:ind w:left="132" w:right="132"/>
              <w:jc w:val="both"/>
              <w:tabs>
                <w:tab w:val="left" w:pos="2520" w:leader="none"/>
              </w:tabs>
            </w:pPr>
            <w:r>
              <w:t xml:space="preserve">максимальная высота зданий, строений, сооружений от уровня земли - 6 м;</w:t>
            </w:r>
            <w:r/>
          </w:p>
          <w:p>
            <w:pPr>
              <w:ind w:left="132" w:right="132"/>
              <w:jc w:val="both"/>
              <w:tabs>
                <w:tab w:val="left" w:pos="2520" w:leader="none"/>
              </w:tabs>
            </w:pPr>
            <w:r>
              <w:t xml:space="preserve"> максимальный процент застройки в границах земельного участка – 40%;</w:t>
            </w:r>
            <w:r/>
          </w:p>
          <w:p>
            <w:pPr>
              <w:ind w:left="132" w:right="132"/>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32" w:right="132"/>
              <w:jc w:val="both"/>
              <w:tabs>
                <w:tab w:val="left" w:pos="2520" w:leader="none"/>
              </w:tabs>
              <w:rPr>
                <w:strike/>
              </w:rPr>
            </w:pPr>
            <w:r>
              <w:rPr>
                <w:rFonts w:eastAsia="SimSun"/>
                <w:lang w:eastAsia="zh-CN" w:bidi="ru-RU"/>
              </w:rPr>
              <w:t xml:space="preserve">минимальный процент озеленения земельного участка 10%.</w:t>
            </w:r>
            <w:r/>
          </w:p>
        </w:tc>
        <w:tc>
          <w:tcPr>
            <w:tcW w:w="3827" w:type="dxa"/>
            <w:vAlign w:val="center"/>
            <w:vMerge w:val="continue"/>
            <w:textDirection w:val="lrTb"/>
            <w:noWrap w:val="false"/>
          </w:tcPr>
          <w:p>
            <w:pPr>
              <w:ind w:right="557" w:firstLine="356"/>
              <w:jc w:val="center"/>
              <w:tabs>
                <w:tab w:val="left" w:pos="3071" w:leader="none"/>
              </w:tabs>
              <w:rPr>
                <w:b/>
              </w:rPr>
            </w:pPr>
            <w:r>
              <w:rPr>
                <w:b/>
              </w:rPr>
            </w:r>
            <w:r/>
          </w:p>
        </w:tc>
      </w:tr>
      <w:tr>
        <w:trPr>
          <w:trHeight w:val="1734"/>
        </w:trPr>
        <w:tc>
          <w:tcPr>
            <w:tcW w:w="1993" w:type="dxa"/>
            <w:textDirection w:val="lrTb"/>
            <w:noWrap w:val="false"/>
          </w:tcPr>
          <w:p>
            <w:pPr>
              <w:ind w:left="140"/>
            </w:pPr>
            <w:r>
              <w:t xml:space="preserve">[4.4]  Магазины</w:t>
            </w:r>
            <w:r/>
          </w:p>
        </w:tc>
        <w:tc>
          <w:tcPr>
            <w:tcW w:w="3685" w:type="dxa"/>
            <w:textDirection w:val="lrTb"/>
            <w:noWrap w:val="false"/>
          </w:tcPr>
          <w:p>
            <w:pPr>
              <w:ind w:left="135" w:right="142" w:hanging="4"/>
              <w:jc w:val="both"/>
            </w:pPr>
            <w:r>
              <w:t xml:space="preserve">     Размещение объектов капитального строительства, предназначенных для продажи товаров, торговая площадь которых составляет до 5000 кв. м</w:t>
            </w:r>
            <w:r/>
          </w:p>
        </w:tc>
        <w:tc>
          <w:tcPr>
            <w:tcW w:w="5387" w:type="dxa"/>
            <w:textDirection w:val="lrTb"/>
            <w:noWrap w:val="false"/>
          </w:tcPr>
          <w:p>
            <w:pPr>
              <w:ind w:left="132"/>
            </w:pPr>
            <w:r>
              <w:t xml:space="preserve">Минимальная/максимальная площадь земельных участков  – 100/3000 кв. м;</w:t>
            </w:r>
            <w:r/>
          </w:p>
          <w:p>
            <w:pPr>
              <w:ind w:left="132" w:right="132"/>
              <w:jc w:val="both"/>
            </w:pPr>
            <w:r>
              <w:t xml:space="preserve">максимальное количество надземных этажей зданий – 3 этажа;</w:t>
            </w:r>
            <w:r/>
          </w:p>
          <w:p>
            <w:pPr>
              <w:ind w:left="132" w:right="132"/>
              <w:jc w:val="both"/>
            </w:pPr>
            <w:r>
              <w:t xml:space="preserve">максимальная высота зданий, строений, сооружений от уровня земли - 12 м;</w:t>
            </w:r>
            <w:r/>
          </w:p>
          <w:p>
            <w:pPr>
              <w:ind w:left="132" w:right="116"/>
              <w:jc w:val="both"/>
              <w:tabs>
                <w:tab w:val="left" w:pos="5642" w:leader="none"/>
              </w:tabs>
            </w:pPr>
            <w:r>
              <w:t xml:space="preserve">максимальный процент застройки в границах земельного участка – 60%;</w:t>
            </w:r>
            <w:r/>
          </w:p>
          <w:p>
            <w:pPr>
              <w:ind w:left="132" w:right="116"/>
              <w:jc w:val="both"/>
            </w:pPr>
            <w:r>
              <w:t xml:space="preserve">Минимальные отступы от  красной линии – 5 м; от иных границ – 3 м</w:t>
            </w:r>
            <w:r>
              <w:rPr>
                <w:rFonts w:eastAsia="SimSun"/>
                <w:lang w:eastAsia="zh-CN" w:bidi="ru-RU"/>
              </w:rPr>
              <w:t xml:space="preserve">, </w:t>
            </w:r>
            <w:r/>
          </w:p>
          <w:p>
            <w:pPr>
              <w:ind w:left="132" w:right="142"/>
              <w:jc w:val="both"/>
              <w:rPr>
                <w:rFonts w:eastAsia="SimSun"/>
                <w:lang w:eastAsia="zh-CN" w:bidi="ru-RU"/>
              </w:rPr>
            </w:pPr>
            <w:r>
              <w:rPr>
                <w:rFonts w:eastAsia="SimSun"/>
                <w:lang w:eastAsia="zh-CN" w:bidi="ru-RU"/>
              </w:rPr>
              <w:t xml:space="preserve">Минимальный процент озеленения земельного участка 15%.</w:t>
            </w:r>
            <w:r/>
          </w:p>
        </w:tc>
        <w:tc>
          <w:tcPr>
            <w:tcW w:w="3827" w:type="dxa"/>
            <w:vAlign w:val="center"/>
            <w:vMerge w:val="continue"/>
            <w:textDirection w:val="lrTb"/>
            <w:noWrap w:val="false"/>
          </w:tcPr>
          <w:p>
            <w:pPr>
              <w:ind w:right="557" w:firstLine="356"/>
              <w:jc w:val="center"/>
              <w:tabs>
                <w:tab w:val="left" w:pos="3071" w:leader="none"/>
              </w:tabs>
              <w:rPr>
                <w:b/>
              </w:rPr>
            </w:pPr>
            <w:r>
              <w:rPr>
                <w:b/>
              </w:rPr>
            </w:r>
            <w:r/>
          </w:p>
        </w:tc>
      </w:tr>
      <w:tr>
        <w:trPr>
          <w:trHeight w:val="112"/>
        </w:trPr>
        <w:tc>
          <w:tcPr>
            <w:tcW w:w="1993" w:type="dxa"/>
            <w:textDirection w:val="lrTb"/>
            <w:noWrap w:val="false"/>
          </w:tcPr>
          <w:p>
            <w:pPr>
              <w:ind w:left="140"/>
              <w:rPr>
                <w:rFonts w:eastAsia="SimSun"/>
                <w:lang w:eastAsia="zh-CN" w:bidi="ru-RU"/>
              </w:rPr>
            </w:pPr>
            <w:r>
              <w:rPr>
                <w:rFonts w:eastAsia="SimSun"/>
                <w:lang w:eastAsia="zh-CN" w:bidi="ru-RU"/>
              </w:rPr>
              <w:t xml:space="preserve">[</w:t>
            </w:r>
            <w:r>
              <w:rPr>
                <w:lang w:eastAsia="zh-CN" w:bidi="ru-RU"/>
              </w:rPr>
              <w:t xml:space="preserve">3.3</w:t>
            </w:r>
            <w:r>
              <w:rPr>
                <w:rFonts w:eastAsia="SimSun"/>
                <w:lang w:eastAsia="zh-CN" w:bidi="ru-RU"/>
              </w:rPr>
              <w:t xml:space="preserve">] - Бытовое обслуживание</w:t>
            </w:r>
            <w:r/>
          </w:p>
          <w:p>
            <w:pPr>
              <w:ind w:left="140"/>
              <w:rPr>
                <w:rFonts w:eastAsia="SimSun"/>
                <w:lang w:eastAsia="zh-CN" w:bidi="ru-RU"/>
              </w:rPr>
            </w:pPr>
            <w:r>
              <w:rPr>
                <w:rFonts w:eastAsia="SimSun"/>
                <w:lang w:eastAsia="zh-CN" w:bidi="ru-RU"/>
              </w:rPr>
            </w:r>
            <w:r/>
          </w:p>
        </w:tc>
        <w:tc>
          <w:tcPr>
            <w:tcW w:w="3685" w:type="dxa"/>
            <w:textDirection w:val="lrTb"/>
            <w:noWrap w:val="false"/>
          </w:tcPr>
          <w:p>
            <w:pPr>
              <w:ind w:left="131" w:right="132" w:firstLine="146"/>
              <w:jc w:val="both"/>
              <w:rPr>
                <w:rFonts w:eastAsia="SimSun"/>
                <w:lang w:eastAsia="zh-CN" w:bidi="ru-RU"/>
              </w:rPr>
            </w:pPr>
            <w:r>
              <w:rPr>
                <w:lang w:eastAsia="ru-RU" w:bidi="ru-RU"/>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p>
        </w:tc>
        <w:tc>
          <w:tcPr>
            <w:tcW w:w="5387" w:type="dxa"/>
            <w:textDirection w:val="lrTb"/>
            <w:noWrap w:val="false"/>
          </w:tcPr>
          <w:p>
            <w:pPr>
              <w:ind w:left="132" w:right="116"/>
              <w:jc w:val="both"/>
              <w:tabs>
                <w:tab w:val="left" w:pos="3071" w:leader="none"/>
              </w:tabs>
            </w:pPr>
            <w:r>
              <w:t xml:space="preserve">Минимальная/максимальная площадь земельных участков   – 100/1000 кв. м;</w:t>
            </w:r>
            <w:r/>
          </w:p>
          <w:p>
            <w:pPr>
              <w:ind w:left="141" w:right="116"/>
              <w:jc w:val="both"/>
              <w:tabs>
                <w:tab w:val="left" w:pos="3071" w:leader="none"/>
              </w:tabs>
            </w:pPr>
            <w:r>
              <w:t xml:space="preserve">максимальное количество надземных этажей зданий – 2 этажа; </w:t>
            </w:r>
            <w:r/>
          </w:p>
          <w:p>
            <w:pPr>
              <w:ind w:left="160" w:right="116"/>
              <w:jc w:val="both"/>
              <w:tabs>
                <w:tab w:val="left" w:pos="3071" w:leader="none"/>
              </w:tabs>
            </w:pPr>
            <w:r>
              <w:t xml:space="preserve">максимальная высота зданий от уровня земли до верха перекрытия последнего этажа (или конька кровли) - 12 м;</w:t>
            </w:r>
            <w:r/>
          </w:p>
          <w:p>
            <w:pPr>
              <w:jc w:val="both"/>
            </w:pPr>
            <w:r>
              <w:t xml:space="preserve">   максимальный процент застройки – 60%;</w:t>
            </w:r>
            <w:r/>
          </w:p>
          <w:p>
            <w:pPr>
              <w:ind w:left="132" w:right="134"/>
              <w:jc w:val="both"/>
            </w:pPr>
            <w:r>
              <w:t xml:space="preserve">минимальные отступы от красной линии -5 м; </w:t>
            </w:r>
            <w:r/>
          </w:p>
          <w:p>
            <w:pPr>
              <w:ind w:left="132" w:right="134"/>
              <w:jc w:val="both"/>
            </w:pPr>
            <w:r>
              <w:t xml:space="preserve">от иных границ – 3 м;  </w:t>
            </w:r>
            <w:r/>
          </w:p>
          <w:p>
            <w:pPr>
              <w:ind w:left="132" w:right="134"/>
              <w:jc w:val="both"/>
              <w:rPr>
                <w:rFonts w:eastAsia="SimSun"/>
                <w:lang w:eastAsia="zh-CN" w:bidi="ru-RU"/>
              </w:rPr>
            </w:pPr>
            <w:r>
              <w:rPr>
                <w:rFonts w:eastAsia="SimSun"/>
                <w:lang w:eastAsia="zh-CN" w:bidi="ru-RU"/>
              </w:rPr>
              <w:t xml:space="preserve">минимальный процент озеленения земельного участка 10%.</w:t>
            </w:r>
            <w:r/>
          </w:p>
        </w:tc>
        <w:tc>
          <w:tcPr>
            <w:tcW w:w="3827" w:type="dxa"/>
            <w:vAlign w:val="center"/>
            <w:vMerge w:val="continue"/>
            <w:textDirection w:val="lrTb"/>
            <w:noWrap w:val="false"/>
          </w:tcPr>
          <w:p>
            <w:pPr>
              <w:ind w:right="557" w:firstLine="356"/>
              <w:jc w:val="center"/>
              <w:tabs>
                <w:tab w:val="left" w:pos="3071" w:leader="none"/>
              </w:tabs>
              <w:rPr>
                <w:b/>
              </w:rPr>
            </w:pPr>
            <w:r>
              <w:rPr>
                <w:b/>
              </w:rPr>
            </w:r>
            <w:r/>
          </w:p>
        </w:tc>
      </w:tr>
      <w:tr>
        <w:trPr>
          <w:trHeight w:val="130"/>
        </w:trPr>
        <w:tc>
          <w:tcPr>
            <w:tcW w:w="1993" w:type="dxa"/>
            <w:textDirection w:val="lrTb"/>
            <w:noWrap w:val="false"/>
          </w:tcPr>
          <w:p>
            <w:pPr>
              <w:pStyle w:val="1072"/>
              <w:ind w:left="140" w:right="75"/>
              <w:spacing w:before="0" w:beforeAutospacing="0" w:after="0" w:afterAutospacing="0"/>
              <w:rPr>
                <w:sz w:val="20"/>
                <w:szCs w:val="20"/>
              </w:rPr>
            </w:pPr>
            <w:r>
              <w:rPr>
                <w:sz w:val="20"/>
                <w:szCs w:val="20"/>
                <w:lang w:bidi="ru-RU"/>
              </w:rPr>
              <w:t xml:space="preserve">[5.1.2]</w:t>
            </w:r>
            <w:r>
              <w:rPr>
                <w:lang w:bidi="ru-RU"/>
              </w:rPr>
              <w:t xml:space="preserve"> </w:t>
            </w:r>
            <w:r>
              <w:rPr>
                <w:sz w:val="20"/>
                <w:szCs w:val="20"/>
              </w:rPr>
              <w:t xml:space="preserve">Обеспечение занятий спортом в помещениях</w:t>
            </w:r>
            <w:r/>
          </w:p>
          <w:p>
            <w:pPr>
              <w:pStyle w:val="1072"/>
              <w:ind w:left="140" w:right="75"/>
              <w:spacing w:before="0" w:beforeAutospacing="0" w:after="0" w:afterAutospacing="0"/>
              <w:rPr>
                <w:sz w:val="20"/>
                <w:szCs w:val="20"/>
              </w:rPr>
            </w:pPr>
            <w:r>
              <w:rPr>
                <w:sz w:val="20"/>
                <w:szCs w:val="20"/>
              </w:rPr>
            </w:r>
            <w:r/>
          </w:p>
        </w:tc>
        <w:tc>
          <w:tcPr>
            <w:tcW w:w="3685" w:type="dxa"/>
            <w:textDirection w:val="lrTb"/>
            <w:noWrap w:val="false"/>
          </w:tcPr>
          <w:p>
            <w:pPr>
              <w:pStyle w:val="1062"/>
              <w:ind w:left="135" w:right="75" w:firstLine="142"/>
              <w:jc w:val="both"/>
              <w:spacing w:before="0" w:after="0"/>
              <w:rPr>
                <w:sz w:val="20"/>
                <w:szCs w:val="20"/>
              </w:rPr>
            </w:pPr>
            <w:r>
              <w:rPr>
                <w:sz w:val="20"/>
                <w:szCs w:val="20"/>
              </w:rPr>
              <w:t xml:space="preserve">Размещение спортивных клубов, спортивных залов, бассейнов, физкультурно-оздоровительных комплексов в зданиях и сооружениях</w:t>
            </w:r>
            <w:r/>
          </w:p>
        </w:tc>
        <w:tc>
          <w:tcPr>
            <w:tcW w:w="5387" w:type="dxa"/>
            <w:textDirection w:val="lrTb"/>
            <w:noWrap w:val="false"/>
          </w:tcPr>
          <w:p>
            <w:pPr>
              <w:ind w:left="141" w:right="132" w:hanging="9"/>
              <w:jc w:val="both"/>
              <w:tabs>
                <w:tab w:val="left" w:pos="2520" w:leader="none"/>
              </w:tabs>
            </w:pPr>
            <w:r>
              <w:t xml:space="preserve">Минимальная/максимальная площадь земельных участков –500/10000 кв. м;</w:t>
            </w:r>
            <w:r/>
          </w:p>
          <w:p>
            <w:pPr>
              <w:ind w:left="132" w:right="132" w:hanging="9"/>
              <w:jc w:val="both"/>
              <w:tabs>
                <w:tab w:val="left" w:pos="2520" w:leader="none"/>
              </w:tabs>
            </w:pPr>
            <w:r>
              <w:rPr>
                <w:rFonts w:eastAsia="Calibri"/>
              </w:rPr>
              <w:t xml:space="preserve">максимальное количество надземных этажей зданий – 2 этажа (включая мансардный этаж);                                                                                                                  </w:t>
            </w:r>
            <w:r/>
          </w:p>
          <w:p>
            <w:pPr>
              <w:ind w:left="132" w:right="132" w:hanging="9"/>
              <w:jc w:val="both"/>
              <w:tabs>
                <w:tab w:val="left" w:pos="2520" w:leader="none"/>
              </w:tabs>
            </w:pPr>
            <w:r>
              <w:t xml:space="preserve">максимальная высота зданий, строений, сооружений от уровня земли - 12 м;</w:t>
            </w:r>
            <w:r/>
          </w:p>
          <w:p>
            <w:pPr>
              <w:ind w:left="132" w:right="132" w:hanging="9"/>
              <w:jc w:val="both"/>
              <w:tabs>
                <w:tab w:val="left" w:pos="2520" w:leader="none"/>
              </w:tabs>
            </w:pPr>
            <w:r>
              <w:t xml:space="preserve"> максимальный процент застройки в границах земельного участка – 40%;</w:t>
            </w:r>
            <w:r/>
          </w:p>
          <w:p>
            <w:pPr>
              <w:ind w:left="132" w:right="132" w:hanging="9"/>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32" w:right="134" w:hanging="9"/>
              <w:jc w:val="both"/>
              <w:rPr>
                <w:rFonts w:eastAsia="SimSun"/>
                <w:lang w:eastAsia="zh-CN" w:bidi="ru-RU"/>
              </w:rPr>
            </w:pPr>
            <w:r>
              <w:rPr>
                <w:rFonts w:eastAsia="SimSun"/>
                <w:lang w:eastAsia="zh-CN" w:bidi="ru-RU"/>
              </w:rPr>
              <w:t xml:space="preserve">минимальный процент озеленения земельного участка 10%.</w:t>
            </w:r>
            <w:r/>
          </w:p>
        </w:tc>
        <w:tc>
          <w:tcPr>
            <w:tcW w:w="3827" w:type="dxa"/>
            <w:vAlign w:val="center"/>
            <w:vMerge w:val="continue"/>
            <w:textDirection w:val="lrTb"/>
            <w:noWrap w:val="false"/>
          </w:tcPr>
          <w:p>
            <w:pPr>
              <w:ind w:right="557" w:firstLine="356"/>
              <w:jc w:val="center"/>
              <w:tabs>
                <w:tab w:val="left" w:pos="3071" w:leader="none"/>
              </w:tabs>
              <w:rPr>
                <w:b/>
              </w:rPr>
            </w:pPr>
            <w:r>
              <w:rPr>
                <w:b/>
              </w:rPr>
            </w:r>
            <w:r/>
          </w:p>
        </w:tc>
      </w:tr>
    </w:tbl>
    <w:p>
      <w:pPr>
        <w:jc w:val="center"/>
        <w:tabs>
          <w:tab w:val="left" w:pos="2520" w:leader="none"/>
        </w:tabs>
      </w:pPr>
      <w:r/>
      <w:r/>
    </w:p>
    <w:p>
      <w:pPr>
        <w:jc w:val="center"/>
        <w:tabs>
          <w:tab w:val="left" w:pos="2520" w:leader="none"/>
        </w:tabs>
      </w:pPr>
      <w:r/>
      <w:r/>
    </w:p>
    <w:p>
      <w:pPr>
        <w:jc w:val="center"/>
        <w:tabs>
          <w:tab w:val="left" w:pos="2520" w:leader="none"/>
        </w:tabs>
      </w:pPr>
      <w:r>
        <w:rPr>
          <w:rFonts w:eastAsia="SimSun"/>
          <w:b/>
          <w:lang w:eastAsia="zh-CN" w:bidi="ru-RU"/>
        </w:rPr>
        <w:t xml:space="preserve">ВСПОМОГАТЕЛЬНЫЕ ВИДЫ И ПАРАМЕТРЫ РАЗРЕШЕННОГО ИСПОЛЬЗОВАНИЯ ЗЕМЕЛЬНЫХ УЧАСТКОВ И ОБЪЕКТОВ КАПИТАЛЬНОГО СТРОИТЕЛЬСТВА</w:t>
      </w:r>
      <w:r/>
    </w:p>
    <w:p>
      <w:pPr>
        <w:ind w:firstLine="851"/>
        <w:jc w:val="both"/>
        <w:rPr>
          <w:rFonts w:eastAsia="SimSun"/>
          <w:lang w:eastAsia="zh-CN" w:bidi="ru-RU"/>
        </w:rPr>
      </w:pPr>
      <w:r>
        <w:rPr>
          <w:lang w:eastAsia="ru-RU" w:bidi="ru-RU"/>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Pr>
          <w:rFonts w:eastAsia="SimSun"/>
          <w:lang w:eastAsia="zh-CN" w:bidi="ru-RU"/>
        </w:rPr>
        <w:t xml:space="preserve"> Предельные (мин</w:t>
      </w:r>
      <w:r>
        <w:rPr>
          <w:rFonts w:eastAsia="SimSun"/>
          <w:lang w:eastAsia="zh-CN" w:bidi="ru-RU"/>
        </w:rPr>
        <w:t xml:space="preserve">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r/>
    </w:p>
    <w:p>
      <w:pPr>
        <w:ind w:firstLine="851"/>
        <w:jc w:val="both"/>
        <w:rPr>
          <w:rFonts w:eastAsia="SimSun"/>
          <w:lang w:eastAsia="zh-CN" w:bidi="ru-RU"/>
        </w:rPr>
      </w:pPr>
      <w:r>
        <w:rPr>
          <w:rFonts w:eastAsia="SimSun"/>
          <w:lang w:eastAsia="zh-CN" w:bidi="ru-RU"/>
        </w:rPr>
      </w:r>
      <w:r/>
    </w:p>
    <w:tbl>
      <w:tblPr>
        <w:tblW w:w="14913" w:type="dxa"/>
        <w:tblLayout w:type="fixed"/>
        <w:tblCellMar>
          <w:left w:w="10" w:type="dxa"/>
          <w:right w:w="10" w:type="dxa"/>
        </w:tblCellMar>
        <w:tblLook w:val="04A0" w:firstRow="1" w:lastRow="0" w:firstColumn="1" w:lastColumn="0" w:noHBand="0" w:noVBand="1"/>
      </w:tblPr>
      <w:tblGrid>
        <w:gridCol w:w="4849"/>
        <w:gridCol w:w="6237"/>
        <w:gridCol w:w="3827"/>
      </w:tblGrid>
      <w:tr>
        <w:trPr>
          <w:trHeight w:val="303"/>
        </w:trPr>
        <w:tc>
          <w:tcPr>
            <w:tcBorders>
              <w:top w:val="single" w:color="000000" w:sz="4" w:space="0"/>
              <w:left w:val="single" w:color="000000" w:sz="4" w:space="0"/>
              <w:bottom w:val="single" w:color="000000" w:sz="4" w:space="0"/>
              <w:right w:val="single" w:color="000000" w:sz="4" w:space="0"/>
            </w:tcBorders>
            <w:tcW w:w="4849" w:type="dxa"/>
            <w:vAlign w:val="center"/>
            <w:textDirection w:val="lrTb"/>
            <w:noWrap w:val="false"/>
          </w:tcPr>
          <w:p>
            <w:pPr>
              <w:ind w:left="-10"/>
              <w:jc w:val="center"/>
              <w:tabs>
                <w:tab w:val="left" w:pos="2520" w:leader="none"/>
              </w:tabs>
              <w:rPr>
                <w:b/>
              </w:rPr>
            </w:pPr>
            <w:r>
              <w:rPr>
                <w:b/>
              </w:rPr>
              <w:t xml:space="preserve">ВИДЫ ВСПОМОГАТЕЛЬНЫХ ОБЪЕКТОВ КАПИТАЛЬНОГО</w:t>
            </w:r>
            <w:r>
              <w:rPr>
                <w:b/>
              </w:rPr>
              <w:br/>
              <w:t xml:space="preserve"> СТРОИТЕЛЬСТВА</w:t>
            </w:r>
            <w:r/>
          </w:p>
        </w:tc>
        <w:tc>
          <w:tcPr>
            <w:tcBorders>
              <w:top w:val="single" w:color="000000" w:sz="4" w:space="0"/>
              <w:left w:val="single" w:color="000000" w:sz="4" w:space="0"/>
              <w:bottom w:val="single" w:color="000000" w:sz="4" w:space="0"/>
              <w:right w:val="single" w:color="auto" w:sz="4" w:space="0"/>
            </w:tcBorders>
            <w:tcW w:w="6237" w:type="dxa"/>
            <w:vAlign w:val="center"/>
            <w:textDirection w:val="lrTb"/>
            <w:noWrap w:val="false"/>
          </w:tcPr>
          <w:p>
            <w:pPr>
              <w:ind w:firstLine="356"/>
              <w:jc w:val="center"/>
              <w:tabs>
                <w:tab w:val="left" w:pos="2520" w:leader="none"/>
              </w:tabs>
              <w:rPr>
                <w:rFonts w:eastAsia="SimSun"/>
                <w:lang w:eastAsia="zh-CN" w:bidi="ru-RU"/>
              </w:rPr>
            </w:pPr>
            <w:r>
              <w:rPr>
                <w:rFonts w:eastAsia="SimSun"/>
                <w:b/>
                <w:lang w:eastAsia="zh-CN" w:bidi="ru-RU"/>
              </w:rPr>
              <w:t xml:space="preserve">ПРЕДЕЛЬНЫЕ (МИНИМАЛЬНЫЕ И (ИЛИ) МАКСИМАЛЬНЫЕ РАЗМЕРЫ ЗЕМЕЛЬНЫХ УЧАСТКОВ И ПЕРЕДЕЛЬНЫЕ</w:t>
            </w:r>
            <w:r>
              <w:rPr>
                <w:rFonts w:eastAsia="SimSun"/>
                <w:lang w:eastAsia="zh-CN" w:bidi="ru-RU"/>
              </w:rPr>
              <w:t xml:space="preserve"> </w:t>
            </w:r>
            <w:r>
              <w:rPr>
                <w:b/>
              </w:rPr>
              <w:t xml:space="preserve">ПАРАМЕТРЫ РАЗРЕШЕННОГО ИСПОЛЬЗОВАНИЯ ЗЕМЕЛЬНЫХ УЧАСТКОВ И ОБЪЕКТОВ КАПИТАЛЬНОГО СТРОИТЕЛЬСТВА</w:t>
            </w:r>
            <w:r/>
          </w:p>
        </w:tc>
        <w:tc>
          <w:tcPr>
            <w:tcBorders>
              <w:top w:val="single" w:color="000000" w:sz="4" w:space="0"/>
              <w:left w:val="single" w:color="auto" w:sz="4" w:space="0"/>
              <w:bottom w:val="single" w:color="000000" w:sz="4" w:space="0"/>
              <w:right w:val="single" w:color="auto" w:sz="4" w:space="0"/>
            </w:tcBorders>
            <w:tcW w:w="3827" w:type="dxa"/>
            <w:vAlign w:val="center"/>
            <w:textDirection w:val="lrTb"/>
            <w:noWrap w:val="false"/>
          </w:tcPr>
          <w:p>
            <w:pPr>
              <w:jc w:val="center"/>
              <w:tabs>
                <w:tab w:val="left" w:pos="3071" w:leader="none"/>
                <w:tab w:val="left" w:pos="3807" w:leader="none"/>
              </w:tabs>
              <w:rPr>
                <w:b/>
              </w:rPr>
            </w:pPr>
            <w:r>
              <w:rPr>
                <w:b/>
              </w:rPr>
              <w:t xml:space="preserve">ОСОБЫЕ УСЛОВИЯ РЕАЛИЗАЦИИ РЕГЛАМЕНТА </w:t>
            </w:r>
            <w:r/>
          </w:p>
        </w:tc>
      </w:tr>
      <w:tr>
        <w:trPr>
          <w:trHeight w:val="728"/>
        </w:trPr>
        <w:tc>
          <w:tcPr>
            <w:tcBorders>
              <w:top w:val="single" w:color="000000" w:sz="4" w:space="0"/>
              <w:left w:val="single" w:color="000000" w:sz="4" w:space="0"/>
              <w:bottom w:val="single" w:color="auto" w:sz="4" w:space="0"/>
              <w:right w:val="single" w:color="auto" w:sz="4" w:space="0"/>
            </w:tcBorders>
            <w:tcW w:w="4849" w:type="dxa"/>
            <w:vAlign w:val="center"/>
            <w:textDirection w:val="lrTb"/>
            <w:noWrap w:val="false"/>
          </w:tcPr>
          <w:p>
            <w:pPr>
              <w:ind w:left="161" w:right="132"/>
              <w:jc w:val="both"/>
              <w:rPr>
                <w:rFonts w:eastAsia="SimSun"/>
                <w:lang w:eastAsia="zh-CN" w:bidi="ru-RU"/>
              </w:rPr>
            </w:pPr>
            <w:r>
              <w:rPr>
                <w:rFonts w:eastAsia="SimSun"/>
                <w:lang w:eastAsia="zh-CN" w:bidi="ru-RU"/>
              </w:rPr>
              <w:t xml:space="preserve">Хозяйственные постройки для хранения кормов, инвентаря, топлива и других хозяйственных нужд.</w:t>
            </w:r>
            <w:r/>
          </w:p>
          <w:p>
            <w:pPr>
              <w:ind w:right="132"/>
              <w:jc w:val="both"/>
              <w:rPr>
                <w:rFonts w:eastAsia="SimSun"/>
                <w:lang w:eastAsia="zh-CN" w:bidi="ru-RU"/>
              </w:rPr>
            </w:pPr>
            <w:r>
              <w:rPr>
                <w:rFonts w:eastAsia="SimSun"/>
                <w:lang w:eastAsia="zh-CN" w:bidi="ru-RU"/>
              </w:rPr>
            </w:r>
            <w:r/>
          </w:p>
          <w:p>
            <w:pPr>
              <w:ind w:left="161" w:right="132"/>
              <w:jc w:val="both"/>
              <w:rPr>
                <w:rFonts w:eastAsia="SimSun"/>
                <w:lang w:eastAsia="zh-CN" w:bidi="ru-RU"/>
              </w:rPr>
            </w:pPr>
            <w:r>
              <w:rPr>
                <w:rFonts w:eastAsia="SimSun"/>
                <w:lang w:eastAsia="zh-CN" w:bidi="ru-RU"/>
              </w:rPr>
              <w:t xml:space="preserve">Встроенные или отдельно стоящие коллективные хранилища сельскохозяйственных продуктов (для многоквартирных домов).</w:t>
            </w:r>
            <w:r/>
          </w:p>
          <w:p>
            <w:pPr>
              <w:ind w:right="132"/>
              <w:jc w:val="both"/>
              <w:rPr>
                <w:rFonts w:eastAsia="SimSun"/>
                <w:lang w:eastAsia="zh-CN" w:bidi="ru-RU"/>
              </w:rPr>
            </w:pPr>
            <w:r>
              <w:rPr>
                <w:rFonts w:eastAsia="SimSun"/>
                <w:lang w:eastAsia="zh-CN" w:bidi="ru-RU"/>
              </w:rPr>
            </w:r>
            <w:r/>
          </w:p>
          <w:p>
            <w:pPr>
              <w:ind w:right="132"/>
              <w:jc w:val="both"/>
              <w:rPr>
                <w:rFonts w:eastAsia="SimSun"/>
                <w:lang w:eastAsia="zh-CN" w:bidi="ru-RU"/>
              </w:rPr>
            </w:pPr>
            <w:r>
              <w:rPr>
                <w:rFonts w:eastAsia="SimSun"/>
                <w:lang w:eastAsia="zh-CN" w:bidi="ru-RU"/>
              </w:rPr>
            </w:r>
            <w:r/>
          </w:p>
          <w:p>
            <w:pPr>
              <w:ind w:right="132"/>
              <w:jc w:val="both"/>
              <w:rPr>
                <w:rFonts w:eastAsia="SimSun"/>
                <w:lang w:eastAsia="zh-CN" w:bidi="ru-RU"/>
              </w:rPr>
            </w:pPr>
            <w:r>
              <w:rPr>
                <w:rFonts w:eastAsia="SimSun"/>
                <w:lang w:eastAsia="zh-CN" w:bidi="ru-RU"/>
              </w:rPr>
            </w:r>
            <w:r/>
          </w:p>
          <w:p>
            <w:pPr>
              <w:ind w:right="132"/>
              <w:jc w:val="both"/>
              <w:rPr>
                <w:rFonts w:eastAsia="SimSun"/>
                <w:lang w:eastAsia="zh-CN" w:bidi="ru-RU"/>
              </w:rPr>
            </w:pPr>
            <w:r>
              <w:rPr>
                <w:rFonts w:eastAsia="SimSun"/>
                <w:lang w:eastAsia="zh-CN" w:bidi="ru-RU"/>
              </w:rPr>
            </w:r>
            <w:r/>
          </w:p>
          <w:p>
            <w:pPr>
              <w:ind w:right="132"/>
              <w:jc w:val="both"/>
              <w:rPr>
                <w:rFonts w:eastAsia="SimSun"/>
                <w:lang w:eastAsia="zh-CN" w:bidi="ru-RU"/>
              </w:rPr>
            </w:pPr>
            <w:r>
              <w:rPr>
                <w:rFonts w:eastAsia="SimSun"/>
                <w:lang w:eastAsia="zh-CN" w:bidi="ru-RU"/>
              </w:rPr>
            </w:r>
            <w:r/>
          </w:p>
          <w:p>
            <w:pPr>
              <w:ind w:right="132"/>
              <w:jc w:val="both"/>
              <w:rPr>
                <w:rFonts w:eastAsia="SimSun"/>
                <w:lang w:eastAsia="zh-CN" w:bidi="ru-RU"/>
              </w:rPr>
            </w:pPr>
            <w:r>
              <w:rPr>
                <w:rFonts w:eastAsia="SimSun"/>
                <w:lang w:eastAsia="zh-CN" w:bidi="ru-RU"/>
              </w:rPr>
            </w:r>
            <w:r/>
          </w:p>
          <w:p>
            <w:pPr>
              <w:ind w:right="132"/>
              <w:jc w:val="both"/>
              <w:rPr>
                <w:rFonts w:eastAsia="SimSun"/>
                <w:lang w:eastAsia="zh-CN" w:bidi="ru-RU"/>
              </w:rPr>
            </w:pPr>
            <w:r>
              <w:rPr>
                <w:rFonts w:eastAsia="SimSun"/>
                <w:lang w:eastAsia="zh-CN" w:bidi="ru-RU"/>
              </w:rPr>
            </w:r>
            <w:r/>
          </w:p>
          <w:p>
            <w:pPr>
              <w:ind w:left="161" w:right="132"/>
              <w:jc w:val="both"/>
              <w:rPr>
                <w:rFonts w:eastAsia="SimSun"/>
                <w:lang w:eastAsia="zh-CN" w:bidi="ru-RU"/>
              </w:rPr>
            </w:pPr>
            <w:r>
              <w:rPr>
                <w:rFonts w:eastAsia="SimSun"/>
                <w:lang w:eastAsia="zh-CN" w:bidi="ru-RU"/>
              </w:rPr>
              <w:t xml:space="preserve">Хозяйственные постройки для содержания скота и птицы.</w:t>
            </w:r>
            <w:r/>
          </w:p>
          <w:p>
            <w:pPr>
              <w:ind w:left="161" w:right="132"/>
              <w:jc w:val="both"/>
              <w:rPr>
                <w:rFonts w:eastAsia="SimSun"/>
                <w:lang w:eastAsia="zh-CN" w:bidi="ru-RU"/>
              </w:rPr>
            </w:pPr>
            <w:r>
              <w:rPr>
                <w:rFonts w:eastAsia="SimSun"/>
                <w:lang w:eastAsia="zh-CN" w:bidi="ru-RU"/>
              </w:rPr>
            </w:r>
            <w:r/>
          </w:p>
          <w:p>
            <w:pPr>
              <w:ind w:left="161" w:right="132"/>
              <w:jc w:val="both"/>
              <w:rPr>
                <w:rFonts w:eastAsia="SimSun"/>
                <w:lang w:eastAsia="zh-CN" w:bidi="ru-RU"/>
              </w:rPr>
            </w:pPr>
            <w:r>
              <w:rPr>
                <w:rFonts w:eastAsia="SimSun"/>
                <w:lang w:eastAsia="zh-CN" w:bidi="ru-RU"/>
              </w:rPr>
              <w:t xml:space="preserve">Летние кухни, кладовые, погреба, бани, бассейны, гаражи навесы.</w:t>
            </w:r>
            <w:r/>
          </w:p>
          <w:p>
            <w:pPr>
              <w:ind w:left="161" w:right="132"/>
              <w:jc w:val="both"/>
              <w:rPr>
                <w:rFonts w:eastAsia="SimSun"/>
                <w:lang w:eastAsia="zh-CN" w:bidi="ru-RU"/>
              </w:rPr>
            </w:pPr>
            <w:r>
              <w:rPr>
                <w:rFonts w:eastAsia="SimSun"/>
                <w:lang w:eastAsia="zh-CN" w:bidi="ru-RU"/>
              </w:rPr>
            </w:r>
            <w:r/>
          </w:p>
          <w:p>
            <w:pPr>
              <w:ind w:left="161" w:right="132"/>
              <w:jc w:val="both"/>
              <w:rPr>
                <w:rFonts w:eastAsia="SimSun"/>
                <w:lang w:eastAsia="zh-CN" w:bidi="ru-RU"/>
              </w:rPr>
            </w:pPr>
            <w:r>
              <w:rPr>
                <w:rFonts w:eastAsia="SimSun"/>
                <w:lang w:eastAsia="zh-CN" w:bidi="ru-RU"/>
              </w:rPr>
              <w:t xml:space="preserve">Надворные туалеты, гидронепроницаемые выгребы, септики.</w:t>
            </w:r>
            <w:r/>
          </w:p>
          <w:p>
            <w:pPr>
              <w:ind w:right="132"/>
              <w:jc w:val="both"/>
              <w:rPr>
                <w:rFonts w:eastAsia="SimSun"/>
                <w:highlight w:val="cyan"/>
                <w:lang w:eastAsia="zh-CN" w:bidi="ru-RU"/>
              </w:rPr>
            </w:pPr>
            <w:r>
              <w:rPr>
                <w:rFonts w:eastAsia="SimSun"/>
                <w:highlight w:val="cyan"/>
                <w:lang w:eastAsia="zh-CN" w:bidi="ru-RU"/>
              </w:rPr>
            </w:r>
            <w:r/>
          </w:p>
          <w:p>
            <w:pPr>
              <w:ind w:left="161"/>
              <w:jc w:val="both"/>
            </w:pPr>
            <w:r>
              <w:t xml:space="preserve">  Ограждение</w:t>
            </w:r>
            <w:r/>
          </w:p>
          <w:p>
            <w:pPr>
              <w:ind w:right="132"/>
              <w:jc w:val="both"/>
            </w:pPr>
            <w:r/>
            <w:r/>
          </w:p>
          <w:p>
            <w:pPr>
              <w:ind w:left="161" w:right="132"/>
              <w:jc w:val="both"/>
              <w:rPr>
                <w:rFonts w:eastAsia="SimSun"/>
                <w:highlight w:val="cyan"/>
                <w:lang w:eastAsia="zh-CN" w:bidi="ru-RU"/>
              </w:rPr>
            </w:pPr>
            <w:r>
              <w:rPr>
                <w:rFonts w:eastAsia="SimSun"/>
                <w:lang w:eastAsia="zh-CN" w:bidi="ru-RU"/>
              </w:rPr>
              <w:t xml:space="preserve">Площадки для сбора твердых бытовых отходов.</w:t>
            </w:r>
            <w:r/>
          </w:p>
          <w:p>
            <w:pPr>
              <w:ind w:right="132"/>
              <w:jc w:val="both"/>
              <w:rPr>
                <w:rFonts w:eastAsia="SimSun"/>
                <w:lang w:eastAsia="zh-CN" w:bidi="ru-RU"/>
              </w:rPr>
            </w:pPr>
            <w:r>
              <w:rPr>
                <w:rFonts w:eastAsia="SimSun"/>
                <w:lang w:eastAsia="zh-CN" w:bidi="ru-RU"/>
              </w:rPr>
            </w:r>
            <w:r/>
          </w:p>
          <w:p>
            <w:pPr>
              <w:ind w:left="161" w:right="132"/>
              <w:jc w:val="both"/>
              <w:rPr>
                <w:rFonts w:eastAsia="SimSun"/>
                <w:lang w:eastAsia="zh-CN" w:bidi="ru-RU"/>
              </w:rPr>
            </w:pPr>
            <w:r>
              <w:rPr>
                <w:rFonts w:eastAsia="SimSun"/>
                <w:lang w:eastAsia="zh-CN" w:bidi="ru-RU"/>
              </w:rPr>
              <w:t xml:space="preserve">Придомовые площадки: для игр детей дошкольного и младшего школьного возраста </w:t>
            </w:r>
            <w:r/>
          </w:p>
          <w:p>
            <w:pPr>
              <w:ind w:left="161" w:right="132"/>
              <w:jc w:val="both"/>
              <w:rPr>
                <w:rFonts w:eastAsia="SimSun"/>
                <w:lang w:eastAsia="zh-CN" w:bidi="ru-RU"/>
              </w:rPr>
            </w:pPr>
            <w:r>
              <w:rPr>
                <w:rFonts w:eastAsia="SimSun"/>
                <w:lang w:eastAsia="zh-CN" w:bidi="ru-RU"/>
              </w:rPr>
              <w:t xml:space="preserve">для отдыха взрослого населения </w:t>
            </w:r>
            <w:r/>
          </w:p>
          <w:p>
            <w:pPr>
              <w:ind w:left="161" w:right="132"/>
              <w:jc w:val="both"/>
              <w:rPr>
                <w:rFonts w:eastAsia="SimSun"/>
                <w:lang w:eastAsia="zh-CN" w:bidi="ru-RU"/>
              </w:rPr>
            </w:pPr>
            <w:r>
              <w:rPr>
                <w:rFonts w:eastAsia="SimSun"/>
                <w:lang w:eastAsia="zh-CN" w:bidi="ru-RU"/>
              </w:rPr>
              <w:t xml:space="preserve">для занятий физкультурой</w:t>
            </w:r>
            <w:r/>
          </w:p>
          <w:p>
            <w:pPr>
              <w:ind w:left="161" w:right="132"/>
              <w:jc w:val="both"/>
              <w:rPr>
                <w:rFonts w:eastAsia="SimSun"/>
                <w:lang w:eastAsia="zh-CN" w:bidi="ru-RU"/>
              </w:rPr>
            </w:pPr>
            <w:r>
              <w:rPr>
                <w:rFonts w:eastAsia="SimSun"/>
                <w:lang w:eastAsia="zh-CN" w:bidi="ru-RU"/>
              </w:rPr>
              <w:t xml:space="preserve">для хозяйственных целей и выгула собак.</w:t>
            </w:r>
            <w:r/>
          </w:p>
          <w:p>
            <w:pPr>
              <w:ind w:left="161" w:right="132"/>
              <w:jc w:val="both"/>
              <w:rPr>
                <w:rFonts w:eastAsia="SimSun"/>
                <w:lang w:eastAsia="zh-CN" w:bidi="ru-RU"/>
              </w:rPr>
            </w:pPr>
            <w:r>
              <w:rPr>
                <w:rFonts w:eastAsia="SimSun"/>
                <w:lang w:eastAsia="zh-CN" w:bidi="ru-RU"/>
              </w:rPr>
            </w:r>
            <w:r/>
          </w:p>
          <w:p>
            <w:pPr>
              <w:ind w:left="161" w:right="132"/>
              <w:jc w:val="both"/>
              <w:rPr>
                <w:rFonts w:eastAsia="SimSun"/>
                <w:highlight w:val="cyan"/>
                <w:lang w:eastAsia="zh-CN" w:bidi="ru-RU"/>
              </w:rPr>
            </w:pPr>
            <w:r>
              <w:rPr>
                <w:rFonts w:eastAsia="SimSun"/>
                <w:lang w:eastAsia="zh-CN" w:bidi="ru-RU"/>
              </w:rPr>
              <w:t xml:space="preserve">Объекты хранения индивидуального легкового автотранспорт.</w:t>
            </w:r>
            <w:r/>
          </w:p>
          <w:p>
            <w:pPr>
              <w:ind w:left="161" w:right="132"/>
              <w:jc w:val="both"/>
              <w:rPr>
                <w:rFonts w:eastAsia="SimSun"/>
                <w:lang w:eastAsia="zh-CN" w:bidi="ru-RU"/>
              </w:rPr>
            </w:pPr>
            <w:r>
              <w:rPr>
                <w:rFonts w:eastAsia="SimSun"/>
                <w:lang w:eastAsia="zh-CN" w:bidi="ru-RU"/>
              </w:rPr>
            </w:r>
            <w:r/>
          </w:p>
          <w:p>
            <w:pPr>
              <w:ind w:left="161" w:right="132"/>
              <w:jc w:val="both"/>
              <w:rPr>
                <w:rFonts w:eastAsia="SimSun"/>
                <w:lang w:eastAsia="zh-CN" w:bidi="ru-RU"/>
              </w:rPr>
            </w:pPr>
            <w:r>
              <w:rPr>
                <w:rFonts w:eastAsia="SimSun"/>
                <w:lang w:eastAsia="zh-CN" w:bidi="ru-RU"/>
              </w:rPr>
              <w:t xml:space="preserve"> Гостевые автостоянки для парковки легковых автомобилей посетителей.</w:t>
            </w:r>
            <w:r/>
          </w:p>
          <w:p>
            <w:pPr>
              <w:ind w:left="161"/>
              <w:jc w:val="both"/>
              <w:rPr>
                <w:rFonts w:eastAsia="Calibri"/>
              </w:rPr>
            </w:pPr>
            <w:r>
              <w:rPr>
                <w:rFonts w:eastAsia="Calibri"/>
              </w:rPr>
            </w:r>
            <w:r/>
          </w:p>
          <w:p>
            <w:pPr>
              <w:ind w:left="161"/>
              <w:jc w:val="both"/>
              <w:rPr>
                <w:rFonts w:eastAsia="SimSun"/>
                <w:lang w:eastAsia="zh-CN" w:bidi="ru-RU"/>
              </w:rPr>
            </w:pPr>
            <w:r>
              <w:rPr>
                <w:rFonts w:eastAsia="Calibri"/>
              </w:rPr>
              <w:t xml:space="preserve">  Площадки для разгрузки товаров</w:t>
            </w:r>
            <w:r/>
          </w:p>
        </w:tc>
        <w:tc>
          <w:tcPr>
            <w:tcBorders>
              <w:top w:val="single" w:color="000000" w:sz="4" w:space="0"/>
              <w:left w:val="single" w:color="000000" w:sz="4" w:space="0"/>
              <w:bottom w:val="single" w:color="auto" w:sz="4" w:space="0"/>
              <w:right w:val="single" w:color="auto" w:sz="4" w:space="0"/>
            </w:tcBorders>
            <w:tcW w:w="6237" w:type="dxa"/>
            <w:textDirection w:val="lrTb"/>
            <w:noWrap w:val="false"/>
          </w:tcPr>
          <w:p>
            <w:pPr>
              <w:ind w:left="131"/>
              <w:jc w:val="both"/>
            </w:pPr>
            <w:r>
              <w:rPr>
                <w:rFonts w:eastAsia="SimSun"/>
                <w:lang w:eastAsia="zh-CN" w:bidi="ru-RU"/>
              </w:rPr>
              <w:t xml:space="preserve">Максимальное количество надземных этажей –2 этажа (при условии обеспечения нормативной инсоляции на территории соседних участков).</w:t>
            </w:r>
            <w:r>
              <w:t xml:space="preserve"> </w:t>
            </w:r>
            <w:r/>
          </w:p>
          <w:p>
            <w:pPr>
              <w:ind w:left="131"/>
              <w:jc w:val="both"/>
            </w:pPr>
            <w:r/>
            <w:r/>
          </w:p>
          <w:p>
            <w:pPr>
              <w:ind w:left="127" w:right="132"/>
              <w:jc w:val="both"/>
            </w:pPr>
            <w:r>
              <w:rPr>
                <w:rFonts w:eastAsia="SimSun"/>
                <w:lang w:eastAsia="zh-CN" w:bidi="ru-RU"/>
              </w:rPr>
              <w:t xml:space="preserve">Максимальная высота – 6 м. </w:t>
            </w:r>
            <w:r>
              <w:t xml:space="preserve">Максимальная площадь объектов вспомогательного назначения (за исключением навесов) – не более 50% от общей площади объекта ИЖС.</w:t>
            </w:r>
            <w:r/>
          </w:p>
          <w:p>
            <w:pPr>
              <w:ind w:left="131" w:right="132"/>
              <w:jc w:val="both"/>
              <w:rPr>
                <w:rFonts w:eastAsia="SimSun"/>
                <w:lang w:eastAsia="zh-CN" w:bidi="ru-RU"/>
              </w:rPr>
            </w:pPr>
            <w:r>
              <w:rPr>
                <w:rFonts w:eastAsia="SimSun"/>
                <w:lang w:eastAsia="zh-CN" w:bidi="ru-RU"/>
              </w:rPr>
            </w:r>
            <w:r/>
          </w:p>
          <w:p>
            <w:pPr>
              <w:ind w:left="131" w:right="132"/>
              <w:jc w:val="both"/>
              <w:rPr>
                <w:rFonts w:eastAsia="SimSun"/>
                <w:lang w:eastAsia="zh-CN" w:bidi="ru-RU"/>
              </w:rPr>
            </w:pPr>
            <w:r>
              <w:rPr>
                <w:rFonts w:eastAsia="SimSun"/>
                <w:lang w:eastAsia="zh-CN" w:bidi="ru-RU"/>
              </w:rPr>
              <w:t xml:space="preserve">Расстояние от хозяйственных построек до красных линий улиц и проездов не менее - 5 м; до иных границ – 1 при соблюдении требований технических регламентов.</w:t>
            </w:r>
            <w:r/>
          </w:p>
          <w:p>
            <w:pPr>
              <w:ind w:left="127" w:right="132"/>
              <w:jc w:val="both"/>
              <w:rPr>
                <w:rFonts w:eastAsia="SimSun"/>
                <w:lang w:eastAsia="zh-CN" w:bidi="ru-RU"/>
              </w:rPr>
            </w:pPr>
            <w:r>
              <w:rPr>
                <w:rFonts w:eastAsia="SimSun"/>
                <w:lang w:eastAsia="zh-CN" w:bidi="ru-RU"/>
              </w:rPr>
              <w:t xml:space="preserve">Минимальный отступ от границы соседнего участка составляет не менее: от стволов высокорослых деревьев – 4 м, от стволов среднерослых деревьев – 2 м, от кустарника – 1 м.</w:t>
            </w:r>
            <w:r/>
          </w:p>
          <w:p>
            <w:pPr>
              <w:ind w:left="131" w:right="132"/>
              <w:jc w:val="both"/>
              <w:rPr>
                <w:rFonts w:eastAsia="SimSun"/>
                <w:lang w:eastAsia="zh-CN" w:bidi="ru-RU"/>
              </w:rPr>
            </w:pPr>
            <w:r>
              <w:rPr>
                <w:rFonts w:eastAsia="SimSun"/>
                <w:lang w:eastAsia="zh-CN" w:bidi="ru-RU"/>
              </w:rPr>
            </w:r>
            <w:r/>
          </w:p>
          <w:p>
            <w:pPr>
              <w:ind w:left="131" w:right="132"/>
              <w:jc w:val="both"/>
              <w:rPr>
                <w:rFonts w:eastAsia="SimSun"/>
                <w:lang w:eastAsia="zh-CN" w:bidi="ru-RU"/>
              </w:rPr>
            </w:pPr>
            <w:r>
              <w:rPr>
                <w:rFonts w:eastAsia="SimSun"/>
                <w:lang w:eastAsia="zh-CN" w:bidi="ru-RU"/>
              </w:rPr>
              <w:t xml:space="preserve">Общая площадь коллективных хранилищ сельскохозяйственных продуктов определяется из расчета 4 - 5 кв. м на одну семью.</w:t>
            </w:r>
            <w:r/>
          </w:p>
          <w:p>
            <w:pPr>
              <w:ind w:left="131"/>
              <w:jc w:val="both"/>
            </w:pPr>
            <w:r/>
            <w:r/>
          </w:p>
          <w:p>
            <w:pPr>
              <w:ind w:left="131" w:right="140"/>
              <w:jc w:val="both"/>
            </w:pPr>
            <w:r>
              <w:t xml:space="preserve">На участках ЛПХ группы сараев должны содержать не более 30 блоков каждая. Площадь застройки сблокированных сараев не должна превышать 800 м2. Расстояние до объектов по содержанию животных, должно быть не менее, приведенных в таблице.</w:t>
            </w:r>
            <w:r/>
          </w:p>
          <w:p>
            <w:pPr>
              <w:ind w:left="131" w:right="140"/>
              <w:jc w:val="both"/>
              <w:rPr>
                <w:rFonts w:eastAsia="SimSun"/>
                <w:lang w:eastAsia="zh-CN" w:bidi="ru-RU"/>
              </w:rPr>
            </w:pPr>
            <w:r>
              <w:rPr>
                <w:rFonts w:eastAsia="SimSun"/>
                <w:lang w:eastAsia="zh-CN" w:bidi="ru-RU"/>
              </w:rPr>
            </w:r>
            <w:r/>
          </w:p>
          <w:p>
            <w:pPr>
              <w:ind w:left="131" w:right="140"/>
              <w:jc w:val="both"/>
              <w:rPr>
                <w:rFonts w:eastAsia="SimSun"/>
                <w:lang w:eastAsia="zh-CN" w:bidi="ru-RU"/>
              </w:rPr>
            </w:pPr>
            <w:r>
              <w:rPr>
                <w:rFonts w:eastAsia="SimSun"/>
                <w:lang w:eastAsia="zh-CN" w:bidi="ru-RU"/>
              </w:rPr>
              <w:t xml:space="preserve">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r/>
          </w:p>
          <w:p>
            <w:pPr>
              <w:ind w:left="131" w:right="140"/>
              <w:jc w:val="both"/>
              <w:rPr>
                <w:rFonts w:eastAsia="SimSun"/>
                <w:lang w:eastAsia="zh-CN" w:bidi="ru-RU"/>
              </w:rPr>
            </w:pPr>
            <w:r>
              <w:rPr>
                <w:rFonts w:eastAsia="SimSun"/>
                <w:lang w:eastAsia="zh-CN" w:bidi="ru-RU"/>
              </w:rPr>
            </w:r>
            <w:r/>
          </w:p>
          <w:p>
            <w:pPr>
              <w:ind w:left="131" w:right="140"/>
              <w:jc w:val="both"/>
              <w:rPr>
                <w:rFonts w:ascii="Times New Roman CYR" w:hAnsi="Times New Roman CYR" w:cs="Times New Roman CYR"/>
                <w:sz w:val="24"/>
                <w:szCs w:val="24"/>
                <w:lang w:eastAsia="ru-RU" w:bidi="ru-RU"/>
              </w:rPr>
            </w:pPr>
            <w:r>
              <w:rPr>
                <w:rFonts w:eastAsia="SimSun"/>
                <w:lang w:eastAsia="zh-CN" w:bidi="ru-RU"/>
              </w:rPr>
              <w:t xml:space="preserve">Расстояние до надворного туалета, гидронепроницаемого выгреба, септика до соседнего жилого дома не менее - 12 м; до красной линии не менее - 10 м; до границы смежного земельного участка не менее - 4 м.</w:t>
            </w:r>
            <w:r>
              <w:rPr>
                <w:rFonts w:ascii="Times New Roman CYR" w:hAnsi="Times New Roman CYR" w:cs="Times New Roman CYR"/>
                <w:sz w:val="24"/>
                <w:szCs w:val="24"/>
                <w:lang w:eastAsia="ru-RU" w:bidi="ru-RU"/>
              </w:rPr>
              <w:t xml:space="preserve"> </w:t>
            </w:r>
            <w:r/>
          </w:p>
          <w:p>
            <w:pPr>
              <w:ind w:left="131" w:right="140"/>
              <w:jc w:val="both"/>
              <w:rPr>
                <w:lang w:eastAsia="ru-RU" w:bidi="ru-RU"/>
              </w:rPr>
            </w:pPr>
            <w:r>
              <w:rPr>
                <w:lang w:eastAsia="ru-RU" w:bidi="ru-RU"/>
              </w:rPr>
              <w:t xml:space="preserve">Водонепроницаемые септики – на расстоянии не менее 5 м от фундамента построек, фильтрующие – на расстоянии не менее 8 м от фундамента построек;</w:t>
            </w:r>
            <w:r/>
          </w:p>
          <w:p>
            <w:pPr>
              <w:ind w:left="131" w:right="132"/>
              <w:jc w:val="both"/>
              <w:rPr>
                <w:rFonts w:eastAsia="SimSun"/>
                <w:lang w:eastAsia="zh-CN" w:bidi="ru-RU"/>
              </w:rPr>
            </w:pPr>
            <w:r>
              <w:rPr>
                <w:rFonts w:eastAsia="SimSun"/>
                <w:lang w:eastAsia="zh-CN" w:bidi="ru-RU"/>
              </w:rPr>
            </w:r>
            <w:r/>
          </w:p>
          <w:p>
            <w:pPr>
              <w:ind w:left="131" w:right="132"/>
              <w:jc w:val="both"/>
            </w:pPr>
            <w: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w:t>
            </w:r>
            <w:r>
              <w:t xml:space="preserve">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p>
          <w:p>
            <w:pPr>
              <w:ind w:left="131" w:right="132"/>
              <w:jc w:val="both"/>
              <w:rPr>
                <w:strike/>
              </w:rPr>
            </w:pPr>
            <w:r>
              <w:t xml:space="preserve">По границе с соседним земельным участком ограждения должны </w:t>
            </w:r>
            <w:r>
              <w:t xml:space="preserve">быть проветриваемыми на высоту не менее 0,5 м от уровня земли ограждения и высотой не более 2,0 м</w:t>
            </w:r>
            <w:r/>
          </w:p>
          <w:p>
            <w:pPr>
              <w:ind w:left="131" w:right="132"/>
              <w:jc w:val="both"/>
              <w:rPr>
                <w:rFonts w:eastAsia="SimSun"/>
                <w:lang w:eastAsia="zh-CN" w:bidi="ru-RU"/>
              </w:rPr>
            </w:pPr>
            <w:r>
              <w:rPr>
                <w:rFonts w:eastAsia="SimSun"/>
                <w:lang w:eastAsia="zh-CN" w:bidi="ru-RU"/>
              </w:rPr>
            </w:r>
            <w:r/>
          </w:p>
          <w:p>
            <w:pPr>
              <w:ind w:left="131" w:right="132"/>
              <w:jc w:val="both"/>
              <w:rPr>
                <w:rFonts w:eastAsia="SimSun"/>
                <w:highlight w:val="cyan"/>
                <w:lang w:eastAsia="zh-CN" w:bidi="ru-RU"/>
              </w:rPr>
            </w:pPr>
            <w:r>
              <w:rPr>
                <w:rFonts w:eastAsia="SimSun"/>
                <w:lang w:eastAsia="zh-CN" w:bidi="ru-RU"/>
              </w:rPr>
              <w:t xml:space="preserve">Расстояния от площадок для хозяйственных целей до наиболее удаленного входа в жилое здание - не более 100 м.</w:t>
            </w:r>
            <w:r/>
          </w:p>
          <w:p>
            <w:pPr>
              <w:ind w:left="131" w:right="132"/>
              <w:jc w:val="both"/>
              <w:rPr>
                <w:rFonts w:eastAsia="SimSun"/>
                <w:lang w:eastAsia="zh-CN" w:bidi="ru-RU"/>
              </w:rPr>
            </w:pPr>
            <w:r>
              <w:rPr>
                <w:rFonts w:eastAsia="SimSun"/>
                <w:lang w:eastAsia="zh-CN" w:bidi="ru-RU"/>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r/>
          </w:p>
          <w:p>
            <w:pPr>
              <w:ind w:left="131" w:right="132"/>
              <w:jc w:val="both"/>
              <w:rPr>
                <w:rFonts w:eastAsia="SimSun"/>
                <w:lang w:eastAsia="zh-CN" w:bidi="ru-RU"/>
              </w:rPr>
            </w:pPr>
            <w:r>
              <w:rPr>
                <w:rFonts w:eastAsia="SimSun"/>
                <w:lang w:eastAsia="zh-CN" w:bidi="ru-RU"/>
              </w:rPr>
              <w:t xml:space="preserve">Общее количество контейнеров не более 5 шт.</w:t>
            </w:r>
            <w:r/>
          </w:p>
          <w:p>
            <w:pPr>
              <w:ind w:left="131" w:right="132"/>
              <w:jc w:val="both"/>
              <w:rPr>
                <w:rFonts w:eastAsia="SimSun"/>
                <w:lang w:eastAsia="zh-CN" w:bidi="ru-RU"/>
              </w:rPr>
            </w:pPr>
            <w:r>
              <w:rPr>
                <w:rFonts w:eastAsia="SimSun"/>
                <w:lang w:eastAsia="zh-CN" w:bidi="ru-RU"/>
              </w:rPr>
            </w:r>
            <w:r/>
          </w:p>
          <w:p>
            <w:pPr>
              <w:ind w:left="131" w:right="132"/>
              <w:jc w:val="both"/>
              <w:rPr>
                <w:rFonts w:eastAsia="SimSun"/>
                <w:lang w:eastAsia="zh-CN" w:bidi="ru-RU"/>
              </w:rPr>
            </w:pPr>
            <w:r>
              <w:rPr>
                <w:rFonts w:eastAsia="SimSun"/>
                <w:lang w:eastAsia="zh-CN" w:bidi="ru-RU"/>
              </w:rPr>
              <w:t xml:space="preserve">Количество парковочных мест на придомовой территории МЖД принимается из расчета на 1 квартиру – 1 м/место. </w:t>
            </w:r>
            <w:r/>
          </w:p>
          <w:p>
            <w:pPr>
              <w:ind w:left="131"/>
              <w:jc w:val="both"/>
              <w:rPr>
                <w:bCs/>
                <w:shd w:val="clear" w:color="auto" w:fill="ffffff"/>
              </w:rPr>
            </w:pPr>
            <w:r>
              <w:rPr>
                <w:bCs/>
                <w:shd w:val="clear" w:color="auto" w:fill="ffffff"/>
              </w:rPr>
            </w:r>
            <w:r/>
          </w:p>
          <w:p>
            <w:pPr>
              <w:ind w:left="131"/>
              <w:jc w:val="both"/>
              <w:rPr>
                <w:bCs/>
                <w:shd w:val="clear" w:color="auto" w:fill="ffffff"/>
              </w:rPr>
            </w:pPr>
            <w:r>
              <w:rPr>
                <w:bCs/>
                <w:shd w:val="clear" w:color="auto" w:fill="ffffff"/>
              </w:rPr>
              <w:t xml:space="preserve">Нормы расчета количества парковочных мест для легковых автомобилей приведены в таблице 1статьи 41 настоящих Правил. Расстояния от парковок до объектов капитального строительства принимать по таблице 2 статьи 41 настоящих правил.</w:t>
            </w:r>
            <w:r/>
          </w:p>
        </w:tc>
        <w:tc>
          <w:tcPr>
            <w:tcBorders>
              <w:top w:val="single" w:color="000000" w:sz="4" w:space="0"/>
              <w:left w:val="single" w:color="000000" w:sz="4" w:space="0"/>
              <w:bottom w:val="single" w:color="auto" w:sz="4" w:space="0"/>
              <w:right w:val="single" w:color="auto" w:sz="4" w:space="0"/>
            </w:tcBorders>
            <w:tcW w:w="3827" w:type="dxa"/>
            <w:textDirection w:val="lrTb"/>
            <w:noWrap w:val="false"/>
          </w:tcPr>
          <w:tbl>
            <w:tblPr>
              <w:tblpPr w:horzAnchor="margin" w:tblpXSpec="center" w:vertAnchor="page" w:tblpY="722" w:leftFromText="180" w:topFromText="0" w:rightFromText="180" w:bottomFromText="0"/>
              <w:tblW w:w="3372" w:type="dxa"/>
              <w:shd w:val="clear" w:color="auto" w:fill="f7fafb"/>
              <w:tblLayout w:type="fixed"/>
              <w:tblCellMar>
                <w:left w:w="0" w:type="dxa"/>
                <w:right w:w="0" w:type="dxa"/>
              </w:tblCellMar>
              <w:tblLook w:val="04A0" w:firstRow="1" w:lastRow="0" w:firstColumn="1" w:lastColumn="0" w:noHBand="0" w:noVBand="1"/>
            </w:tblPr>
            <w:tblGrid>
              <w:gridCol w:w="484"/>
              <w:gridCol w:w="409"/>
              <w:gridCol w:w="409"/>
              <w:gridCol w:w="409"/>
              <w:gridCol w:w="409"/>
              <w:gridCol w:w="305"/>
              <w:gridCol w:w="545"/>
              <w:gridCol w:w="402"/>
            </w:tblGrid>
            <w:tr>
              <w:trPr>
                <w:trHeight w:val="13"/>
              </w:trPr>
              <w:tc>
                <w:tcPr>
                  <w:shd w:val="clear" w:color="auto" w:fill="f7fafb"/>
                  <w:tcBorders>
                    <w:top w:val="single" w:color="auto" w:sz="8" w:space="0"/>
                    <w:left w:val="single" w:color="auto" w:sz="8" w:space="0"/>
                    <w:bottom w:val="single" w:color="auto" w:sz="8" w:space="0"/>
                    <w:right w:val="single" w:color="auto" w:sz="8" w:space="0"/>
                  </w:tcBorders>
                  <w:tcMar>
                    <w:left w:w="28" w:type="dxa"/>
                    <w:top w:w="114" w:type="dxa"/>
                    <w:right w:w="28" w:type="dxa"/>
                    <w:bottom w:w="114" w:type="dxa"/>
                  </w:tcMar>
                  <w:tcW w:w="484" w:type="dxa"/>
                  <w:vAlign w:val="bottom"/>
                  <w:textDirection w:val="lrTb"/>
                  <w:noWrap w:val="false"/>
                </w:tcPr>
                <w:p>
                  <w:pPr>
                    <w:jc w:val="center"/>
                    <w:widowControl/>
                    <w:rPr>
                      <w:sz w:val="10"/>
                      <w:szCs w:val="10"/>
                      <w:lang w:eastAsia="ru-RU"/>
                    </w:rPr>
                  </w:pPr>
                  <w:r>
                    <w:rPr>
                      <w:sz w:val="10"/>
                      <w:szCs w:val="10"/>
                      <w:lang w:eastAsia="ru-RU"/>
                    </w:rPr>
                    <w:t xml:space="preserve">НОРМАТИВНЫЙ РАЗРЫВ</w:t>
                  </w:r>
                  <w:r/>
                </w:p>
              </w:tc>
              <w:tc>
                <w:tcPr>
                  <w:gridSpan w:val="7"/>
                  <w:shd w:val="clear" w:color="auto" w:fill="f7fafb"/>
                  <w:tcBorders>
                    <w:top w:val="single" w:color="auto" w:sz="8" w:space="0"/>
                    <w:left w:val="none" w:color="000000" w:sz="4" w:space="0"/>
                    <w:bottom w:val="single" w:color="auto" w:sz="8" w:space="0"/>
                    <w:right w:val="single" w:color="auto" w:sz="8" w:space="0"/>
                  </w:tcBorders>
                  <w:tcMar>
                    <w:left w:w="28" w:type="dxa"/>
                    <w:top w:w="114" w:type="dxa"/>
                    <w:right w:w="28" w:type="dxa"/>
                    <w:bottom w:w="114" w:type="dxa"/>
                  </w:tcMar>
                  <w:tcW w:w="2888" w:type="dxa"/>
                  <w:vAlign w:val="bottom"/>
                  <w:textDirection w:val="lrTb"/>
                  <w:noWrap w:val="false"/>
                </w:tcPr>
                <w:p>
                  <w:pPr>
                    <w:jc w:val="center"/>
                    <w:widowControl/>
                    <w:rPr>
                      <w:sz w:val="10"/>
                      <w:szCs w:val="10"/>
                      <w:lang w:eastAsia="ru-RU"/>
                    </w:rPr>
                  </w:pPr>
                  <w:r>
                    <w:rPr>
                      <w:sz w:val="10"/>
                      <w:szCs w:val="10"/>
                      <w:lang w:eastAsia="ru-RU"/>
                    </w:rPr>
                    <w:t xml:space="preserve">ПОГОЛОВЬЕ (ШТ.), НЕ БОЛЕЕ</w:t>
                  </w:r>
                  <w:r/>
                </w:p>
              </w:tc>
            </w:tr>
            <w:tr>
              <w:trPr>
                <w:trHeight w:val="6"/>
              </w:trPr>
              <w:tc>
                <w:tcPr>
                  <w:shd w:val="clear" w:color="auto" w:fill="e1ecf0"/>
                  <w:tcBorders>
                    <w:top w:val="none" w:color="000000" w:sz="4" w:space="0"/>
                    <w:left w:val="single" w:color="auto" w:sz="8" w:space="0"/>
                    <w:bottom w:val="single" w:color="auto" w:sz="8" w:space="0"/>
                    <w:right w:val="single" w:color="auto" w:sz="8" w:space="0"/>
                  </w:tcBorders>
                  <w:tcMar>
                    <w:left w:w="28" w:type="dxa"/>
                    <w:top w:w="114" w:type="dxa"/>
                    <w:right w:w="28" w:type="dxa"/>
                    <w:bottom w:w="114" w:type="dxa"/>
                  </w:tcMar>
                  <w:tcW w:w="484" w:type="dxa"/>
                  <w:vAlign w:val="bottom"/>
                  <w:textDirection w:val="lrTb"/>
                  <w:noWrap w:val="false"/>
                </w:tcPr>
                <w:p>
                  <w:pPr>
                    <w:widowControl/>
                    <w:rPr>
                      <w:sz w:val="10"/>
                      <w:szCs w:val="10"/>
                      <w:lang w:eastAsia="ru-RU"/>
                    </w:rPr>
                  </w:pPr>
                  <w:r>
                    <w:rPr>
                      <w:sz w:val="10"/>
                      <w:szCs w:val="10"/>
                      <w:lang w:eastAsia="ru-RU"/>
                    </w:rPr>
                    <w:t xml:space="preserve"> </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09" w:type="dxa"/>
                  <w:vAlign w:val="bottom"/>
                  <w:textDirection w:val="lrTb"/>
                  <w:noWrap w:val="false"/>
                </w:tcPr>
                <w:p>
                  <w:pPr>
                    <w:jc w:val="center"/>
                    <w:widowControl/>
                    <w:rPr>
                      <w:sz w:val="10"/>
                      <w:szCs w:val="10"/>
                      <w:lang w:eastAsia="ru-RU"/>
                    </w:rPr>
                  </w:pPr>
                  <w:r>
                    <w:rPr>
                      <w:sz w:val="10"/>
                      <w:szCs w:val="10"/>
                      <w:lang w:eastAsia="ru-RU"/>
                    </w:rPr>
                    <w:t xml:space="preserve">СВИНЬИ</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09" w:type="dxa"/>
                  <w:vAlign w:val="bottom"/>
                  <w:textDirection w:val="lrTb"/>
                  <w:noWrap w:val="false"/>
                </w:tcPr>
                <w:p>
                  <w:pPr>
                    <w:jc w:val="center"/>
                    <w:widowControl/>
                    <w:rPr>
                      <w:sz w:val="10"/>
                      <w:szCs w:val="10"/>
                      <w:lang w:eastAsia="ru-RU"/>
                    </w:rPr>
                  </w:pPr>
                  <w:r>
                    <w:rPr>
                      <w:sz w:val="10"/>
                      <w:szCs w:val="10"/>
                      <w:lang w:eastAsia="ru-RU"/>
                    </w:rPr>
                    <w:t xml:space="preserve">КОРОВЫ, БЫЧКИ</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09" w:type="dxa"/>
                  <w:vAlign w:val="bottom"/>
                  <w:textDirection w:val="lrTb"/>
                  <w:noWrap w:val="false"/>
                </w:tcPr>
                <w:p>
                  <w:pPr>
                    <w:jc w:val="center"/>
                    <w:widowControl/>
                    <w:rPr>
                      <w:sz w:val="10"/>
                      <w:szCs w:val="10"/>
                      <w:lang w:eastAsia="ru-RU"/>
                    </w:rPr>
                  </w:pPr>
                  <w:r>
                    <w:rPr>
                      <w:sz w:val="10"/>
                      <w:szCs w:val="10"/>
                      <w:lang w:eastAsia="ru-RU"/>
                    </w:rPr>
                    <w:t xml:space="preserve">ОВЦЫ, КОЗЫ</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09" w:type="dxa"/>
                  <w:vAlign w:val="bottom"/>
                  <w:textDirection w:val="lrTb"/>
                  <w:noWrap w:val="false"/>
                </w:tcPr>
                <w:p>
                  <w:pPr>
                    <w:jc w:val="center"/>
                    <w:widowControl/>
                    <w:rPr>
                      <w:sz w:val="10"/>
                      <w:szCs w:val="10"/>
                      <w:lang w:eastAsia="ru-RU"/>
                    </w:rPr>
                  </w:pPr>
                  <w:r>
                    <w:rPr>
                      <w:sz w:val="10"/>
                      <w:szCs w:val="10"/>
                      <w:lang w:eastAsia="ru-RU"/>
                    </w:rPr>
                    <w:t xml:space="preserve">КРОЛИКИ - МАТКИ</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305" w:type="dxa"/>
                  <w:vAlign w:val="bottom"/>
                  <w:textDirection w:val="lrTb"/>
                  <w:noWrap w:val="false"/>
                </w:tcPr>
                <w:p>
                  <w:pPr>
                    <w:jc w:val="center"/>
                    <w:widowControl/>
                    <w:rPr>
                      <w:sz w:val="10"/>
                      <w:szCs w:val="10"/>
                      <w:lang w:eastAsia="ru-RU"/>
                    </w:rPr>
                  </w:pPr>
                  <w:r>
                    <w:rPr>
                      <w:sz w:val="10"/>
                      <w:szCs w:val="10"/>
                      <w:lang w:eastAsia="ru-RU"/>
                    </w:rPr>
                    <w:t xml:space="preserve">ПТИЦА</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545" w:type="dxa"/>
                  <w:vAlign w:val="bottom"/>
                  <w:textDirection w:val="lrTb"/>
                  <w:noWrap w:val="false"/>
                </w:tcPr>
                <w:p>
                  <w:pPr>
                    <w:widowControl/>
                    <w:rPr>
                      <w:sz w:val="10"/>
                      <w:szCs w:val="10"/>
                      <w:lang w:eastAsia="ru-RU"/>
                    </w:rPr>
                  </w:pPr>
                  <w:r>
                    <w:rPr>
                      <w:sz w:val="10"/>
                      <w:szCs w:val="10"/>
                      <w:lang w:eastAsia="ru-RU"/>
                    </w:rPr>
                    <w:t xml:space="preserve">ЛОШАДИ</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02" w:type="dxa"/>
                  <w:vAlign w:val="bottom"/>
                  <w:textDirection w:val="lrTb"/>
                  <w:noWrap w:val="false"/>
                </w:tcPr>
                <w:p>
                  <w:pPr>
                    <w:jc w:val="center"/>
                    <w:widowControl/>
                    <w:rPr>
                      <w:sz w:val="10"/>
                      <w:szCs w:val="10"/>
                      <w:lang w:eastAsia="ru-RU"/>
                    </w:rPr>
                  </w:pPr>
                  <w:r>
                    <w:rPr>
                      <w:sz w:val="10"/>
                      <w:szCs w:val="10"/>
                      <w:lang w:eastAsia="ru-RU"/>
                    </w:rPr>
                    <w:t xml:space="preserve">НУТРИИ, ПЕСЦЫ</w:t>
                  </w:r>
                  <w:r/>
                </w:p>
              </w:tc>
            </w:tr>
            <w:tr>
              <w:trPr>
                <w:trHeight w:val="3"/>
              </w:trPr>
              <w:tc>
                <w:tcPr>
                  <w:shd w:val="clear" w:color="auto" w:fill="f7fafb"/>
                  <w:tcBorders>
                    <w:top w:val="none" w:color="000000" w:sz="4" w:space="0"/>
                    <w:left w:val="single" w:color="auto" w:sz="8" w:space="0"/>
                    <w:bottom w:val="single" w:color="auto" w:sz="8" w:space="0"/>
                    <w:right w:val="single" w:color="auto" w:sz="8" w:space="0"/>
                  </w:tcBorders>
                  <w:tcMar>
                    <w:left w:w="28" w:type="dxa"/>
                    <w:top w:w="114" w:type="dxa"/>
                    <w:right w:w="28" w:type="dxa"/>
                    <w:bottom w:w="114" w:type="dxa"/>
                  </w:tcMar>
                  <w:tcW w:w="484" w:type="dxa"/>
                  <w:vAlign w:val="bottom"/>
                  <w:textDirection w:val="lrTb"/>
                  <w:noWrap w:val="false"/>
                </w:tcPr>
                <w:p>
                  <w:pPr>
                    <w:jc w:val="center"/>
                    <w:widowControl/>
                    <w:rPr>
                      <w:sz w:val="10"/>
                      <w:szCs w:val="10"/>
                      <w:lang w:eastAsia="ru-RU"/>
                    </w:rPr>
                  </w:pPr>
                  <w:r>
                    <w:rPr>
                      <w:sz w:val="10"/>
                      <w:szCs w:val="10"/>
                      <w:lang w:eastAsia="ru-RU"/>
                    </w:rPr>
                    <w:t xml:space="preserve">10 М</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09" w:type="dxa"/>
                  <w:vAlign w:val="bottom"/>
                  <w:textDirection w:val="lrTb"/>
                  <w:noWrap w:val="false"/>
                </w:tcPr>
                <w:p>
                  <w:pPr>
                    <w:jc w:val="center"/>
                    <w:widowControl/>
                    <w:rPr>
                      <w:sz w:val="10"/>
                      <w:szCs w:val="10"/>
                      <w:lang w:eastAsia="ru-RU"/>
                    </w:rPr>
                  </w:pPr>
                  <w:r>
                    <w:rPr>
                      <w:sz w:val="10"/>
                      <w:szCs w:val="10"/>
                      <w:lang w:eastAsia="ru-RU"/>
                    </w:rPr>
                    <w:t xml:space="preserve">5</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09" w:type="dxa"/>
                  <w:vAlign w:val="bottom"/>
                  <w:textDirection w:val="lrTb"/>
                  <w:noWrap w:val="false"/>
                </w:tcPr>
                <w:p>
                  <w:pPr>
                    <w:jc w:val="center"/>
                    <w:widowControl/>
                    <w:rPr>
                      <w:sz w:val="10"/>
                      <w:szCs w:val="10"/>
                      <w:lang w:eastAsia="ru-RU"/>
                    </w:rPr>
                  </w:pPr>
                  <w:r>
                    <w:rPr>
                      <w:sz w:val="10"/>
                      <w:szCs w:val="10"/>
                      <w:lang w:eastAsia="ru-RU"/>
                    </w:rPr>
                    <w:t xml:space="preserve">5</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09" w:type="dxa"/>
                  <w:vAlign w:val="bottom"/>
                  <w:textDirection w:val="lrTb"/>
                  <w:noWrap w:val="false"/>
                </w:tcPr>
                <w:p>
                  <w:pPr>
                    <w:jc w:val="center"/>
                    <w:widowControl/>
                    <w:rPr>
                      <w:sz w:val="10"/>
                      <w:szCs w:val="10"/>
                      <w:lang w:eastAsia="ru-RU"/>
                    </w:rPr>
                  </w:pPr>
                  <w:r>
                    <w:rPr>
                      <w:sz w:val="10"/>
                      <w:szCs w:val="10"/>
                      <w:lang w:eastAsia="ru-RU"/>
                    </w:rPr>
                    <w:t xml:space="preserve">10</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09" w:type="dxa"/>
                  <w:vAlign w:val="bottom"/>
                  <w:textDirection w:val="lrTb"/>
                  <w:noWrap w:val="false"/>
                </w:tcPr>
                <w:p>
                  <w:pPr>
                    <w:jc w:val="center"/>
                    <w:widowControl/>
                    <w:rPr>
                      <w:sz w:val="10"/>
                      <w:szCs w:val="10"/>
                      <w:lang w:eastAsia="ru-RU"/>
                    </w:rPr>
                  </w:pPr>
                  <w:r>
                    <w:rPr>
                      <w:sz w:val="10"/>
                      <w:szCs w:val="10"/>
                      <w:lang w:eastAsia="ru-RU"/>
                    </w:rPr>
                    <w:t xml:space="preserve">10</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305" w:type="dxa"/>
                  <w:vAlign w:val="bottom"/>
                  <w:textDirection w:val="lrTb"/>
                  <w:noWrap w:val="false"/>
                </w:tcPr>
                <w:p>
                  <w:pPr>
                    <w:jc w:val="center"/>
                    <w:widowControl/>
                    <w:rPr>
                      <w:sz w:val="10"/>
                      <w:szCs w:val="10"/>
                      <w:lang w:eastAsia="ru-RU"/>
                    </w:rPr>
                  </w:pPr>
                  <w:r>
                    <w:rPr>
                      <w:sz w:val="10"/>
                      <w:szCs w:val="10"/>
                      <w:lang w:eastAsia="ru-RU"/>
                    </w:rPr>
                    <w:t xml:space="preserve">30</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545" w:type="dxa"/>
                  <w:vAlign w:val="bottom"/>
                  <w:textDirection w:val="lrTb"/>
                  <w:noWrap w:val="false"/>
                </w:tcPr>
                <w:p>
                  <w:pPr>
                    <w:jc w:val="center"/>
                    <w:widowControl/>
                    <w:rPr>
                      <w:sz w:val="10"/>
                      <w:szCs w:val="10"/>
                      <w:lang w:eastAsia="ru-RU"/>
                    </w:rPr>
                  </w:pPr>
                  <w:r>
                    <w:rPr>
                      <w:sz w:val="10"/>
                      <w:szCs w:val="10"/>
                      <w:lang w:eastAsia="ru-RU"/>
                    </w:rPr>
                    <w:t xml:space="preserve">5</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02" w:type="dxa"/>
                  <w:vAlign w:val="bottom"/>
                  <w:textDirection w:val="lrTb"/>
                  <w:noWrap w:val="false"/>
                </w:tcPr>
                <w:p>
                  <w:pPr>
                    <w:jc w:val="center"/>
                    <w:widowControl/>
                    <w:rPr>
                      <w:sz w:val="10"/>
                      <w:szCs w:val="10"/>
                      <w:lang w:eastAsia="ru-RU"/>
                    </w:rPr>
                  </w:pPr>
                  <w:r>
                    <w:rPr>
                      <w:sz w:val="10"/>
                      <w:szCs w:val="10"/>
                      <w:lang w:eastAsia="ru-RU"/>
                    </w:rPr>
                    <w:t xml:space="preserve">5</w:t>
                  </w:r>
                  <w:r/>
                </w:p>
              </w:tc>
            </w:tr>
            <w:tr>
              <w:trPr>
                <w:trHeight w:val="3"/>
              </w:trPr>
              <w:tc>
                <w:tcPr>
                  <w:shd w:val="clear" w:color="auto" w:fill="e1ecf0"/>
                  <w:tcBorders>
                    <w:top w:val="none" w:color="000000" w:sz="4" w:space="0"/>
                    <w:left w:val="single" w:color="auto" w:sz="8" w:space="0"/>
                    <w:bottom w:val="single" w:color="auto" w:sz="8" w:space="0"/>
                    <w:right w:val="single" w:color="auto" w:sz="8" w:space="0"/>
                  </w:tcBorders>
                  <w:tcMar>
                    <w:left w:w="28" w:type="dxa"/>
                    <w:top w:w="114" w:type="dxa"/>
                    <w:right w:w="28" w:type="dxa"/>
                    <w:bottom w:w="114" w:type="dxa"/>
                  </w:tcMar>
                  <w:tcW w:w="484" w:type="dxa"/>
                  <w:vAlign w:val="bottom"/>
                  <w:textDirection w:val="lrTb"/>
                  <w:noWrap w:val="false"/>
                </w:tcPr>
                <w:p>
                  <w:pPr>
                    <w:jc w:val="center"/>
                    <w:widowControl/>
                    <w:rPr>
                      <w:sz w:val="10"/>
                      <w:szCs w:val="10"/>
                      <w:lang w:eastAsia="ru-RU"/>
                    </w:rPr>
                  </w:pPr>
                  <w:r>
                    <w:rPr>
                      <w:sz w:val="10"/>
                      <w:szCs w:val="10"/>
                      <w:lang w:eastAsia="ru-RU"/>
                    </w:rPr>
                    <w:t xml:space="preserve">20 М</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09" w:type="dxa"/>
                  <w:vAlign w:val="bottom"/>
                  <w:textDirection w:val="lrTb"/>
                  <w:noWrap w:val="false"/>
                </w:tcPr>
                <w:p>
                  <w:pPr>
                    <w:jc w:val="center"/>
                    <w:widowControl/>
                    <w:rPr>
                      <w:sz w:val="10"/>
                      <w:szCs w:val="10"/>
                      <w:lang w:eastAsia="ru-RU"/>
                    </w:rPr>
                  </w:pPr>
                  <w:r>
                    <w:rPr>
                      <w:sz w:val="10"/>
                      <w:szCs w:val="10"/>
                      <w:lang w:eastAsia="ru-RU"/>
                    </w:rPr>
                    <w:t xml:space="preserve">8</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09" w:type="dxa"/>
                  <w:vAlign w:val="bottom"/>
                  <w:textDirection w:val="lrTb"/>
                  <w:noWrap w:val="false"/>
                </w:tcPr>
                <w:p>
                  <w:pPr>
                    <w:jc w:val="center"/>
                    <w:widowControl/>
                    <w:rPr>
                      <w:sz w:val="10"/>
                      <w:szCs w:val="10"/>
                      <w:lang w:eastAsia="ru-RU"/>
                    </w:rPr>
                  </w:pPr>
                  <w:r>
                    <w:rPr>
                      <w:sz w:val="10"/>
                      <w:szCs w:val="10"/>
                      <w:lang w:eastAsia="ru-RU"/>
                    </w:rPr>
                    <w:t xml:space="preserve">8</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09" w:type="dxa"/>
                  <w:vAlign w:val="bottom"/>
                  <w:textDirection w:val="lrTb"/>
                  <w:noWrap w:val="false"/>
                </w:tcPr>
                <w:p>
                  <w:pPr>
                    <w:jc w:val="center"/>
                    <w:widowControl/>
                    <w:rPr>
                      <w:sz w:val="10"/>
                      <w:szCs w:val="10"/>
                      <w:lang w:eastAsia="ru-RU"/>
                    </w:rPr>
                  </w:pPr>
                  <w:r>
                    <w:rPr>
                      <w:sz w:val="10"/>
                      <w:szCs w:val="10"/>
                      <w:lang w:eastAsia="ru-RU"/>
                    </w:rPr>
                    <w:t xml:space="preserve">15</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09" w:type="dxa"/>
                  <w:vAlign w:val="bottom"/>
                  <w:textDirection w:val="lrTb"/>
                  <w:noWrap w:val="false"/>
                </w:tcPr>
                <w:p>
                  <w:pPr>
                    <w:jc w:val="center"/>
                    <w:widowControl/>
                    <w:rPr>
                      <w:sz w:val="10"/>
                      <w:szCs w:val="10"/>
                      <w:lang w:eastAsia="ru-RU"/>
                    </w:rPr>
                  </w:pPr>
                  <w:r>
                    <w:rPr>
                      <w:sz w:val="10"/>
                      <w:szCs w:val="10"/>
                      <w:lang w:eastAsia="ru-RU"/>
                    </w:rPr>
                    <w:t xml:space="preserve">20</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305" w:type="dxa"/>
                  <w:vAlign w:val="bottom"/>
                  <w:textDirection w:val="lrTb"/>
                  <w:noWrap w:val="false"/>
                </w:tcPr>
                <w:p>
                  <w:pPr>
                    <w:jc w:val="center"/>
                    <w:widowControl/>
                    <w:rPr>
                      <w:sz w:val="10"/>
                      <w:szCs w:val="10"/>
                      <w:lang w:eastAsia="ru-RU"/>
                    </w:rPr>
                  </w:pPr>
                  <w:r>
                    <w:rPr>
                      <w:sz w:val="10"/>
                      <w:szCs w:val="10"/>
                      <w:lang w:eastAsia="ru-RU"/>
                    </w:rPr>
                    <w:t xml:space="preserve">45</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545" w:type="dxa"/>
                  <w:vAlign w:val="bottom"/>
                  <w:textDirection w:val="lrTb"/>
                  <w:noWrap w:val="false"/>
                </w:tcPr>
                <w:p>
                  <w:pPr>
                    <w:jc w:val="center"/>
                    <w:widowControl/>
                    <w:rPr>
                      <w:sz w:val="10"/>
                      <w:szCs w:val="10"/>
                      <w:lang w:eastAsia="ru-RU"/>
                    </w:rPr>
                  </w:pPr>
                  <w:r>
                    <w:rPr>
                      <w:sz w:val="10"/>
                      <w:szCs w:val="10"/>
                      <w:lang w:eastAsia="ru-RU"/>
                    </w:rPr>
                    <w:t xml:space="preserve">8</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02" w:type="dxa"/>
                  <w:vAlign w:val="bottom"/>
                  <w:textDirection w:val="lrTb"/>
                  <w:noWrap w:val="false"/>
                </w:tcPr>
                <w:p>
                  <w:pPr>
                    <w:jc w:val="center"/>
                    <w:widowControl/>
                    <w:rPr>
                      <w:sz w:val="10"/>
                      <w:szCs w:val="10"/>
                      <w:lang w:eastAsia="ru-RU"/>
                    </w:rPr>
                  </w:pPr>
                  <w:r>
                    <w:rPr>
                      <w:sz w:val="10"/>
                      <w:szCs w:val="10"/>
                      <w:lang w:eastAsia="ru-RU"/>
                    </w:rPr>
                    <w:t xml:space="preserve">8</w:t>
                  </w:r>
                  <w:r/>
                </w:p>
              </w:tc>
            </w:tr>
            <w:tr>
              <w:trPr>
                <w:trHeight w:val="3"/>
              </w:trPr>
              <w:tc>
                <w:tcPr>
                  <w:shd w:val="clear" w:color="auto" w:fill="f7fafb"/>
                  <w:tcBorders>
                    <w:top w:val="none" w:color="000000" w:sz="4" w:space="0"/>
                    <w:left w:val="single" w:color="auto" w:sz="8" w:space="0"/>
                    <w:bottom w:val="single" w:color="auto" w:sz="8" w:space="0"/>
                    <w:right w:val="single" w:color="auto" w:sz="8" w:space="0"/>
                  </w:tcBorders>
                  <w:tcMar>
                    <w:left w:w="28" w:type="dxa"/>
                    <w:top w:w="114" w:type="dxa"/>
                    <w:right w:w="28" w:type="dxa"/>
                    <w:bottom w:w="114" w:type="dxa"/>
                  </w:tcMar>
                  <w:tcW w:w="484" w:type="dxa"/>
                  <w:vAlign w:val="bottom"/>
                  <w:textDirection w:val="lrTb"/>
                  <w:noWrap w:val="false"/>
                </w:tcPr>
                <w:p>
                  <w:pPr>
                    <w:jc w:val="center"/>
                    <w:widowControl/>
                    <w:rPr>
                      <w:sz w:val="10"/>
                      <w:szCs w:val="10"/>
                      <w:lang w:eastAsia="ru-RU"/>
                    </w:rPr>
                  </w:pPr>
                  <w:r>
                    <w:rPr>
                      <w:sz w:val="10"/>
                      <w:szCs w:val="10"/>
                      <w:lang w:eastAsia="ru-RU"/>
                    </w:rPr>
                    <w:t xml:space="preserve">30 М</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09" w:type="dxa"/>
                  <w:vAlign w:val="bottom"/>
                  <w:textDirection w:val="lrTb"/>
                  <w:noWrap w:val="false"/>
                </w:tcPr>
                <w:p>
                  <w:pPr>
                    <w:jc w:val="center"/>
                    <w:widowControl/>
                    <w:rPr>
                      <w:sz w:val="10"/>
                      <w:szCs w:val="10"/>
                      <w:lang w:eastAsia="ru-RU"/>
                    </w:rPr>
                  </w:pPr>
                  <w:r>
                    <w:rPr>
                      <w:sz w:val="10"/>
                      <w:szCs w:val="10"/>
                      <w:lang w:eastAsia="ru-RU"/>
                    </w:rPr>
                    <w:t xml:space="preserve">10</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09" w:type="dxa"/>
                  <w:vAlign w:val="bottom"/>
                  <w:textDirection w:val="lrTb"/>
                  <w:noWrap w:val="false"/>
                </w:tcPr>
                <w:p>
                  <w:pPr>
                    <w:jc w:val="center"/>
                    <w:widowControl/>
                    <w:rPr>
                      <w:sz w:val="10"/>
                      <w:szCs w:val="10"/>
                      <w:lang w:eastAsia="ru-RU"/>
                    </w:rPr>
                  </w:pPr>
                  <w:r>
                    <w:rPr>
                      <w:sz w:val="10"/>
                      <w:szCs w:val="10"/>
                      <w:lang w:eastAsia="ru-RU"/>
                    </w:rPr>
                    <w:t xml:space="preserve">10</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09" w:type="dxa"/>
                  <w:vAlign w:val="bottom"/>
                  <w:textDirection w:val="lrTb"/>
                  <w:noWrap w:val="false"/>
                </w:tcPr>
                <w:p>
                  <w:pPr>
                    <w:jc w:val="center"/>
                    <w:widowControl/>
                    <w:rPr>
                      <w:sz w:val="10"/>
                      <w:szCs w:val="10"/>
                      <w:lang w:eastAsia="ru-RU"/>
                    </w:rPr>
                  </w:pPr>
                  <w:r>
                    <w:rPr>
                      <w:sz w:val="10"/>
                      <w:szCs w:val="10"/>
                      <w:lang w:eastAsia="ru-RU"/>
                    </w:rPr>
                    <w:t xml:space="preserve">20</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09" w:type="dxa"/>
                  <w:vAlign w:val="bottom"/>
                  <w:textDirection w:val="lrTb"/>
                  <w:noWrap w:val="false"/>
                </w:tcPr>
                <w:p>
                  <w:pPr>
                    <w:jc w:val="center"/>
                    <w:widowControl/>
                    <w:rPr>
                      <w:sz w:val="10"/>
                      <w:szCs w:val="10"/>
                      <w:lang w:eastAsia="ru-RU"/>
                    </w:rPr>
                  </w:pPr>
                  <w:r>
                    <w:rPr>
                      <w:sz w:val="10"/>
                      <w:szCs w:val="10"/>
                      <w:lang w:eastAsia="ru-RU"/>
                    </w:rPr>
                    <w:t xml:space="preserve">30</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305" w:type="dxa"/>
                  <w:vAlign w:val="bottom"/>
                  <w:textDirection w:val="lrTb"/>
                  <w:noWrap w:val="false"/>
                </w:tcPr>
                <w:p>
                  <w:pPr>
                    <w:jc w:val="center"/>
                    <w:widowControl/>
                    <w:rPr>
                      <w:sz w:val="10"/>
                      <w:szCs w:val="10"/>
                      <w:lang w:eastAsia="ru-RU"/>
                    </w:rPr>
                  </w:pPr>
                  <w:r>
                    <w:rPr>
                      <w:sz w:val="10"/>
                      <w:szCs w:val="10"/>
                      <w:lang w:eastAsia="ru-RU"/>
                    </w:rPr>
                    <w:t xml:space="preserve">60</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545" w:type="dxa"/>
                  <w:vAlign w:val="bottom"/>
                  <w:textDirection w:val="lrTb"/>
                  <w:noWrap w:val="false"/>
                </w:tcPr>
                <w:p>
                  <w:pPr>
                    <w:jc w:val="center"/>
                    <w:widowControl/>
                    <w:rPr>
                      <w:sz w:val="10"/>
                      <w:szCs w:val="10"/>
                      <w:lang w:eastAsia="ru-RU"/>
                    </w:rPr>
                  </w:pPr>
                  <w:r>
                    <w:rPr>
                      <w:sz w:val="10"/>
                      <w:szCs w:val="10"/>
                      <w:lang w:eastAsia="ru-RU"/>
                    </w:rPr>
                    <w:t xml:space="preserve">10</w:t>
                  </w:r>
                  <w:r/>
                </w:p>
              </w:tc>
              <w:tc>
                <w:tcPr>
                  <w:shd w:val="clear" w:color="auto" w:fill="f7fafb"/>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02" w:type="dxa"/>
                  <w:vAlign w:val="bottom"/>
                  <w:textDirection w:val="lrTb"/>
                  <w:noWrap w:val="false"/>
                </w:tcPr>
                <w:p>
                  <w:pPr>
                    <w:jc w:val="center"/>
                    <w:widowControl/>
                    <w:rPr>
                      <w:sz w:val="10"/>
                      <w:szCs w:val="10"/>
                      <w:lang w:eastAsia="ru-RU"/>
                    </w:rPr>
                  </w:pPr>
                  <w:r>
                    <w:rPr>
                      <w:sz w:val="10"/>
                      <w:szCs w:val="10"/>
                      <w:lang w:eastAsia="ru-RU"/>
                    </w:rPr>
                    <w:t xml:space="preserve">10</w:t>
                  </w:r>
                  <w:r/>
                </w:p>
              </w:tc>
            </w:tr>
            <w:tr>
              <w:trPr>
                <w:trHeight w:val="2"/>
              </w:trPr>
              <w:tc>
                <w:tcPr>
                  <w:shd w:val="clear" w:color="auto" w:fill="e1ecf0"/>
                  <w:tcBorders>
                    <w:top w:val="none" w:color="000000" w:sz="4" w:space="0"/>
                    <w:left w:val="single" w:color="auto" w:sz="8" w:space="0"/>
                    <w:bottom w:val="single" w:color="auto" w:sz="8" w:space="0"/>
                    <w:right w:val="single" w:color="auto" w:sz="8" w:space="0"/>
                  </w:tcBorders>
                  <w:tcMar>
                    <w:left w:w="28" w:type="dxa"/>
                    <w:top w:w="114" w:type="dxa"/>
                    <w:right w:w="28" w:type="dxa"/>
                    <w:bottom w:w="114" w:type="dxa"/>
                  </w:tcMar>
                  <w:tcW w:w="484" w:type="dxa"/>
                  <w:vAlign w:val="bottom"/>
                  <w:textDirection w:val="lrTb"/>
                  <w:noWrap w:val="false"/>
                </w:tcPr>
                <w:p>
                  <w:pPr>
                    <w:jc w:val="center"/>
                    <w:widowControl/>
                    <w:rPr>
                      <w:sz w:val="10"/>
                      <w:szCs w:val="10"/>
                      <w:lang w:eastAsia="ru-RU"/>
                    </w:rPr>
                  </w:pPr>
                  <w:r>
                    <w:rPr>
                      <w:sz w:val="10"/>
                      <w:szCs w:val="10"/>
                      <w:lang w:eastAsia="ru-RU"/>
                    </w:rPr>
                    <w:t xml:space="preserve">40 М</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09" w:type="dxa"/>
                  <w:vAlign w:val="bottom"/>
                  <w:textDirection w:val="lrTb"/>
                  <w:noWrap w:val="false"/>
                </w:tcPr>
                <w:p>
                  <w:pPr>
                    <w:jc w:val="center"/>
                    <w:widowControl/>
                    <w:rPr>
                      <w:sz w:val="10"/>
                      <w:szCs w:val="10"/>
                      <w:lang w:eastAsia="ru-RU"/>
                    </w:rPr>
                  </w:pPr>
                  <w:r>
                    <w:rPr>
                      <w:sz w:val="10"/>
                      <w:szCs w:val="10"/>
                      <w:lang w:eastAsia="ru-RU"/>
                    </w:rPr>
                    <w:t xml:space="preserve">15</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09" w:type="dxa"/>
                  <w:vAlign w:val="bottom"/>
                  <w:textDirection w:val="lrTb"/>
                  <w:noWrap w:val="false"/>
                </w:tcPr>
                <w:p>
                  <w:pPr>
                    <w:jc w:val="center"/>
                    <w:widowControl/>
                    <w:rPr>
                      <w:sz w:val="10"/>
                      <w:szCs w:val="10"/>
                      <w:lang w:eastAsia="ru-RU"/>
                    </w:rPr>
                  </w:pPr>
                  <w:r>
                    <w:rPr>
                      <w:sz w:val="10"/>
                      <w:szCs w:val="10"/>
                      <w:lang w:eastAsia="ru-RU"/>
                    </w:rPr>
                    <w:t xml:space="preserve">15</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09" w:type="dxa"/>
                  <w:vAlign w:val="bottom"/>
                  <w:textDirection w:val="lrTb"/>
                  <w:noWrap w:val="false"/>
                </w:tcPr>
                <w:p>
                  <w:pPr>
                    <w:jc w:val="center"/>
                    <w:widowControl/>
                    <w:rPr>
                      <w:sz w:val="10"/>
                      <w:szCs w:val="10"/>
                      <w:lang w:eastAsia="ru-RU"/>
                    </w:rPr>
                  </w:pPr>
                  <w:r>
                    <w:rPr>
                      <w:sz w:val="10"/>
                      <w:szCs w:val="10"/>
                      <w:lang w:eastAsia="ru-RU"/>
                    </w:rPr>
                    <w:t xml:space="preserve">25</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09" w:type="dxa"/>
                  <w:vAlign w:val="bottom"/>
                  <w:textDirection w:val="lrTb"/>
                  <w:noWrap w:val="false"/>
                </w:tcPr>
                <w:p>
                  <w:pPr>
                    <w:jc w:val="center"/>
                    <w:widowControl/>
                    <w:rPr>
                      <w:sz w:val="10"/>
                      <w:szCs w:val="10"/>
                      <w:lang w:eastAsia="ru-RU"/>
                    </w:rPr>
                  </w:pPr>
                  <w:r>
                    <w:rPr>
                      <w:sz w:val="10"/>
                      <w:szCs w:val="10"/>
                      <w:lang w:eastAsia="ru-RU"/>
                    </w:rPr>
                    <w:t xml:space="preserve">40</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305" w:type="dxa"/>
                  <w:vAlign w:val="bottom"/>
                  <w:textDirection w:val="lrTb"/>
                  <w:noWrap w:val="false"/>
                </w:tcPr>
                <w:p>
                  <w:pPr>
                    <w:jc w:val="center"/>
                    <w:widowControl/>
                    <w:rPr>
                      <w:sz w:val="10"/>
                      <w:szCs w:val="10"/>
                      <w:lang w:eastAsia="ru-RU"/>
                    </w:rPr>
                  </w:pPr>
                  <w:r>
                    <w:rPr>
                      <w:sz w:val="10"/>
                      <w:szCs w:val="10"/>
                      <w:lang w:eastAsia="ru-RU"/>
                    </w:rPr>
                    <w:t xml:space="preserve">75</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545" w:type="dxa"/>
                  <w:vAlign w:val="bottom"/>
                  <w:textDirection w:val="lrTb"/>
                  <w:noWrap w:val="false"/>
                </w:tcPr>
                <w:p>
                  <w:pPr>
                    <w:jc w:val="center"/>
                    <w:widowControl/>
                    <w:rPr>
                      <w:sz w:val="10"/>
                      <w:szCs w:val="10"/>
                      <w:lang w:eastAsia="ru-RU"/>
                    </w:rPr>
                  </w:pPr>
                  <w:r>
                    <w:rPr>
                      <w:sz w:val="10"/>
                      <w:szCs w:val="10"/>
                      <w:lang w:eastAsia="ru-RU"/>
                    </w:rPr>
                    <w:t xml:space="preserve">15</w:t>
                  </w:r>
                  <w:r/>
                </w:p>
              </w:tc>
              <w:tc>
                <w:tcPr>
                  <w:shd w:val="clear" w:color="auto" w:fill="e1ecf0"/>
                  <w:tcBorders>
                    <w:top w:val="none" w:color="000000" w:sz="4" w:space="0"/>
                    <w:left w:val="none" w:color="000000" w:sz="4" w:space="0"/>
                    <w:bottom w:val="single" w:color="auto" w:sz="8" w:space="0"/>
                    <w:right w:val="single" w:color="auto" w:sz="8" w:space="0"/>
                  </w:tcBorders>
                  <w:tcMar>
                    <w:left w:w="28" w:type="dxa"/>
                    <w:top w:w="114" w:type="dxa"/>
                    <w:right w:w="28" w:type="dxa"/>
                    <w:bottom w:w="114" w:type="dxa"/>
                  </w:tcMar>
                  <w:tcW w:w="402" w:type="dxa"/>
                  <w:vAlign w:val="bottom"/>
                  <w:textDirection w:val="lrTb"/>
                  <w:noWrap w:val="false"/>
                </w:tcPr>
                <w:p>
                  <w:pPr>
                    <w:jc w:val="center"/>
                    <w:widowControl/>
                    <w:rPr>
                      <w:sz w:val="10"/>
                      <w:szCs w:val="10"/>
                      <w:lang w:eastAsia="ru-RU"/>
                    </w:rPr>
                  </w:pPr>
                  <w:r>
                    <w:rPr>
                      <w:sz w:val="10"/>
                      <w:szCs w:val="10"/>
                      <w:lang w:eastAsia="ru-RU"/>
                    </w:rPr>
                    <w:t xml:space="preserve">15</w:t>
                  </w:r>
                  <w:r/>
                </w:p>
              </w:tc>
            </w:tr>
          </w:tbl>
          <w:p>
            <w:pPr>
              <w:ind w:left="132"/>
            </w:pPr>
            <w:r>
              <w:t xml:space="preserve">Нормативные расстояния между ЖД их хоз.постройкой для содержания животных:</w:t>
            </w:r>
            <w:r/>
          </w:p>
          <w:p>
            <w:pPr>
              <w:ind w:right="132"/>
              <w:jc w:val="both"/>
            </w:pPr>
            <w:r/>
            <w:r/>
          </w:p>
          <w:p>
            <w:pPr>
              <w:ind w:left="132" w:right="132"/>
              <w:jc w:val="both"/>
              <w:rPr>
                <w:rFonts w:eastAsia="SimSun"/>
                <w:lang w:eastAsia="zh-CN" w:bidi="ru-RU"/>
              </w:rPr>
            </w:pPr>
            <w:r>
              <w:rPr>
                <w:rFonts w:eastAsia="SimSun"/>
                <w:lang w:eastAsia="zh-CN" w:bidi="ru-RU"/>
              </w:rPr>
              <w:t xml:space="preserve">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r/>
          </w:p>
          <w:p>
            <w:pPr>
              <w:ind w:left="132" w:right="132" w:firstLine="141"/>
              <w:jc w:val="both"/>
              <w:rPr>
                <w:rFonts w:eastAsia="SimSun"/>
                <w:lang w:eastAsia="zh-CN" w:bidi="ru-RU"/>
              </w:rPr>
            </w:pPr>
            <w:r>
              <w:rPr>
                <w:rFonts w:eastAsia="SimSun"/>
                <w:lang w:eastAsia="zh-CN" w:bidi="ru-RU"/>
              </w:rPr>
            </w:r>
            <w:r/>
          </w:p>
          <w:p>
            <w:pPr>
              <w:ind w:left="132" w:right="132"/>
              <w:jc w:val="both"/>
              <w:tabs>
                <w:tab w:val="left" w:pos="1134" w:leader="none"/>
              </w:tabs>
              <w:rPr>
                <w:rFonts w:eastAsia="SimSun"/>
                <w:lang w:eastAsia="zh-CN" w:bidi="ru-RU"/>
              </w:rPr>
            </w:pPr>
            <w:r>
              <w:rPr>
                <w:rFonts w:eastAsia="SimSun"/>
                <w:lang w:eastAsia="zh-CN" w:bidi="ru-RU"/>
              </w:rPr>
              <w:t xml:space="preserve">Размещение вспомогательных объектов, в том числе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r/>
          </w:p>
          <w:p>
            <w:pPr>
              <w:ind w:left="132" w:right="132" w:firstLine="141"/>
              <w:jc w:val="both"/>
              <w:tabs>
                <w:tab w:val="left" w:pos="1134" w:leader="none"/>
              </w:tabs>
              <w:rPr>
                <w:rFonts w:eastAsia="SimSun"/>
                <w:lang w:eastAsia="zh-CN" w:bidi="ru-RU"/>
              </w:rPr>
            </w:pPr>
            <w:r>
              <w:rPr>
                <w:rFonts w:eastAsia="SimSun"/>
                <w:lang w:eastAsia="zh-CN" w:bidi="ru-RU"/>
              </w:rPr>
            </w:r>
            <w:r/>
          </w:p>
          <w:p>
            <w:pPr>
              <w:ind w:left="132" w:right="132"/>
              <w:jc w:val="both"/>
            </w:pPr>
            <w:r>
              <w:t xml:space="preserve">Хозяйственные постройки должны быть  обеспечены системами водоотведения с кровли, с целью предотвращения подтопления соседни</w:t>
            </w:r>
            <w:r>
              <w:t xml:space="preserve">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 </w:t>
            </w:r>
            <w:r/>
          </w:p>
          <w:p>
            <w:pPr>
              <w:ind w:left="132" w:right="132" w:firstLine="426"/>
              <w:jc w:val="both"/>
            </w:pPr>
            <w:r/>
            <w:r/>
          </w:p>
          <w:p>
            <w:pPr>
              <w:ind w:left="124" w:right="132"/>
              <w:jc w:val="both"/>
              <w:rPr>
                <w:rFonts w:eastAsia="SimSun"/>
                <w:lang w:eastAsia="zh-CN" w:bidi="ru-RU"/>
              </w:rPr>
            </w:pPr>
            <w:r>
              <w:rPr>
                <w:rFonts w:eastAsia="SimSun"/>
                <w:lang w:eastAsia="zh-CN" w:bidi="ru-RU"/>
              </w:rPr>
              <w:t xml:space="preserve">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r/>
          </w:p>
          <w:p>
            <w:pPr>
              <w:ind w:left="124" w:right="132" w:firstLine="283"/>
              <w:jc w:val="both"/>
              <w:rPr>
                <w:rFonts w:eastAsia="SimSun"/>
                <w:lang w:eastAsia="zh-CN" w:bidi="ru-RU"/>
              </w:rPr>
            </w:pPr>
            <w:r>
              <w:rPr>
                <w:rFonts w:eastAsia="SimSun"/>
                <w:lang w:eastAsia="zh-CN" w:bidi="ru-RU"/>
              </w:rPr>
            </w:r>
            <w:r/>
          </w:p>
          <w:p>
            <w:pPr>
              <w:ind w:left="124" w:right="132"/>
              <w:jc w:val="both"/>
              <w:rPr>
                <w:rFonts w:eastAsia="SimSun"/>
                <w:lang w:eastAsia="zh-CN" w:bidi="ru-RU"/>
              </w:rPr>
            </w:pPr>
            <w:r>
              <w:rPr>
                <w:rFonts w:eastAsia="SimSun"/>
                <w:lang w:eastAsia="zh-CN" w:bidi="ru-RU"/>
              </w:rPr>
              <w:t xml:space="preserve">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p>
          <w:p>
            <w:pPr>
              <w:ind w:right="132"/>
              <w:jc w:val="both"/>
              <w:rPr>
                <w:rFonts w:eastAsia="Calibri"/>
              </w:rPr>
            </w:pPr>
            <w:r>
              <w:rPr>
                <w:rFonts w:eastAsia="Calibri"/>
              </w:rPr>
            </w:r>
            <w:r/>
          </w:p>
          <w:p>
            <w:pPr>
              <w:ind w:left="132" w:right="132"/>
              <w:jc w:val="both"/>
              <w:rPr>
                <w:rFonts w:eastAsia="Calibri"/>
              </w:rPr>
            </w:pPr>
            <w:r>
              <w:rPr>
                <w:rFonts w:eastAsia="Calibri"/>
              </w:rPr>
              <w:t xml:space="preserve">Площадки для разгрузки товаров размещать в пределах отведенного земельного участка.</w:t>
            </w:r>
            <w:r/>
          </w:p>
          <w:p>
            <w:pPr>
              <w:ind w:left="132" w:right="132" w:firstLine="426"/>
              <w:jc w:val="both"/>
              <w:rPr>
                <w:rFonts w:eastAsia="Calibri"/>
              </w:rPr>
            </w:pPr>
            <w:r>
              <w:rPr>
                <w:rFonts w:eastAsia="Calibri"/>
              </w:rPr>
            </w:r>
            <w:r/>
          </w:p>
          <w:p>
            <w:pPr>
              <w:ind w:left="132" w:right="132"/>
              <w:jc w:val="both"/>
            </w:pPr>
            <w:r>
              <w:rPr>
                <w:rFonts w:eastAsia="SimSun"/>
                <w:lang w:eastAsia="zh-CN" w:bidi="ru-RU"/>
              </w:rPr>
              <w:t xml:space="preserve">Любые вспомогательные виды решённого использования объектов капитального строительства не могут по своим суммарным характеристикам (стр</w:t>
            </w:r>
            <w:r>
              <w:rPr>
                <w:rFonts w:eastAsia="SimSun"/>
                <w:lang w:eastAsia="zh-CN" w:bidi="ru-RU"/>
              </w:rPr>
              <w:t xml:space="preserve">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r/>
          </w:p>
        </w:tc>
      </w:tr>
    </w:tbl>
    <w:p>
      <w:pPr>
        <w:ind w:firstLine="567"/>
        <w:jc w:val="both"/>
        <w:rPr>
          <w:szCs w:val="24"/>
          <w:shd w:val="clear" w:color="auto" w:fill="ffffff"/>
        </w:rPr>
      </w:pPr>
      <w:r>
        <w:rPr>
          <w:szCs w:val="24"/>
          <w:shd w:val="clear" w:color="auto" w:fill="ffffff"/>
        </w:rPr>
        <w:t xml:space="preserve">Примечание:</w:t>
      </w:r>
      <w:r/>
    </w:p>
    <w:p>
      <w:pPr>
        <w:ind w:firstLine="567"/>
        <w:jc w:val="both"/>
        <w:rPr>
          <w:szCs w:val="24"/>
          <w:shd w:val="clear" w:color="auto" w:fill="ffffff"/>
        </w:rPr>
      </w:pPr>
      <w:r>
        <w:rPr>
          <w:szCs w:val="24"/>
          <w:shd w:val="clear" w:color="auto" w:fill="ffffff"/>
        </w:rPr>
        <w:t xml:space="preserve">Предельные (минимальные и (или) максимальные) размеры земельных участков и максимальный процент застройки для вспомогательных видов не подлежат установлению.</w:t>
      </w:r>
      <w:r/>
    </w:p>
    <w:p>
      <w:pPr>
        <w:ind w:firstLine="567"/>
        <w:jc w:val="both"/>
        <w:rPr>
          <w:sz w:val="24"/>
          <w:szCs w:val="24"/>
        </w:rPr>
      </w:pPr>
      <w:r>
        <w:rPr>
          <w:lang w:eastAsia="ru-RU"/>
        </w:rPr>
        <w:t xml:space="preserve">Общая площадь некапитального объекта принята до 25 кв.м. Этажность отдельно стоящих некапитальных объектов не должна быть более </w:t>
      </w:r>
      <w:r>
        <w:rPr>
          <w:lang w:eastAsia="ru-RU"/>
        </w:rPr>
        <w:t xml:space="preserve">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Кавказского сельского поселения Кавказско</w:t>
      </w:r>
      <w:r>
        <w:rPr>
          <w:lang w:eastAsia="ru-RU"/>
        </w:rPr>
        <w:t xml:space="preserve">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w:t>
      </w:r>
      <w:r>
        <w:rPr>
          <w:lang w:eastAsia="ru-RU"/>
        </w:rPr>
        <w:t xml:space="preserve">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r/>
    </w:p>
    <w:p>
      <w:pPr>
        <w:ind w:firstLine="567"/>
        <w:jc w:val="both"/>
      </w:pPr>
      <w:r/>
      <w:r/>
    </w:p>
    <w:p>
      <w:pPr>
        <w:ind w:firstLine="567"/>
        <w:jc w:val="both"/>
      </w:pPr>
      <w:r/>
      <w:r/>
    </w:p>
    <w:p>
      <w:pPr>
        <w:ind w:firstLine="567"/>
        <w:jc w:val="center"/>
      </w:pPr>
      <w:r>
        <w:rPr>
          <w:b/>
          <w:caps/>
          <w:color w:val="000000"/>
        </w:rPr>
        <w:t xml:space="preserve">ОБЩЕСТВЕННО-ДЕЛОВЫЕ ЗОНЫ:</w:t>
      </w:r>
      <w:r/>
    </w:p>
    <w:p>
      <w:pPr>
        <w:ind w:firstLine="567"/>
        <w:jc w:val="both"/>
      </w:pPr>
      <w:r>
        <w:rPr>
          <w:color w:val="000000"/>
          <w:sz w:val="24"/>
          <w:szCs w:val="24"/>
        </w:rPr>
        <w:t xml:space="preserve">Земельные участки в составе о</w:t>
      </w:r>
      <w:r>
        <w:rPr>
          <w:color w:val="000000"/>
          <w:sz w:val="24"/>
          <w:szCs w:val="24"/>
        </w:rPr>
        <w:t xml:space="preserve">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w:t>
      </w:r>
      <w:r/>
    </w:p>
    <w:p>
      <w:pPr>
        <w:ind w:firstLine="567"/>
        <w:jc w:val="center"/>
      </w:pPr>
      <w:r/>
      <w:r/>
    </w:p>
    <w:p>
      <w:pPr>
        <w:ind w:firstLine="567"/>
        <w:jc w:val="center"/>
      </w:pPr>
      <w:r>
        <w:rPr>
          <w:b/>
          <w:color w:val="000000"/>
          <w:sz w:val="24"/>
          <w:szCs w:val="24"/>
        </w:rPr>
        <w:t xml:space="preserve">МНОГОФУНКЦИОНАЛЬНАЯ ОБЩЕСТВЕННО-ДЕЛОВАЯ ЗОНА </w:t>
      </w:r>
      <w:r/>
    </w:p>
    <w:p>
      <w:pPr>
        <w:ind w:firstLine="567"/>
        <w:jc w:val="both"/>
      </w:pPr>
      <w:r/>
      <w:r/>
    </w:p>
    <w:p>
      <w:pPr>
        <w:ind w:firstLine="567"/>
        <w:jc w:val="both"/>
      </w:pPr>
      <w:r>
        <w:rPr>
          <w:color w:val="000000" w:themeColor="text1"/>
          <w:sz w:val="24"/>
          <w:szCs w:val="24"/>
        </w:rPr>
        <w:t xml:space="preserve">Кодовое обозначение – ОД-1</w:t>
      </w:r>
      <w:r/>
    </w:p>
    <w:p>
      <w:pPr>
        <w:ind w:firstLine="567"/>
        <w:jc w:val="both"/>
      </w:pPr>
      <w:r>
        <w:rPr>
          <w:color w:val="000000"/>
          <w:sz w:val="24"/>
          <w:szCs w:val="24"/>
        </w:rPr>
        <w:t xml:space="preserve">Мног</w:t>
      </w:r>
      <w:r>
        <w:rPr>
          <w:color w:val="000000"/>
          <w:sz w:val="24"/>
          <w:szCs w:val="24"/>
        </w:rPr>
        <w:t xml:space="preserve">офункциональные общественно-деловые зоны предназначены для размещения объектов культуры, торговли, здравоохранения, общественного питания, социального и культурно-бытового назначения, предпринимательской деятельности, объектов среднего профессионального и </w:t>
      </w:r>
      <w:r>
        <w:rPr>
          <w:color w:val="000000"/>
          <w:sz w:val="24"/>
          <w:szCs w:val="24"/>
        </w:rPr>
        <w:t xml:space="preserve">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r/>
    </w:p>
    <w:p>
      <w:pPr>
        <w:jc w:val="both"/>
      </w:pPr>
      <w:r/>
      <w:r/>
    </w:p>
    <w:p>
      <w:pPr>
        <w:ind w:firstLine="567"/>
        <w:jc w:val="center"/>
        <w:tabs>
          <w:tab w:val="left" w:pos="2520" w:leader="none"/>
        </w:tabs>
      </w:pPr>
      <w:r>
        <w:rPr>
          <w:b/>
          <w:color w:val="000000"/>
        </w:rPr>
        <w:t xml:space="preserve">ОСНОВНЫЕ ВИДЫ И ПАРАМЕТРЫ РАЗРЕШЕННОГО ИСПОЛЬЗОВАНИЯ</w:t>
      </w:r>
      <w:r/>
    </w:p>
    <w:p>
      <w:pPr>
        <w:ind w:firstLine="567"/>
        <w:jc w:val="center"/>
        <w:tabs>
          <w:tab w:val="left" w:pos="2520" w:leader="none"/>
        </w:tabs>
      </w:pPr>
      <w:r>
        <w:rPr>
          <w:b/>
          <w:color w:val="000000"/>
        </w:rPr>
        <w:t xml:space="preserve">ЗЕМЕЛЬНЫХ УЧАСТКОВ И ОБЪЕКТОВ КАПИТАЛЬНОГО СТРОИТЕЛЬСТВА</w:t>
      </w:r>
      <w:r/>
    </w:p>
    <w:p>
      <w:pPr>
        <w:ind w:firstLine="567"/>
        <w:jc w:val="center"/>
        <w:tabs>
          <w:tab w:val="left" w:pos="2520" w:leader="none"/>
        </w:tabs>
      </w:pPr>
      <w:r/>
      <w:r/>
    </w:p>
    <w:tbl>
      <w:tblPr>
        <w:tblW w:w="151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4A0" w:firstRow="1" w:lastRow="0" w:firstColumn="1" w:lastColumn="0" w:noHBand="0" w:noVBand="1"/>
      </w:tblPr>
      <w:tblGrid>
        <w:gridCol w:w="2014"/>
        <w:gridCol w:w="5221"/>
        <w:gridCol w:w="5528"/>
        <w:gridCol w:w="2410"/>
      </w:tblGrid>
      <w:tr>
        <w:trPr/>
        <w:tc>
          <w:tcPr>
            <w:tcW w:w="2014" w:type="dxa"/>
            <w:vAlign w:val="center"/>
            <w:textDirection w:val="lrTb"/>
            <w:noWrap w:val="false"/>
          </w:tcPr>
          <w:p>
            <w:pPr>
              <w:ind w:left="147" w:right="24"/>
              <w:jc w:val="center"/>
              <w:tabs>
                <w:tab w:val="left" w:pos="2520" w:leader="none"/>
              </w:tabs>
              <w:rPr>
                <w:b/>
              </w:rPr>
            </w:pPr>
            <w:r>
              <w:rPr>
                <w:rFonts w:eastAsia="SimSun"/>
                <w:lang w:eastAsia="zh-CN" w:bidi="ru-RU"/>
              </w:rPr>
              <w:t xml:space="preserve">[</w:t>
            </w:r>
            <w:r>
              <w:rPr>
                <w:b/>
              </w:rPr>
              <w:t xml:space="preserve">КОД (ЧИСЛОВОЕ ОБОЗНАЧЕНИЕ)</w:t>
            </w:r>
            <w:r>
              <w:rPr>
                <w:rFonts w:eastAsia="SimSun"/>
                <w:lang w:eastAsia="zh-CN" w:bidi="ru-RU"/>
              </w:rPr>
              <w:t xml:space="preserve">]-</w:t>
            </w:r>
            <w:r>
              <w:rPr>
                <w:b/>
              </w:rPr>
              <w:t xml:space="preserve"> НАИМЕНОВАНИЕ ВИДАРАЗРЕШЕННОГОИСПОЛЬЗОВАНИЯ ЗЕМЕЛЬНЫХ УЧАСТКОВ</w:t>
            </w:r>
            <w:r/>
          </w:p>
        </w:tc>
        <w:tc>
          <w:tcPr>
            <w:tcW w:w="5221" w:type="dxa"/>
            <w:vAlign w:val="center"/>
            <w:textDirection w:val="lrTb"/>
            <w:noWrap w:val="false"/>
          </w:tcPr>
          <w:p>
            <w:pPr>
              <w:ind w:left="147" w:right="24"/>
              <w:jc w:val="center"/>
              <w:tabs>
                <w:tab w:val="left" w:pos="2520" w:leader="none"/>
              </w:tabs>
              <w:rPr>
                <w:b/>
              </w:rPr>
            </w:pPr>
            <w:r>
              <w:rPr>
                <w:b/>
              </w:rPr>
              <w:t xml:space="preserve">ВИДЫ ОБЪЕКТОВ КАПИТАЛЬНОГО СТРОИТЕЛЬСТВА</w:t>
            </w:r>
            <w:r/>
          </w:p>
        </w:tc>
        <w:tc>
          <w:tcPr>
            <w:tcW w:w="5528" w:type="dxa"/>
            <w:vAlign w:val="center"/>
            <w:textDirection w:val="lrTb"/>
            <w:noWrap w:val="false"/>
          </w:tcPr>
          <w:p>
            <w:pPr>
              <w:ind w:left="147" w:right="24"/>
              <w:jc w:val="center"/>
              <w:tabs>
                <w:tab w:val="left" w:pos="2520" w:leader="none"/>
              </w:tabs>
              <w:rPr>
                <w:b/>
              </w:rPr>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W w:w="2410" w:type="dxa"/>
            <w:vAlign w:val="center"/>
            <w:textDirection w:val="lrTb"/>
            <w:noWrap w:val="false"/>
          </w:tcPr>
          <w:p>
            <w:pPr>
              <w:ind w:left="118" w:right="165"/>
              <w:jc w:val="center"/>
              <w:tabs>
                <w:tab w:val="left" w:pos="3071" w:leader="none"/>
              </w:tabs>
              <w:rPr>
                <w:b/>
              </w:rPr>
            </w:pPr>
            <w:r>
              <w:rPr>
                <w:b/>
              </w:rPr>
              <w:t xml:space="preserve">ОСОБЫЕ УСЛОВИЯ РЕАЛИЗАЦИИ РЕГЛАМЕНТА</w:t>
            </w:r>
            <w:r/>
          </w:p>
        </w:tc>
      </w:tr>
      <w:tr>
        <w:trPr/>
        <w:tc>
          <w:tcPr>
            <w:tcW w:w="2014" w:type="dxa"/>
            <w:textDirection w:val="lrTb"/>
            <w:noWrap w:val="false"/>
          </w:tcPr>
          <w:p>
            <w:pPr>
              <w:ind w:left="147" w:right="166"/>
            </w:pPr>
            <w:r>
              <w:t xml:space="preserve">[3.8] </w:t>
            </w:r>
            <w:r/>
          </w:p>
          <w:p>
            <w:pPr>
              <w:ind w:left="147" w:right="166"/>
            </w:pPr>
            <w:r>
              <w:t xml:space="preserve">Общественное управление</w:t>
            </w:r>
            <w:r/>
          </w:p>
        </w:tc>
        <w:tc>
          <w:tcPr>
            <w:tcW w:w="5221" w:type="dxa"/>
            <w:textDirection w:val="lrTb"/>
            <w:noWrap w:val="false"/>
          </w:tcPr>
          <w:p>
            <w:pPr>
              <w:ind w:left="118" w:right="165"/>
              <w:jc w:val="both"/>
            </w:pPr>
            <w: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r:id="rId70" w:tooltip="../Правила/Кавказская%20зона%202020%20новое%20ИЗМЕНЕНИЯ.doc#sub_1381" w:anchor="sub_1381" w:history="1">
              <w:r>
                <w:rPr>
                  <w:rFonts w:eastAsia="SimSun"/>
                </w:rPr>
                <w:t xml:space="preserve">кодами 3.8.1-3.8.2</w:t>
              </w:r>
            </w:hyperlink>
            <w:r/>
            <w:r/>
          </w:p>
        </w:tc>
        <w:tc>
          <w:tcPr>
            <w:tcW w:w="5528" w:type="dxa"/>
            <w:textDirection w:val="lrTb"/>
            <w:noWrap w:val="false"/>
          </w:tcPr>
          <w:p>
            <w:pPr>
              <w:ind w:left="118" w:right="165"/>
              <w:jc w:val="both"/>
            </w:pPr>
            <w:r>
              <w:t xml:space="preserve">Минимальная/максимальная площадь земельных участков – 200/15000 кв.м.;</w:t>
            </w:r>
            <w:r/>
          </w:p>
          <w:p>
            <w:pPr>
              <w:ind w:left="118" w:right="165"/>
              <w:jc w:val="both"/>
            </w:pPr>
            <w:r>
              <w:t xml:space="preserve">максимальное количество надземных этажей зданий – 3 (включая    мансардный этаж);</w:t>
            </w:r>
            <w:r/>
          </w:p>
          <w:p>
            <w:pPr>
              <w:ind w:left="118" w:right="165"/>
              <w:jc w:val="both"/>
            </w:pPr>
            <w:r>
              <w:t xml:space="preserve">максимальный процент застройки в границах земельного участка – 60%;</w:t>
            </w:r>
            <w:r/>
          </w:p>
          <w:p>
            <w:pPr>
              <w:ind w:left="118" w:right="165"/>
              <w:jc w:val="both"/>
            </w:pPr>
            <w:r>
              <w:t xml:space="preserve">минимальные отступы от красной линии – 5 м; от иных границ – 3 м;</w:t>
            </w:r>
            <w:r/>
          </w:p>
          <w:p>
            <w:pPr>
              <w:ind w:left="118" w:right="165"/>
            </w:pPr>
            <w:r>
              <w:t xml:space="preserve">   минимальный процент озеленения земельного участка 15%.</w:t>
            </w:r>
            <w:r/>
          </w:p>
        </w:tc>
        <w:tc>
          <w:tcPr>
            <w:tcW w:w="2410" w:type="dxa"/>
            <w:vMerge w:val="restart"/>
            <w:textDirection w:val="lrTb"/>
            <w:noWrap w:val="false"/>
          </w:tcPr>
          <w:p>
            <w:pPr>
              <w:ind w:left="142" w:right="65"/>
              <w:tabs>
                <w:tab w:val="left" w:pos="3071" w:leader="none"/>
              </w:tabs>
              <w:rPr>
                <w:shd w:val="clear" w:color="auto" w:fill="ffffff"/>
              </w:rPr>
            </w:pPr>
            <w:r>
              <w:rPr>
                <w:shd w:val="clear" w:color="auto" w:fill="ffffff"/>
              </w:rPr>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21 настоящих Правил.</w:t>
            </w:r>
            <w:r/>
          </w:p>
          <w:p>
            <w:pPr>
              <w:ind w:left="142" w:right="65"/>
              <w:tabs>
                <w:tab w:val="left" w:pos="3071" w:leader="none"/>
              </w:tabs>
            </w:pPr>
            <w:r/>
            <w:r/>
          </w:p>
          <w:p>
            <w:pPr>
              <w:ind w:left="142" w:right="65"/>
              <w:tabs>
                <w:tab w:val="left" w:pos="3071" w:leader="none"/>
              </w:tabs>
            </w:pPr>
            <w:r>
              <w:t xml:space="preserve">Использование земельных участков и объектов капитального </w:t>
            </w:r>
            <w:r>
              <w:t xml:space="preserve">строительства осуществлять с учетом режимов зон с особыми условиями использования территорий</w:t>
            </w:r>
            <w:r/>
          </w:p>
          <w:p>
            <w:pPr>
              <w:ind w:left="142" w:right="65"/>
              <w:widowControl/>
              <w:rPr>
                <w:lang w:eastAsia="ru-RU"/>
              </w:rPr>
            </w:pPr>
            <w:r>
              <w:rPr>
                <w:lang w:eastAsia="ru-RU"/>
              </w:rPr>
              <w:t xml:space="preserve">Допускает</w:t>
            </w:r>
            <w:r>
              <w:rPr>
                <w:lang w:eastAsia="ru-RU"/>
              </w:rPr>
              <w:t xml:space="preserve">ся блокировка зданий, строений и сооружений, расположенных на смежных земельных участках, по письменному согласию правообладателей смежных земельных участков и (или) объектов капитального строительства, подпись которых должна быть удостоверена нотариально;</w:t>
            </w:r>
            <w:r/>
          </w:p>
          <w:p>
            <w:pPr>
              <w:ind w:left="142" w:right="65"/>
              <w:widowControl/>
              <w:rPr>
                <w:lang w:eastAsia="ru-RU"/>
              </w:rPr>
            </w:pPr>
            <w:r>
              <w:rPr>
                <w:lang w:eastAsia="ru-RU"/>
              </w:rPr>
              <w:t xml:space="preserve">поднятие уровня земельного участка путем отсыпки грунта при наличии письменного согласия правообладателей смежных земельных участков, подпись которых должна быть удостоверена нотариально.</w:t>
            </w:r>
            <w:r/>
          </w:p>
          <w:p>
            <w:pPr>
              <w:ind w:right="65"/>
              <w:tabs>
                <w:tab w:val="left" w:pos="3071" w:leader="none"/>
              </w:tabs>
              <w:rPr>
                <w:rFonts w:eastAsia="Calibri"/>
                <w:lang w:eastAsia="en-US"/>
              </w:rPr>
            </w:pPr>
            <w:r>
              <w:rPr>
                <w:rFonts w:eastAsia="Calibri"/>
                <w:lang w:eastAsia="en-US"/>
              </w:rPr>
            </w:r>
            <w:r/>
          </w:p>
          <w:p>
            <w:pPr>
              <w:ind w:left="142" w:right="65"/>
              <w:tabs>
                <w:tab w:val="left" w:pos="3071" w:leader="none"/>
              </w:tabs>
            </w:pPr>
            <w:r>
              <w:rPr>
                <w:lang w:eastAsia="ru-RU"/>
              </w:rPr>
              <w:t xml:space="preserve">Для строительства объектов в зоне затопления или подтопления необходимо предусматривать мероприятия, предусмотренные частью 10 статьи 21 настоящих Правил.</w:t>
            </w:r>
            <w:r/>
          </w:p>
          <w:p>
            <w:pPr>
              <w:ind w:left="142" w:right="65"/>
              <w:rPr>
                <w:rFonts w:eastAsia="Calibri"/>
              </w:rPr>
            </w:pPr>
            <w:r>
              <w:rPr>
                <w:rFonts w:eastAsia="Calibri"/>
              </w:rPr>
            </w:r>
            <w:r/>
          </w:p>
          <w:p>
            <w:pPr>
              <w:ind w:left="142" w:right="65"/>
              <w:tabs>
                <w:tab w:val="left" w:pos="3071" w:leader="none"/>
              </w:tabs>
            </w:pPr>
            <w:r>
              <w:rPr>
                <w:shd w:val="clear" w:color="auto" w:fill="ffffff"/>
                <w:lang w:eastAsia="ru-RU"/>
              </w:rPr>
              <w:t xml:space="preserve">Факт наличия </w:t>
            </w:r>
            <w:r>
              <w:rPr>
                <w:lang w:eastAsia="ru-RU"/>
              </w:rPr>
              <w:t xml:space="preserve">неблагоприятных характеристик земельного участка, а также прямая зависимость таких характеристик с испрашиваемыми отклонениями от предельных параметров</w:t>
            </w:r>
            <w:r>
              <w:rPr>
                <w:shd w:val="clear" w:color="auto" w:fill="ffffff"/>
                <w:lang w:eastAsia="ru-RU"/>
              </w:rPr>
              <w:t xml:space="preserve"> должны подтверждаться </w:t>
            </w:r>
            <w:r>
              <w:rPr>
                <w:lang w:eastAsia="ru-RU"/>
              </w:rPr>
              <w:t xml:space="preserve">заключением аккредитованных экспертов.</w:t>
            </w:r>
            <w:r/>
          </w:p>
          <w:p>
            <w:pPr>
              <w:ind w:right="207"/>
              <w:tabs>
                <w:tab w:val="left" w:pos="3071" w:leader="none"/>
              </w:tabs>
            </w:pPr>
            <w:r/>
            <w:r/>
          </w:p>
          <w:p>
            <w:pPr>
              <w:ind w:left="142" w:right="207"/>
              <w:tabs>
                <w:tab w:val="left" w:pos="3071" w:leader="none"/>
              </w:tabs>
              <w:rPr>
                <w:rFonts w:eastAsia="SimSun"/>
                <w:lang w:eastAsia="zh-CN" w:bidi="ru-RU"/>
              </w:rPr>
            </w:pPr>
            <w:r>
              <w:rPr>
                <w:rFonts w:eastAsia="SimSun"/>
                <w:lang w:eastAsia="zh-CN" w:bidi="ru-RU"/>
              </w:rPr>
              <w:t xml:space="preserve">Наземные стоянки и парковки для обе</w:t>
            </w:r>
            <w:r>
              <w:rPr>
                <w:rFonts w:eastAsia="SimSun"/>
                <w:lang w:eastAsia="zh-CN" w:bidi="ru-RU"/>
              </w:rPr>
              <w:t xml:space="preserve">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r/>
          </w:p>
          <w:p>
            <w:pPr>
              <w:ind w:left="142" w:right="207"/>
              <w:tabs>
                <w:tab w:val="left" w:pos="3071" w:leader="none"/>
              </w:tabs>
              <w:rPr>
                <w:rFonts w:eastAsia="SimSun"/>
                <w:lang w:eastAsia="zh-CN" w:bidi="ru-RU"/>
              </w:rPr>
            </w:pPr>
            <w:r>
              <w:rPr>
                <w:rFonts w:eastAsia="SimSun"/>
                <w:lang w:eastAsia="zh-CN" w:bidi="ru-RU"/>
              </w:rPr>
            </w:r>
            <w:r/>
          </w:p>
          <w:p>
            <w:pPr>
              <w:ind w:left="142" w:right="207"/>
              <w:tabs>
                <w:tab w:val="left" w:pos="3071" w:leader="none"/>
              </w:tabs>
            </w:pPr>
            <w: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r/>
          </w:p>
          <w:p>
            <w:pPr>
              <w:ind w:left="142" w:right="207"/>
              <w:widowControl/>
              <w:rPr>
                <w:lang w:eastAsia="ru-RU"/>
              </w:rPr>
            </w:pPr>
            <w:r>
              <w:rPr>
                <w:lang w:eastAsia="ru-RU"/>
              </w:rPr>
            </w:r>
            <w:r/>
          </w:p>
          <w:p>
            <w:pPr>
              <w:ind w:left="142" w:right="207"/>
              <w:widowControl/>
              <w:rPr>
                <w:lang w:eastAsia="ru-RU"/>
              </w:rPr>
            </w:pPr>
            <w:r>
              <w:rPr>
                <w:lang w:eastAsia="ru-RU"/>
              </w:rPr>
              <w:t xml:space="preserve">Объекты по оказанию </w:t>
            </w:r>
            <w:r>
              <w:rPr>
                <w:lang w:eastAsia="ru-RU"/>
              </w:rPr>
              <w:t xml:space="preserve">услуг и обслуживанию населения допускается размещать в отдельно стоящих, встроенных или пристроенных строениях с изолированными от жилых зданий или их частей входами с учетом следующих условий:</w:t>
            </w:r>
            <w:r/>
          </w:p>
          <w:p>
            <w:pPr>
              <w:ind w:left="142" w:right="207"/>
              <w:widowControl/>
              <w:rPr>
                <w:lang w:eastAsia="ru-RU"/>
              </w:rPr>
            </w:pPr>
            <w:r>
              <w:rPr>
                <w:lang w:eastAsia="ru-RU"/>
              </w:rPr>
              <w:t xml:space="preserve">обустройство входа с созданием условий для беспрепятственного доступа маломобильных граждан к месту получения услуги (обслуживания);</w:t>
            </w:r>
            <w:r/>
          </w:p>
          <w:p>
            <w:pPr>
              <w:ind w:left="142" w:right="207"/>
              <w:widowControl/>
              <w:rPr>
                <w:lang w:eastAsia="ru-RU"/>
              </w:rPr>
            </w:pPr>
            <w:r>
              <w:rPr>
                <w:lang w:eastAsia="ru-RU"/>
              </w:rPr>
              <w:t xml:space="preserve">оборудование площадок для стоянки автомобилей посетителей;</w:t>
            </w:r>
            <w:r/>
          </w:p>
          <w:p>
            <w:pPr>
              <w:ind w:left="142" w:right="207"/>
              <w:widowControl/>
              <w:tabs>
                <w:tab w:val="left" w:pos="416" w:leader="none"/>
                <w:tab w:val="left" w:pos="1266" w:leader="none"/>
              </w:tabs>
              <w:rPr>
                <w:lang w:eastAsia="ru-RU"/>
              </w:rPr>
            </w:pPr>
            <w:r>
              <w:rPr>
                <w:lang w:eastAsia="ru-RU"/>
              </w:rPr>
              <w:t xml:space="preserve">соблюдение норм благоустройства, установленных соответствующими муниципальными правовыми актами.</w:t>
            </w:r>
            <w:r/>
          </w:p>
          <w:p>
            <w:pPr>
              <w:ind w:left="142" w:right="207"/>
              <w:widowControl/>
              <w:tabs>
                <w:tab w:val="left" w:pos="416" w:leader="none"/>
                <w:tab w:val="left" w:pos="1266" w:leader="none"/>
              </w:tabs>
              <w:rPr>
                <w:lang w:eastAsia="ru-RU"/>
              </w:rPr>
            </w:pPr>
            <w:r>
              <w:rPr>
                <w:lang w:eastAsia="ru-RU"/>
              </w:rPr>
            </w:r>
            <w:r/>
          </w:p>
          <w:p>
            <w:pPr>
              <w:ind w:left="142" w:right="207"/>
              <w:rPr>
                <w:rFonts w:eastAsia="Calibri"/>
              </w:rPr>
            </w:pPr>
            <w:r>
              <w:rPr>
                <w:rFonts w:eastAsia="Calibri"/>
              </w:rPr>
              <w:t xml:space="preserve">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r/>
          </w:p>
          <w:p>
            <w:pPr>
              <w:ind w:left="142" w:right="207"/>
              <w:rPr>
                <w:rFonts w:eastAsia="Calibri"/>
              </w:rPr>
            </w:pPr>
            <w:r>
              <w:rPr>
                <w:lang w:eastAsia="ru-RU"/>
              </w:rPr>
              <w:t xml:space="preserve">Расчетное количество машино-мест (парковочных мест) на автостоянках для </w:t>
            </w:r>
            <w:r>
              <w:rPr>
                <w:lang w:eastAsia="ru-RU"/>
              </w:rPr>
              <w:t xml:space="preserve">парковки автомобилей в границах отведенного земельного участка для объектов общественного назначения следует принимать в значениях, указанных в части 8 статьи 21 настоящих Правил.</w:t>
            </w:r>
            <w:r/>
          </w:p>
          <w:p>
            <w:pPr>
              <w:ind w:left="142" w:right="207"/>
              <w:rPr>
                <w:rFonts w:eastAsia="Calibri"/>
              </w:rPr>
            </w:pPr>
            <w:r>
              <w:rPr>
                <w:rFonts w:eastAsia="Calibri"/>
              </w:rPr>
            </w:r>
            <w:r/>
          </w:p>
          <w:p>
            <w:pPr>
              <w:ind w:left="142" w:right="207"/>
              <w:rPr>
                <w:rFonts w:eastAsia="Calibri"/>
              </w:rPr>
            </w:pPr>
            <w:r>
              <w:rPr>
                <w:rFonts w:eastAsia="Calibri"/>
              </w:rPr>
              <w:t xml:space="preserve">Допус</w:t>
            </w:r>
            <w:r>
              <w:rPr>
                <w:rFonts w:eastAsia="Calibri"/>
              </w:rPr>
              <w:t xml:space="preserve">кается размещение парковок на землях общего пользования при наличии таких парковок с необходимым количеством парковочных мест по письменному согласованию с органами местного самоуправления сельского поселения в соответствии с действующим законодательством.</w:t>
            </w:r>
            <w:r/>
          </w:p>
          <w:p>
            <w:pPr>
              <w:ind w:left="142" w:right="207"/>
              <w:rPr>
                <w:rFonts w:eastAsia="Calibri"/>
              </w:rPr>
            </w:pPr>
            <w:r>
              <w:rPr>
                <w:rFonts w:eastAsia="Calibri"/>
              </w:rPr>
            </w:r>
            <w:r/>
          </w:p>
          <w:p>
            <w:pPr>
              <w:ind w:left="142" w:right="207"/>
              <w:rPr>
                <w:shd w:val="clear" w:color="auto" w:fill="ffffff"/>
              </w:rPr>
            </w:pPr>
            <w:r>
              <w:rPr>
                <w:rFonts w:eastAsia="Calibri"/>
              </w:rPr>
              <w:t xml:space="preserve">При отсутствии в материалах проектной документации расчета СЗЗ, СЗЗ принимать в соответствии с СанПиНом</w:t>
            </w:r>
            <w:r>
              <w:rPr>
                <w:shd w:val="clear" w:color="auto" w:fill="ffffff"/>
              </w:rPr>
              <w:t xml:space="preserve">2.2.1/2.1.1.1200-03"</w:t>
            </w:r>
            <w:r>
              <w:rPr>
                <w:bCs/>
                <w:shd w:val="clear" w:color="auto" w:fill="ffffff"/>
              </w:rPr>
              <w:t xml:space="preserve">Санитарно-защитные</w:t>
            </w:r>
            <w:r>
              <w:rPr>
                <w:shd w:val="clear" w:color="auto" w:fill="ffffff"/>
              </w:rPr>
              <w:t xml:space="preserve"> </w:t>
            </w:r>
            <w:r>
              <w:rPr>
                <w:bCs/>
                <w:shd w:val="clear" w:color="auto" w:fill="ffffff"/>
              </w:rPr>
              <w:t xml:space="preserve">зоны</w:t>
            </w:r>
            <w:r>
              <w:rPr>
                <w:shd w:val="clear" w:color="auto" w:fill="ffffff"/>
              </w:rPr>
              <w:t xml:space="preserve"> и </w:t>
            </w:r>
            <w:r>
              <w:rPr>
                <w:bCs/>
                <w:shd w:val="clear" w:color="auto" w:fill="ffffff"/>
              </w:rPr>
              <w:t xml:space="preserve">санитарная</w:t>
            </w:r>
            <w:r>
              <w:rPr>
                <w:shd w:val="clear" w:color="auto" w:fill="ffffff"/>
              </w:rPr>
              <w:t xml:space="preserve"> </w:t>
            </w:r>
            <w:r>
              <w:rPr>
                <w:bCs/>
                <w:shd w:val="clear" w:color="auto" w:fill="ffffff"/>
              </w:rPr>
              <w:t xml:space="preserve">классификация</w:t>
            </w:r>
            <w:r>
              <w:rPr>
                <w:shd w:val="clear" w:color="auto" w:fill="ffffff"/>
              </w:rPr>
              <w:t xml:space="preserve"> </w:t>
            </w:r>
            <w:r>
              <w:rPr>
                <w:bCs/>
                <w:shd w:val="clear" w:color="auto" w:fill="ffffff"/>
              </w:rPr>
              <w:t xml:space="preserve">предприятий</w:t>
            </w:r>
            <w:r>
              <w:rPr>
                <w:shd w:val="clear" w:color="auto" w:fill="ffffff"/>
              </w:rPr>
              <w:t xml:space="preserve">, </w:t>
            </w:r>
            <w:r>
              <w:rPr>
                <w:bCs/>
                <w:shd w:val="clear" w:color="auto" w:fill="ffffff"/>
              </w:rPr>
              <w:t xml:space="preserve">сооружений</w:t>
            </w:r>
            <w:r>
              <w:rPr>
                <w:shd w:val="clear" w:color="auto" w:fill="ffffff"/>
              </w:rPr>
              <w:t xml:space="preserve"> и иных объектов".</w:t>
            </w:r>
            <w:r/>
          </w:p>
          <w:p>
            <w:pPr>
              <w:ind w:left="142" w:right="207"/>
              <w:tabs>
                <w:tab w:val="left" w:pos="3071" w:leader="none"/>
              </w:tabs>
              <w:rPr>
                <w:rFonts w:eastAsia="SimSun"/>
                <w:lang w:eastAsia="zh-CN" w:bidi="ru-RU"/>
              </w:rPr>
            </w:pPr>
            <w:r>
              <w:rPr>
                <w:rFonts w:eastAsia="SimSun"/>
                <w:lang w:eastAsia="zh-CN" w:bidi="ru-RU"/>
              </w:rPr>
            </w:r>
            <w:r/>
          </w:p>
          <w:p>
            <w:pPr>
              <w:ind w:left="142" w:right="207"/>
              <w:rPr>
                <w:rFonts w:eastAsia="Calibri"/>
              </w:rPr>
            </w:pPr>
            <w:r>
              <w:rPr>
                <w:shd w:val="clear" w:color="auto" w:fill="ffffff"/>
              </w:rPr>
              <w:t xml:space="preserve">В материалах проектной документации </w:t>
            </w:r>
            <w:r>
              <w:rPr>
                <w:shd w:val="clear" w:color="auto" w:fill="ffffff"/>
              </w:rPr>
              <w:t xml:space="preserve">указывать количество единовременно прибывающих на объекте человек для определения отношения объекта к объекту массового пребывания граждан.</w:t>
            </w:r>
            <w:r/>
          </w:p>
          <w:p>
            <w:pPr>
              <w:ind w:left="142" w:right="142"/>
              <w:rPr>
                <w:lang w:eastAsia="ru-RU"/>
              </w:rPr>
            </w:pPr>
            <w:r>
              <w:rPr>
                <w:lang w:eastAsia="ru-RU"/>
              </w:rPr>
              <w:t xml:space="preserve">Режимы использования земель и требования к градостроительным регламентам в границах зон охраны объекта культурного наследия не применяются к правоотношениям, связанны</w:t>
            </w:r>
            <w:r>
              <w:rPr>
                <w:lang w:eastAsia="ru-RU"/>
              </w:rPr>
              <w:t xml:space="preserve">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 до вступления в силу правового акта об утверждении зон охраны объекта культурного наследия.</w:t>
            </w:r>
            <w:r/>
          </w:p>
          <w:p>
            <w:pPr>
              <w:ind w:left="142" w:right="207"/>
              <w:rPr>
                <w:lang w:eastAsia="ru-RU"/>
              </w:rPr>
            </w:pPr>
            <w:r>
              <w:rPr>
                <w:lang w:eastAsia="ru-RU"/>
              </w:rPr>
              <w:t xml:space="preserve"> Реконструкция объектов капитального строительства и их частей может осуществляться только путем приведения таких объектов в соответствие с режимами использования земель и градостроительными регламентами, установленными в </w:t>
            </w:r>
            <w:r>
              <w:rPr>
                <w:lang w:eastAsia="ru-RU"/>
              </w:rPr>
              <w:t xml:space="preserve">границах зон охраны объекта культурного наследия, или путем уменьшения их несоответствия установленным предельным параметрам разрешенного строительства.</w:t>
            </w:r>
            <w:r/>
          </w:p>
          <w:p>
            <w:pPr>
              <w:ind w:left="142" w:right="207"/>
              <w:rPr>
                <w:lang w:eastAsia="ru-RU"/>
              </w:rPr>
            </w:pPr>
            <w:r>
              <w:rPr>
                <w:lang w:eastAsia="ru-RU"/>
              </w:rPr>
              <w:t xml:space="preserve">На территориях общего пользования не разрешается возведение объектов капитального с</w:t>
            </w:r>
            <w:r>
              <w:rPr>
                <w:lang w:eastAsia="ru-RU"/>
              </w:rPr>
              <w:t xml:space="preserve">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r/>
          </w:p>
          <w:p>
            <w:pPr>
              <w:ind w:left="142" w:right="207"/>
            </w:pPr>
            <w:r>
              <w:rPr>
                <w:lang w:eastAsia="ru-RU"/>
              </w:rPr>
              <w:t xml:space="preserve">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r/>
          </w:p>
          <w:p>
            <w:pPr>
              <w:ind w:left="142" w:right="207"/>
            </w:pPr>
            <w:r/>
            <w:r/>
          </w:p>
          <w:p>
            <w:pPr>
              <w:ind w:left="118" w:right="165"/>
              <w:rPr>
                <w:rFonts w:eastAsia="Calibri"/>
              </w:rPr>
            </w:pPr>
            <w:r>
              <w:rPr>
                <w:rFonts w:eastAsia="Calibri"/>
              </w:rPr>
              <w:t xml:space="preserve">Рекомендуемые </w:t>
            </w:r>
            <w:r>
              <w:rPr>
                <w:rFonts w:eastAsia="Calibri"/>
              </w:rPr>
              <w:t xml:space="preserve">размеры земельного участка для дошкольных учреждений, кв.м  на 1 место:</w:t>
            </w:r>
            <w:r/>
          </w:p>
          <w:p>
            <w:pPr>
              <w:ind w:left="118" w:right="165"/>
              <w:rPr>
                <w:rFonts w:eastAsia="Calibri"/>
              </w:rPr>
            </w:pPr>
            <w:r>
              <w:rPr>
                <w:rFonts w:eastAsia="Calibri"/>
              </w:rPr>
              <w:t xml:space="preserve">для отдельно стоящих зданий при вместимости до 100 мест - 40, свыше 100 мест - 35, в комплексе яслей - садов свыше 500 мест - 30, для встроенных при вместимости более 100 мест - не менее 29.</w:t>
            </w:r>
            <w:r/>
          </w:p>
          <w:p>
            <w:pPr>
              <w:ind w:left="118" w:right="165"/>
              <w:rPr>
                <w:rFonts w:eastAsia="Calibri"/>
              </w:rPr>
            </w:pPr>
            <w:r>
              <w:rPr>
                <w:rFonts w:eastAsia="Calibri"/>
              </w:rPr>
            </w:r>
            <w:r/>
          </w:p>
          <w:p>
            <w:pPr>
              <w:ind w:left="118" w:right="165"/>
              <w:rPr>
                <w:rFonts w:eastAsia="Calibri"/>
              </w:rPr>
            </w:pPr>
            <w:r>
              <w:rPr>
                <w:rFonts w:eastAsia="Calibri"/>
              </w:rPr>
              <w:t xml:space="preserve">Размеры земельных участков могут быть уменьшены: на 25% - в условиях реконструкции; на 15% - при размещении на рельефе с уклоном более 20%; на 10% - в поселениях - новостройках (за счет сокращения площади озеленения).</w:t>
            </w:r>
            <w:r/>
          </w:p>
          <w:p>
            <w:pPr>
              <w:ind w:left="118" w:right="165"/>
              <w:rPr>
                <w:rFonts w:eastAsia="Calibri"/>
              </w:rPr>
            </w:pPr>
            <w:r>
              <w:rPr>
                <w:rFonts w:eastAsia="Calibri"/>
              </w:rPr>
            </w:r>
            <w:r/>
          </w:p>
          <w:p>
            <w:pPr>
              <w:ind w:left="118" w:right="165"/>
              <w:rPr>
                <w:rFonts w:eastAsia="Calibri"/>
              </w:rPr>
            </w:pPr>
            <w:r>
              <w:rPr>
                <w:rFonts w:eastAsia="Calibri"/>
              </w:rPr>
              <w:t xml:space="preserve">Для среднеобразовательных учреждений, кв. м на 1 место:</w:t>
            </w:r>
            <w:r/>
          </w:p>
          <w:p>
            <w:pPr>
              <w:ind w:left="118" w:right="165"/>
              <w:rPr>
                <w:rFonts w:eastAsia="Calibri"/>
              </w:rPr>
            </w:pPr>
            <w:r>
              <w:rPr>
                <w:rFonts w:eastAsia="Calibri"/>
              </w:rPr>
              <w:t xml:space="preserve">при вместимости: до 400 мест – 50; 400 - 500 мест – 60; 500 - 600 мест – 50; 600 - 800 мест – 40; 800 - 1100 мест – 33; 1100 - 1500 мест – 21; 1500 - 2000 мест – 17; 2000 и более - 16, с учетом площади спортивной зоны и здания школы.</w:t>
            </w:r>
            <w:r/>
          </w:p>
          <w:p>
            <w:pPr>
              <w:ind w:left="142" w:right="165"/>
              <w:rPr>
                <w:rFonts w:eastAsia="Calibri"/>
              </w:rPr>
            </w:pPr>
            <w:r>
              <w:rPr>
                <w:rFonts w:eastAsia="Calibri"/>
              </w:rPr>
              <w:t xml:space="preserve">В условиях </w:t>
            </w:r>
            <w:r>
              <w:rPr>
                <w:rFonts w:eastAsia="Calibri"/>
              </w:rPr>
              <w:t xml:space="preserve">реконструкции возможно уменьшение на 20 % или увеличение на 30 % - в сельских поселениях, если для организации учебно-опытной работы не предусмотрены специальные участки на землях сельскохозяйственного использования.</w:t>
            </w:r>
            <w:r/>
          </w:p>
          <w:p>
            <w:pPr>
              <w:ind w:left="118" w:right="165"/>
              <w:rPr>
                <w:rFonts w:eastAsia="Calibri"/>
              </w:rPr>
            </w:pPr>
            <w:r>
              <w:rPr>
                <w:rFonts w:eastAsia="Calibri"/>
              </w:rPr>
              <w:t xml:space="preserve">В сложившейся плотной застройке, при дефиците уч</w:t>
            </w:r>
            <w:r>
              <w:rPr>
                <w:rFonts w:eastAsia="Calibri"/>
              </w:rPr>
              <w:t xml:space="preserve">астка территории, допускается располагать отдельные зоны территории общеобразовательной организации (физкультурно-оздоровительную, учебно-опытную и т.д.) на автономных участках, находящихся в пешеходной доступности от здания общеобразовательной организации</w:t>
            </w:r>
            <w:r/>
          </w:p>
          <w:p>
            <w:pPr>
              <w:ind w:left="118" w:right="132"/>
              <w:rPr>
                <w:lang w:eastAsia="ru-RU"/>
              </w:rPr>
            </w:pPr>
            <w:r>
              <w:rPr>
                <w:lang w:eastAsia="ru-RU"/>
              </w:rPr>
              <w:t xml:space="preserve">На территориях общего пользования не 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w:t>
            </w:r>
            <w:r>
              <w:rPr>
                <w:lang w:eastAsia="ru-RU"/>
              </w:rPr>
              <w:t xml:space="preserve">лиц (объекты благоустройства, объекты, предназначенные для обеспечения дорожного </w:t>
            </w:r>
            <w:r/>
          </w:p>
          <w:p>
            <w:pPr>
              <w:ind w:left="118" w:right="132"/>
              <w:rPr>
                <w:lang w:eastAsia="ru-RU"/>
              </w:rPr>
            </w:pPr>
            <w:r>
              <w:rPr>
                <w:lang w:eastAsia="ru-RU"/>
              </w:rPr>
              <w:t xml:space="preserve">движения и т.п.)</w:t>
            </w:r>
            <w:r/>
          </w:p>
          <w:p>
            <w:pPr>
              <w:ind w:left="118" w:right="132"/>
              <w:widowControl/>
              <w:rPr>
                <w:lang w:eastAsia="ru-RU"/>
              </w:rPr>
            </w:pPr>
            <w:r>
              <w:rPr>
                <w:lang w:eastAsia="ru-RU"/>
              </w:rPr>
              <w:t xml:space="preserve">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r/>
          </w:p>
          <w:p>
            <w:pPr>
              <w:ind w:left="118" w:right="132"/>
              <w:rPr>
                <w:lang w:eastAsia="ru-RU"/>
              </w:rPr>
            </w:pPr>
            <w:r>
              <w:rPr>
                <w:lang w:eastAsia="ru-RU"/>
              </w:rPr>
            </w:r>
            <w:r/>
          </w:p>
          <w:p>
            <w:pPr>
              <w:ind w:left="118" w:right="132"/>
              <w:rPr>
                <w:lang w:eastAsia="ru-RU"/>
              </w:rPr>
            </w:pPr>
            <w:r>
              <w:rPr>
                <w:shd w:val="clear" w:color="auto" w:fill="ffffff"/>
              </w:rPr>
              <w:t xml:space="preserve">Размещение</w:t>
            </w:r>
            <w:r>
              <w:rPr>
                <w:shd w:val="clear" w:color="auto" w:fill="ffffff"/>
              </w:rPr>
              <w:t xml:space="preserve"> парковочных мест на улично-дорожной сети рекомендуется проводить на основании «Методических рекомендаций по разработке и реализации мероприятий по организации дорожного движения. Формирование единого парковочного пространства городах Российской Федерации»</w:t>
            </w:r>
            <w:r/>
          </w:p>
        </w:tc>
      </w:tr>
      <w:tr>
        <w:trPr/>
        <w:tc>
          <w:tcPr>
            <w:tcW w:w="2014" w:type="dxa"/>
            <w:textDirection w:val="lrTb"/>
            <w:noWrap w:val="false"/>
          </w:tcPr>
          <w:p>
            <w:pPr>
              <w:ind w:left="147" w:right="166"/>
            </w:pPr>
            <w:r>
              <w:t xml:space="preserve">[3.8.1] - Государственное управление</w:t>
            </w:r>
            <w:r/>
          </w:p>
        </w:tc>
        <w:tc>
          <w:tcPr>
            <w:tcW w:w="5221" w:type="dxa"/>
            <w:textDirection w:val="lrTb"/>
            <w:noWrap w:val="false"/>
          </w:tcPr>
          <w:p>
            <w:pPr>
              <w:ind w:left="118" w:right="165"/>
              <w:jc w:val="both"/>
            </w:pPr>
            <w:r>
              <w:t xml:space="preserve">Размещение зданий, пред</w:t>
            </w:r>
            <w:r>
              <w:t xml:space="preserve">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r/>
          </w:p>
        </w:tc>
        <w:tc>
          <w:tcPr>
            <w:tcW w:w="5528" w:type="dxa"/>
            <w:textDirection w:val="lrTb"/>
            <w:noWrap w:val="false"/>
          </w:tcPr>
          <w:p>
            <w:pPr>
              <w:ind w:left="118" w:right="165"/>
              <w:jc w:val="both"/>
            </w:pPr>
            <w:r>
              <w:t xml:space="preserve">Минимальная/максимальная площадь земельных участков – 200/15000 кв.м.;</w:t>
            </w:r>
            <w:r/>
          </w:p>
          <w:p>
            <w:pPr>
              <w:ind w:left="118" w:right="165"/>
              <w:jc w:val="both"/>
            </w:pPr>
            <w:r>
              <w:t xml:space="preserve">максимальное количество надземных этажей зданий – 3 (включая    мансардный этаж);</w:t>
            </w:r>
            <w:r/>
          </w:p>
          <w:p>
            <w:pPr>
              <w:ind w:left="118" w:right="165"/>
              <w:jc w:val="both"/>
            </w:pPr>
            <w:r>
              <w:t xml:space="preserve">максимальный процент застройки в границах земельного участка – 60%;</w:t>
            </w:r>
            <w:r/>
          </w:p>
          <w:p>
            <w:pPr>
              <w:ind w:left="118" w:right="165"/>
              <w:jc w:val="both"/>
            </w:pPr>
            <w:r>
              <w:t xml:space="preserve">минимальные отступы от красной линии – 5 м; от иных </w:t>
            </w:r>
            <w:r>
              <w:t xml:space="preserve">границ – 3 м;</w:t>
            </w:r>
            <w:r/>
          </w:p>
          <w:p>
            <w:pPr>
              <w:ind w:left="118" w:right="165"/>
              <w:jc w:val="both"/>
            </w:pPr>
            <w:r>
              <w:t xml:space="preserve">минимальный процент озеленения земельного участка 15%.</w:t>
            </w:r>
            <w:r/>
          </w:p>
        </w:tc>
        <w:tc>
          <w:tcPr>
            <w:tcW w:w="2410" w:type="dxa"/>
            <w:vMerge w:val="continue"/>
            <w:textDirection w:val="lrTb"/>
            <w:noWrap w:val="false"/>
          </w:tcPr>
          <w:p>
            <w:pPr>
              <w:ind w:left="118" w:right="165"/>
              <w:rPr>
                <w:shd w:val="clear" w:color="auto" w:fill="ffffff"/>
              </w:rPr>
            </w:pPr>
            <w:r>
              <w:rPr>
                <w:shd w:val="clear" w:color="auto" w:fill="ffffff"/>
              </w:rPr>
            </w:r>
            <w:r/>
          </w:p>
        </w:tc>
      </w:tr>
      <w:tr>
        <w:trPr/>
        <w:tc>
          <w:tcPr>
            <w:tcW w:w="2014" w:type="dxa"/>
            <w:textDirection w:val="lrTb"/>
            <w:noWrap w:val="false"/>
          </w:tcPr>
          <w:p>
            <w:pPr>
              <w:ind w:left="147" w:right="166"/>
            </w:pPr>
            <w:r>
              <w:t xml:space="preserve">[3.8.2] - Представительская деятельность</w:t>
            </w:r>
            <w:r/>
          </w:p>
        </w:tc>
        <w:tc>
          <w:tcPr>
            <w:tcW w:w="5221" w:type="dxa"/>
            <w:textDirection w:val="lrTb"/>
            <w:noWrap w:val="false"/>
          </w:tcPr>
          <w:p>
            <w:pPr>
              <w:ind w:left="118" w:right="165"/>
              <w:jc w:val="both"/>
            </w:pPr>
            <w:r>
              <w:t xml:space="preserve">     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r/>
          </w:p>
        </w:tc>
        <w:tc>
          <w:tcPr>
            <w:tcW w:w="5528" w:type="dxa"/>
            <w:textDirection w:val="lrTb"/>
            <w:noWrap w:val="false"/>
          </w:tcPr>
          <w:p>
            <w:pPr>
              <w:ind w:left="118" w:right="165"/>
              <w:jc w:val="both"/>
            </w:pPr>
            <w:r>
              <w:t xml:space="preserve">Минимальная/максимальная площадь земельных участков – 200/15000 кв. м;</w:t>
            </w:r>
            <w:r/>
          </w:p>
          <w:p>
            <w:pPr>
              <w:ind w:left="118" w:right="165"/>
              <w:jc w:val="both"/>
            </w:pPr>
            <w:r>
              <w:t xml:space="preserve">максимальное количество надземных этажей зданий – 3 (включая мансардный этаж);</w:t>
            </w:r>
            <w:r/>
          </w:p>
          <w:p>
            <w:pPr>
              <w:ind w:left="118" w:right="165"/>
              <w:jc w:val="both"/>
            </w:pPr>
            <w:r>
              <w:t xml:space="preserve">максимальный процент застройки в границах земельного участка – 60%;</w:t>
            </w:r>
            <w:r/>
          </w:p>
          <w:p>
            <w:pPr>
              <w:ind w:left="118" w:right="165"/>
              <w:jc w:val="both"/>
            </w:pPr>
            <w:r>
              <w:t xml:space="preserve">минимальные отступы от красной линии – 5 м; от иных границ – 3 м;</w:t>
            </w:r>
            <w:r/>
          </w:p>
          <w:p>
            <w:pPr>
              <w:ind w:left="118" w:right="165"/>
            </w:pPr>
            <w:r>
              <w:t xml:space="preserve">минимальный процент озеленения земельного участка 15%.</w:t>
            </w:r>
            <w:r/>
          </w:p>
        </w:tc>
        <w:tc>
          <w:tcPr>
            <w:tcW w:w="2410" w:type="dxa"/>
            <w:vMerge w:val="continue"/>
            <w:textDirection w:val="lrTb"/>
            <w:noWrap w:val="false"/>
          </w:tcPr>
          <w:p>
            <w:pPr>
              <w:ind w:left="118" w:right="165"/>
            </w:pPr>
            <w:r/>
            <w:r/>
          </w:p>
        </w:tc>
      </w:tr>
      <w:tr>
        <w:trPr/>
        <w:tc>
          <w:tcPr>
            <w:tcW w:w="2014" w:type="dxa"/>
            <w:textDirection w:val="lrTb"/>
            <w:noWrap w:val="false"/>
          </w:tcPr>
          <w:p>
            <w:pPr>
              <w:ind w:left="147" w:right="142"/>
            </w:pPr>
            <w:r>
              <w:t xml:space="preserve">[3.1.1.] Предоставление коммунальных услуг</w:t>
            </w:r>
            <w:r/>
          </w:p>
        </w:tc>
        <w:tc>
          <w:tcPr>
            <w:tcW w:w="5221" w:type="dxa"/>
            <w:textDirection w:val="lrTb"/>
            <w:noWrap w:val="false"/>
          </w:tcPr>
          <w:p>
            <w:pPr>
              <w:ind w:left="118" w:right="165"/>
              <w:jc w:val="both"/>
            </w:pPr>
            <w: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w:t>
            </w:r>
            <w:r>
              <w:t xml:space="preserve">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r/>
          </w:p>
        </w:tc>
        <w:tc>
          <w:tcPr>
            <w:tcW w:w="5528" w:type="dxa"/>
            <w:textDirection w:val="lrTb"/>
            <w:noWrap w:val="false"/>
          </w:tcPr>
          <w:p>
            <w:pPr>
              <w:ind w:left="118" w:right="165"/>
              <w:jc w:val="both"/>
            </w:pPr>
            <w:r>
              <w:t xml:space="preserve">Минимальная площадь земельных участков – 10/10000 кв. м;</w:t>
            </w:r>
            <w:r/>
          </w:p>
          <w:p>
            <w:pPr>
              <w:ind w:left="118" w:right="165"/>
              <w:jc w:val="both"/>
            </w:pPr>
            <w:r>
              <w:t xml:space="preserve">максимальное количество надземных этажей зданий –2;</w:t>
            </w:r>
            <w:r/>
          </w:p>
          <w:p>
            <w:pPr>
              <w:ind w:left="118" w:right="165"/>
              <w:jc w:val="both"/>
            </w:pPr>
            <w:r>
              <w:t xml:space="preserve">максимальный процент застройки в границах земельного участка – 80%.</w:t>
            </w:r>
            <w:r/>
          </w:p>
          <w:p>
            <w:pPr>
              <w:ind w:left="118" w:right="165"/>
              <w:jc w:val="both"/>
            </w:pPr>
            <w:r>
              <w:t xml:space="preserve">для линейных объектов минимальные отступы – не регламентируются</w:t>
            </w:r>
            <w:r/>
          </w:p>
          <w:p>
            <w:pPr>
              <w:ind w:left="118" w:right="165"/>
              <w:jc w:val="both"/>
            </w:pPr>
            <w:r>
              <w:t xml:space="preserve">минимальный процент озеленения земельного участка 15%.</w:t>
            </w:r>
            <w:r/>
          </w:p>
          <w:p>
            <w:pPr>
              <w:ind w:left="118" w:right="165"/>
              <w:jc w:val="both"/>
            </w:pPr>
            <w:r>
              <w:t xml:space="preserve">для линейных объектов процент озеленения – не регламентируются</w:t>
            </w:r>
            <w:r/>
          </w:p>
          <w:p>
            <w:pPr>
              <w:ind w:left="118" w:right="165"/>
              <w:jc w:val="both"/>
            </w:pPr>
            <w:r/>
            <w:r/>
          </w:p>
        </w:tc>
        <w:tc>
          <w:tcPr>
            <w:tcW w:w="2410" w:type="dxa"/>
            <w:vMerge w:val="continue"/>
            <w:textDirection w:val="lrTb"/>
            <w:noWrap w:val="false"/>
          </w:tcPr>
          <w:p>
            <w:pPr>
              <w:ind w:left="118" w:right="165"/>
            </w:pPr>
            <w:r/>
            <w:r/>
          </w:p>
        </w:tc>
      </w:tr>
      <w:tr>
        <w:trPr/>
        <w:tc>
          <w:tcPr>
            <w:tcW w:w="2014" w:type="dxa"/>
            <w:textDirection w:val="lrTb"/>
            <w:noWrap w:val="false"/>
          </w:tcPr>
          <w:p>
            <w:pPr>
              <w:ind w:left="147" w:right="142"/>
            </w:pPr>
            <w:r>
              <w:t xml:space="preserve">[3.1.2.] Административные здания организаций, обеспечивающих предоставление коммунальных услуг</w:t>
            </w:r>
            <w:r/>
          </w:p>
        </w:tc>
        <w:tc>
          <w:tcPr>
            <w:tcW w:w="5221" w:type="dxa"/>
            <w:textDirection w:val="lrTb"/>
            <w:noWrap w:val="false"/>
          </w:tcPr>
          <w:p>
            <w:pPr>
              <w:ind w:left="118" w:right="165"/>
              <w:jc w:val="both"/>
            </w:pPr>
            <w:r>
              <w:t xml:space="preserve">Размещение зданий, предназначенных для приема физических и юридических лиц в связи с предоставлением им коммунальных услуг</w:t>
            </w:r>
            <w:r/>
          </w:p>
        </w:tc>
        <w:tc>
          <w:tcPr>
            <w:tcW w:w="5528" w:type="dxa"/>
            <w:textDirection w:val="lrTb"/>
            <w:noWrap w:val="false"/>
          </w:tcPr>
          <w:p>
            <w:pPr>
              <w:ind w:left="118" w:right="165"/>
              <w:jc w:val="both"/>
            </w:pPr>
            <w:r>
              <w:t xml:space="preserve">Минимальная площадь земельных участков - 10 кв. м;</w:t>
            </w:r>
            <w:r/>
          </w:p>
          <w:p>
            <w:pPr>
              <w:ind w:left="118" w:right="165"/>
              <w:jc w:val="both"/>
            </w:pPr>
            <w:r>
              <w:t xml:space="preserve">максимальное количество надземных этажей зданий –2;</w:t>
            </w:r>
            <w:r/>
          </w:p>
          <w:p>
            <w:pPr>
              <w:ind w:left="118" w:right="165"/>
              <w:jc w:val="both"/>
            </w:pPr>
            <w:r>
              <w:t xml:space="preserve">максимальная высота зданий, строений, сооружений от уровня земли - 15 м;</w:t>
            </w:r>
            <w:r/>
          </w:p>
          <w:p>
            <w:pPr>
              <w:ind w:left="118" w:right="165"/>
              <w:jc w:val="both"/>
            </w:pPr>
            <w:r>
              <w:t xml:space="preserve">максимальный процент застройки в границах земельного участка –  60%</w:t>
            </w:r>
            <w:r/>
          </w:p>
          <w:p>
            <w:pPr>
              <w:ind w:left="118" w:right="165"/>
              <w:jc w:val="both"/>
            </w:pPr>
            <w:r>
              <w:t xml:space="preserve">минимальные отступы от красной линии – 5 м; от иных границ – 3 м;  </w:t>
            </w:r>
            <w:r/>
          </w:p>
          <w:p>
            <w:pPr>
              <w:ind w:left="118" w:right="165"/>
              <w:jc w:val="both"/>
            </w:pPr>
            <w:r>
              <w:t xml:space="preserve">минимальный процент озеленения – 15%.</w:t>
            </w:r>
            <w:r/>
          </w:p>
        </w:tc>
        <w:tc>
          <w:tcPr>
            <w:tcW w:w="2410" w:type="dxa"/>
            <w:vMerge w:val="continue"/>
            <w:textDirection w:val="lrTb"/>
            <w:noWrap w:val="false"/>
          </w:tcPr>
          <w:p>
            <w:pPr>
              <w:ind w:left="118" w:right="165"/>
            </w:pPr>
            <w:r/>
            <w:r/>
          </w:p>
        </w:tc>
      </w:tr>
      <w:tr>
        <w:trPr/>
        <w:tc>
          <w:tcPr>
            <w:tcW w:w="2014" w:type="dxa"/>
            <w:textDirection w:val="lrTb"/>
            <w:noWrap w:val="false"/>
          </w:tcPr>
          <w:p>
            <w:pPr>
              <w:ind w:left="147" w:right="142"/>
            </w:pPr>
            <w:r>
              <w:t xml:space="preserve">[3.2]  </w:t>
            </w:r>
            <w:r/>
          </w:p>
          <w:p>
            <w:pPr>
              <w:ind w:left="147" w:right="142"/>
            </w:pPr>
            <w:r>
              <w:t xml:space="preserve">Социальное обслуживание</w:t>
            </w:r>
            <w:r/>
          </w:p>
          <w:p>
            <w:pPr>
              <w:ind w:left="147" w:right="142"/>
            </w:pPr>
            <w:r/>
            <w:r/>
          </w:p>
        </w:tc>
        <w:tc>
          <w:tcPr>
            <w:tcW w:w="5221" w:type="dxa"/>
            <w:textDirection w:val="lrTb"/>
            <w:noWrap w:val="false"/>
          </w:tcPr>
          <w:p>
            <w:pPr>
              <w:ind w:left="118" w:right="165"/>
              <w:jc w:val="both"/>
            </w:pPr>
            <w: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r:id="rId71" w:tooltip="../Правила/Кавказская%20зона%202020%20новое%20ИЗМЕНЕНИЯ.doc#sub_1321" w:anchor="sub_1321" w:history="1">
              <w:r>
                <w:rPr>
                  <w:rFonts w:eastAsia="SimSun"/>
                </w:rPr>
                <w:t xml:space="preserve">кодами 3.2.1 - 3.2.4</w:t>
              </w:r>
            </w:hyperlink>
            <w:r/>
            <w:r/>
          </w:p>
        </w:tc>
        <w:tc>
          <w:tcPr>
            <w:tcW w:w="5528" w:type="dxa"/>
            <w:textDirection w:val="lrTb"/>
            <w:noWrap w:val="false"/>
          </w:tcPr>
          <w:p>
            <w:pPr>
              <w:ind w:left="118" w:right="165"/>
              <w:jc w:val="both"/>
              <w:rPr>
                <w:rFonts w:eastAsia="Calibri"/>
              </w:rPr>
            </w:pPr>
            <w:r>
              <w:rPr>
                <w:rFonts w:eastAsia="Calibri"/>
              </w:rPr>
              <w:t xml:space="preserve">Минимальная/максимальная площадь земельных участков – 400/5000 кв. м; </w:t>
            </w:r>
            <w:r/>
          </w:p>
          <w:p>
            <w:pPr>
              <w:ind w:left="118" w:right="165"/>
              <w:jc w:val="both"/>
              <w:rPr>
                <w:rFonts w:eastAsia="Calibri"/>
              </w:rPr>
            </w:pPr>
            <w:r>
              <w:rPr>
                <w:rFonts w:eastAsia="Calibri"/>
              </w:rPr>
              <w:t xml:space="preserve">максимальное количество надземных этажей зданий – 3 (включая мансардный этаж);</w:t>
            </w:r>
            <w:r/>
          </w:p>
          <w:p>
            <w:pPr>
              <w:ind w:left="118" w:right="165"/>
              <w:jc w:val="both"/>
              <w:rPr>
                <w:rFonts w:eastAsia="Calibri"/>
              </w:rPr>
            </w:pPr>
            <w:r>
              <w:rPr>
                <w:rFonts w:eastAsia="Calibri"/>
              </w:rPr>
              <w:t xml:space="preserve">максимальный процент застройки в границах земельного участка – 60%;</w:t>
            </w:r>
            <w:r/>
          </w:p>
          <w:p>
            <w:pPr>
              <w:ind w:left="118" w:right="165"/>
              <w:jc w:val="both"/>
              <w:rPr>
                <w:rFonts w:eastAsia="Calibri"/>
              </w:rPr>
            </w:pPr>
            <w:r>
              <w:rPr>
                <w:rFonts w:eastAsia="Calibri"/>
              </w:rPr>
              <w:t xml:space="preserve">минимальные отступы от красной линии – 5 м; от иных границ – 3 м;</w:t>
            </w:r>
            <w:r/>
          </w:p>
          <w:p>
            <w:pPr>
              <w:ind w:left="118" w:right="165"/>
              <w:jc w:val="both"/>
            </w:pPr>
            <w:r>
              <w:rPr>
                <w:rFonts w:eastAsia="Calibri"/>
              </w:rPr>
              <w:t xml:space="preserve">минимальный процент озеленения земельного участка 15%.</w:t>
            </w:r>
            <w:r/>
          </w:p>
        </w:tc>
        <w:tc>
          <w:tcPr>
            <w:tcW w:w="2410" w:type="dxa"/>
            <w:vMerge w:val="continue"/>
            <w:textDirection w:val="lrTb"/>
            <w:noWrap w:val="false"/>
          </w:tcPr>
          <w:p>
            <w:pPr>
              <w:ind w:left="118" w:right="165"/>
            </w:pPr>
            <w:r/>
            <w:r/>
          </w:p>
        </w:tc>
      </w:tr>
      <w:tr>
        <w:trPr/>
        <w:tc>
          <w:tcPr>
            <w:tcW w:w="2014" w:type="dxa"/>
            <w:textDirection w:val="lrTb"/>
            <w:noWrap w:val="false"/>
          </w:tcPr>
          <w:p>
            <w:pPr>
              <w:ind w:left="147" w:right="142"/>
            </w:pPr>
            <w:r>
              <w:t xml:space="preserve">[3.2.1]  </w:t>
            </w:r>
            <w:r/>
          </w:p>
          <w:p>
            <w:pPr>
              <w:ind w:left="147" w:right="142"/>
            </w:pPr>
            <w:r>
              <w:t xml:space="preserve">Дома социального обслуживания </w:t>
            </w:r>
            <w:r/>
          </w:p>
        </w:tc>
        <w:tc>
          <w:tcPr>
            <w:tcW w:w="5221" w:type="dxa"/>
            <w:textDirection w:val="lrTb"/>
            <w:noWrap w:val="false"/>
          </w:tcPr>
          <w:p>
            <w:pPr>
              <w:ind w:left="118" w:right="165"/>
              <w:jc w:val="both"/>
              <w:widowControl/>
            </w:pPr>
            <w:r>
              <w:t xml:space="preserve">Размещение зданий, предназначенных для размещения домов престарелых, домов ребенка, детских домов, пунктов ночлега для бездомных граждан;</w:t>
            </w:r>
            <w:r/>
          </w:p>
          <w:p>
            <w:pPr>
              <w:ind w:left="118" w:right="165"/>
              <w:jc w:val="both"/>
            </w:pPr>
            <w:r>
              <w:t xml:space="preserve">размещение объектов капитального строительства для </w:t>
            </w:r>
            <w:r>
              <w:t xml:space="preserve">временного размещения вынужденных переселенцев, лиц, признанных беженцами</w:t>
            </w:r>
            <w:r/>
          </w:p>
        </w:tc>
        <w:tc>
          <w:tcPr>
            <w:tcW w:w="5528" w:type="dxa"/>
            <w:textDirection w:val="lrTb"/>
            <w:noWrap w:val="false"/>
          </w:tcPr>
          <w:p>
            <w:pPr>
              <w:ind w:left="118" w:right="165"/>
              <w:jc w:val="both"/>
              <w:rPr>
                <w:rFonts w:eastAsia="Calibri"/>
              </w:rPr>
            </w:pPr>
            <w:r>
              <w:rPr>
                <w:rFonts w:eastAsia="Calibri"/>
              </w:rPr>
              <w:t xml:space="preserve">Минимальная/максимальная площадь земельных участков – 400/5000 кв. м; </w:t>
            </w:r>
            <w:r/>
          </w:p>
          <w:p>
            <w:pPr>
              <w:ind w:left="118" w:right="165"/>
              <w:jc w:val="both"/>
              <w:rPr>
                <w:rFonts w:eastAsia="Calibri"/>
              </w:rPr>
            </w:pPr>
            <w:r>
              <w:rPr>
                <w:rFonts w:eastAsia="Calibri"/>
              </w:rPr>
              <w:t xml:space="preserve">максимальное количество надземных этажей зданий – 3 (включая мансардный этаж);</w:t>
            </w:r>
            <w:r/>
          </w:p>
          <w:p>
            <w:pPr>
              <w:ind w:left="118" w:right="165"/>
              <w:jc w:val="both"/>
              <w:rPr>
                <w:rFonts w:eastAsia="Calibri"/>
              </w:rPr>
            </w:pPr>
            <w:r>
              <w:rPr>
                <w:rFonts w:eastAsia="Calibri"/>
              </w:rPr>
              <w:t xml:space="preserve">максимальный процент застройки в границах земельного участка – 60%; </w:t>
            </w:r>
            <w:r/>
          </w:p>
          <w:p>
            <w:pPr>
              <w:ind w:left="118" w:right="165"/>
              <w:jc w:val="both"/>
              <w:rPr>
                <w:rFonts w:eastAsia="Calibri"/>
              </w:rPr>
            </w:pPr>
            <w:r>
              <w:rPr>
                <w:rFonts w:eastAsia="Calibri"/>
              </w:rPr>
              <w:t xml:space="preserve">минимальные отступы от красной линии – 5 м; от иных границ – 3 м;</w:t>
            </w:r>
            <w:r/>
          </w:p>
          <w:p>
            <w:pPr>
              <w:ind w:left="118" w:right="165"/>
              <w:jc w:val="both"/>
              <w:rPr>
                <w:rFonts w:eastAsia="Calibri"/>
              </w:rPr>
            </w:pPr>
            <w:r>
              <w:rPr>
                <w:rFonts w:eastAsia="Calibri"/>
              </w:rPr>
              <w:t xml:space="preserve">минимальный процент озеленения земельного участка 15%.</w:t>
            </w:r>
            <w:r/>
          </w:p>
        </w:tc>
        <w:tc>
          <w:tcPr>
            <w:tcW w:w="2410" w:type="dxa"/>
            <w:vMerge w:val="continue"/>
            <w:textDirection w:val="lrTb"/>
            <w:noWrap w:val="false"/>
          </w:tcPr>
          <w:p>
            <w:pPr>
              <w:ind w:left="118" w:right="165"/>
            </w:pPr>
            <w:r/>
            <w:r/>
          </w:p>
        </w:tc>
      </w:tr>
      <w:tr>
        <w:trPr/>
        <w:tc>
          <w:tcPr>
            <w:tcW w:w="2014" w:type="dxa"/>
            <w:textDirection w:val="lrTb"/>
            <w:noWrap w:val="false"/>
          </w:tcPr>
          <w:p>
            <w:pPr>
              <w:ind w:left="147" w:right="142"/>
            </w:pPr>
            <w:r>
              <w:t xml:space="preserve">[3.2.2]  </w:t>
            </w:r>
            <w:r/>
          </w:p>
          <w:p>
            <w:pPr>
              <w:ind w:left="147" w:right="142"/>
            </w:pPr>
            <w:r>
              <w:t xml:space="preserve">Оказание социальной помощи населению </w:t>
            </w:r>
            <w:r/>
          </w:p>
        </w:tc>
        <w:tc>
          <w:tcPr>
            <w:tcW w:w="5221" w:type="dxa"/>
            <w:textDirection w:val="lrTb"/>
            <w:noWrap w:val="false"/>
          </w:tcPr>
          <w:p>
            <w:pPr>
              <w:ind w:left="118" w:right="165"/>
              <w:jc w:val="both"/>
            </w:pPr>
            <w: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w:t>
            </w:r>
            <w:r>
              <w:t xml:space="preserve">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r/>
          </w:p>
        </w:tc>
        <w:tc>
          <w:tcPr>
            <w:tcW w:w="5528" w:type="dxa"/>
            <w:textDirection w:val="lrTb"/>
            <w:noWrap w:val="false"/>
          </w:tcPr>
          <w:p>
            <w:pPr>
              <w:ind w:left="118" w:right="165"/>
              <w:jc w:val="both"/>
              <w:rPr>
                <w:rFonts w:eastAsia="Calibri"/>
              </w:rPr>
            </w:pPr>
            <w:r>
              <w:rPr>
                <w:rFonts w:eastAsia="Calibri"/>
              </w:rPr>
              <w:t xml:space="preserve">Минимальная/максимальная площадь земельных участков – 400/5000 кв. м; </w:t>
            </w:r>
            <w:r/>
          </w:p>
          <w:p>
            <w:pPr>
              <w:ind w:left="118" w:right="165"/>
              <w:jc w:val="both"/>
              <w:rPr>
                <w:rFonts w:eastAsia="Calibri"/>
              </w:rPr>
            </w:pPr>
            <w:r>
              <w:rPr>
                <w:rFonts w:eastAsia="Calibri"/>
              </w:rPr>
              <w:t xml:space="preserve">максимальное количество надземных этажей зданий – 3 (включая мансардный этаж);</w:t>
            </w:r>
            <w:r/>
          </w:p>
          <w:p>
            <w:pPr>
              <w:ind w:left="118" w:right="165"/>
              <w:jc w:val="both"/>
              <w:rPr>
                <w:rFonts w:eastAsia="Calibri"/>
              </w:rPr>
            </w:pPr>
            <w:r>
              <w:rPr>
                <w:rFonts w:eastAsia="Calibri"/>
              </w:rPr>
              <w:t xml:space="preserve">максимальный процент застройки в границах земельного участка – 60%; </w:t>
            </w:r>
            <w:r/>
          </w:p>
          <w:p>
            <w:pPr>
              <w:ind w:left="118" w:right="165"/>
              <w:jc w:val="both"/>
              <w:rPr>
                <w:rFonts w:eastAsia="Calibri"/>
              </w:rPr>
            </w:pPr>
            <w:r>
              <w:rPr>
                <w:rFonts w:eastAsia="Calibri"/>
              </w:rPr>
              <w:t xml:space="preserve">минимальные отступы от красной линии – 5 м; от иных границ – 3 м;</w:t>
            </w:r>
            <w:r/>
          </w:p>
          <w:p>
            <w:pPr>
              <w:ind w:left="118" w:right="165"/>
              <w:jc w:val="both"/>
              <w:rPr>
                <w:rFonts w:eastAsia="Calibri"/>
              </w:rPr>
            </w:pPr>
            <w:r>
              <w:rPr>
                <w:rFonts w:eastAsia="Calibri"/>
              </w:rPr>
              <w:t xml:space="preserve">минимальный процент озеленения земельного участка 15%.</w:t>
            </w:r>
            <w:r/>
          </w:p>
        </w:tc>
        <w:tc>
          <w:tcPr>
            <w:tcW w:w="2410" w:type="dxa"/>
            <w:vMerge w:val="continue"/>
            <w:textDirection w:val="lrTb"/>
            <w:noWrap w:val="false"/>
          </w:tcPr>
          <w:p>
            <w:pPr>
              <w:ind w:left="118" w:right="165"/>
            </w:pPr>
            <w:r/>
            <w:r/>
          </w:p>
        </w:tc>
      </w:tr>
      <w:tr>
        <w:trPr/>
        <w:tc>
          <w:tcPr>
            <w:tcW w:w="2014" w:type="dxa"/>
            <w:textDirection w:val="lrTb"/>
            <w:noWrap w:val="false"/>
          </w:tcPr>
          <w:p>
            <w:pPr>
              <w:ind w:left="147" w:right="142"/>
            </w:pPr>
            <w:r>
              <w:t xml:space="preserve">[3.4.1] Амбулаторно-поликлиническое обслуживание</w:t>
            </w:r>
            <w:r/>
          </w:p>
        </w:tc>
        <w:tc>
          <w:tcPr>
            <w:tcW w:w="5221" w:type="dxa"/>
            <w:textDirection w:val="lrTb"/>
            <w:noWrap w:val="false"/>
          </w:tcPr>
          <w:p>
            <w:pPr>
              <w:ind w:left="118" w:right="165"/>
              <w:jc w:val="both"/>
            </w:pPr>
            <w:r>
              <w:t xml:space="preserve">Размещение объектов капитального строительства, пре</w:t>
            </w:r>
            <w:r>
              <w:t xml:space="preserve">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r/>
          </w:p>
        </w:tc>
        <w:tc>
          <w:tcPr>
            <w:tcW w:w="5528" w:type="dxa"/>
            <w:textDirection w:val="lrTb"/>
            <w:noWrap w:val="false"/>
          </w:tcPr>
          <w:p>
            <w:pPr>
              <w:ind w:left="118" w:right="165"/>
              <w:jc w:val="both"/>
            </w:pPr>
            <w:r>
              <w:t xml:space="preserve">Минимальная/максимальная площадь земельных участков – 500/15000 кв. м;</w:t>
            </w:r>
            <w:r/>
          </w:p>
          <w:p>
            <w:pPr>
              <w:ind w:left="118" w:right="165"/>
              <w:jc w:val="both"/>
            </w:pPr>
            <w:r>
              <w:t xml:space="preserve">максимальный процент застройки в границах земельного участка – 60%;</w:t>
            </w:r>
            <w:r/>
          </w:p>
          <w:p>
            <w:pPr>
              <w:ind w:left="118" w:right="165"/>
              <w:jc w:val="both"/>
            </w:pPr>
            <w:r>
              <w:t xml:space="preserve">максимальное количество надземных этажей зданий – 2;</w:t>
            </w:r>
            <w:r/>
          </w:p>
          <w:p>
            <w:pPr>
              <w:ind w:left="118" w:right="165"/>
              <w:jc w:val="both"/>
            </w:pPr>
            <w:r>
              <w:t xml:space="preserve">максимальная высота зданий, строений, сооружений от уровня земли - 15 м;</w:t>
            </w:r>
            <w:r/>
          </w:p>
          <w:p>
            <w:pPr>
              <w:ind w:left="118" w:right="165"/>
              <w:jc w:val="both"/>
            </w:pPr>
            <w:r>
              <w:t xml:space="preserve">минимальные отступы от красной линии – 5 м; от иных границ – 3 м;  </w:t>
            </w:r>
            <w:r/>
          </w:p>
          <w:p>
            <w:pPr>
              <w:ind w:left="118" w:right="165"/>
              <w:jc w:val="both"/>
              <w:rPr>
                <w:rFonts w:eastAsia="Calibri"/>
              </w:rPr>
            </w:pPr>
            <w:r>
              <w:t xml:space="preserve">минимальный процент озеленения – 15%</w:t>
            </w:r>
            <w:r/>
          </w:p>
        </w:tc>
        <w:tc>
          <w:tcPr>
            <w:tcW w:w="2410" w:type="dxa"/>
            <w:vMerge w:val="continue"/>
            <w:textDirection w:val="lrTb"/>
            <w:noWrap w:val="false"/>
          </w:tcPr>
          <w:p>
            <w:pPr>
              <w:ind w:left="118" w:right="165"/>
            </w:pPr>
            <w:r/>
            <w:r/>
          </w:p>
        </w:tc>
      </w:tr>
      <w:tr>
        <w:trPr>
          <w:trHeight w:val="230"/>
        </w:trPr>
        <w:tc>
          <w:tcPr>
            <w:tcW w:w="2014" w:type="dxa"/>
            <w:vMerge w:val="restart"/>
            <w:textDirection w:val="lrTb"/>
            <w:noWrap w:val="false"/>
          </w:tcPr>
          <w:p>
            <w:pPr>
              <w:ind w:left="147" w:right="142"/>
            </w:pPr>
            <w:r>
              <w:t xml:space="preserve">[3.2.3]  </w:t>
            </w:r>
            <w:r/>
          </w:p>
          <w:p>
            <w:pPr>
              <w:ind w:left="147" w:right="166"/>
            </w:pPr>
            <w:r>
              <w:t xml:space="preserve">Оказание услуг связи</w:t>
            </w:r>
            <w:r/>
          </w:p>
        </w:tc>
        <w:tc>
          <w:tcPr>
            <w:tcW w:w="5221" w:type="dxa"/>
            <w:vMerge w:val="restart"/>
            <w:textDirection w:val="lrTb"/>
            <w:noWrap w:val="false"/>
          </w:tcPr>
          <w:p>
            <w:pPr>
              <w:ind w:left="118" w:right="165"/>
              <w:jc w:val="both"/>
            </w:pPr>
            <w:r>
              <w:t xml:space="preserve">Размещение зданий, предназначенных для размещения пунктов оказания услуг почтовой, телеграфной, междугородней и международной телефонной связи</w:t>
            </w:r>
            <w:r/>
          </w:p>
        </w:tc>
        <w:tc>
          <w:tcPr>
            <w:tcW w:w="5528" w:type="dxa"/>
            <w:vMerge w:val="restart"/>
            <w:textDirection w:val="lrTb"/>
            <w:noWrap w:val="false"/>
          </w:tcPr>
          <w:p>
            <w:pPr>
              <w:ind w:left="118" w:right="165"/>
              <w:jc w:val="both"/>
              <w:rPr>
                <w:rFonts w:eastAsia="Calibri"/>
              </w:rPr>
            </w:pPr>
            <w:r>
              <w:rPr>
                <w:rFonts w:eastAsia="Calibri"/>
              </w:rPr>
              <w:t xml:space="preserve">Минимальная/максимальная площадь земельных участков – 400/5000 кв. м; </w:t>
            </w:r>
            <w:r/>
          </w:p>
          <w:p>
            <w:pPr>
              <w:ind w:left="118" w:right="165"/>
              <w:jc w:val="both"/>
              <w:rPr>
                <w:rFonts w:eastAsia="Calibri"/>
              </w:rPr>
            </w:pPr>
            <w:r>
              <w:rPr>
                <w:rFonts w:eastAsia="Calibri"/>
              </w:rPr>
              <w:t xml:space="preserve">максимальное количество надземных этажей зданий – 3 (включая мансардный этаж);</w:t>
            </w:r>
            <w:r/>
          </w:p>
          <w:p>
            <w:pPr>
              <w:ind w:left="118" w:right="165"/>
              <w:jc w:val="both"/>
              <w:rPr>
                <w:rFonts w:eastAsia="Calibri"/>
              </w:rPr>
            </w:pPr>
            <w:r>
              <w:rPr>
                <w:rFonts w:eastAsia="Calibri"/>
              </w:rPr>
              <w:t xml:space="preserve">максимальный процент застройки в границах земельного участка – 60;</w:t>
            </w:r>
            <w:r/>
          </w:p>
          <w:p>
            <w:pPr>
              <w:ind w:left="118" w:right="165"/>
              <w:jc w:val="both"/>
              <w:rPr>
                <w:rFonts w:eastAsia="Calibri"/>
              </w:rPr>
            </w:pPr>
            <w:r>
              <w:rPr>
                <w:rFonts w:eastAsia="Calibri"/>
              </w:rPr>
              <w:t xml:space="preserve">минимальные отступы от красной линии – 5 м; от иных границ – 3 м;</w:t>
            </w:r>
            <w:r/>
          </w:p>
          <w:p>
            <w:pPr>
              <w:ind w:left="118" w:right="165"/>
              <w:jc w:val="both"/>
            </w:pPr>
            <w:r>
              <w:rPr>
                <w:rFonts w:eastAsia="Calibri"/>
              </w:rPr>
              <w:t xml:space="preserve">минимальный процент озеленения земельного участка 15%.</w:t>
            </w:r>
            <w:r/>
          </w:p>
        </w:tc>
        <w:tc>
          <w:tcPr>
            <w:tcW w:w="2410" w:type="dxa"/>
            <w:vMerge w:val="continue"/>
            <w:textDirection w:val="lrTb"/>
            <w:noWrap w:val="false"/>
          </w:tcPr>
          <w:p>
            <w:pPr>
              <w:ind w:left="118" w:right="165"/>
            </w:pPr>
            <w:r/>
            <w:r/>
          </w:p>
        </w:tc>
      </w:tr>
      <w:tr>
        <w:trPr/>
        <w:tc>
          <w:tcPr>
            <w:tcW w:w="2014" w:type="dxa"/>
            <w:textDirection w:val="lrTb"/>
            <w:noWrap w:val="false"/>
          </w:tcPr>
          <w:p>
            <w:pPr>
              <w:ind w:left="147" w:right="166"/>
            </w:pPr>
            <w:r>
              <w:t xml:space="preserve">[3.2.4]  </w:t>
            </w:r>
            <w:bookmarkStart w:id="4" w:name="sub_1324"/>
            <w:r/>
            <w:r/>
          </w:p>
          <w:p>
            <w:pPr>
              <w:ind w:left="147" w:right="166"/>
            </w:pPr>
            <w:r>
              <w:t xml:space="preserve">Общежития</w:t>
            </w:r>
            <w:bookmarkEnd w:id="4"/>
            <w:r/>
            <w:r/>
          </w:p>
        </w:tc>
        <w:tc>
          <w:tcPr>
            <w:tcW w:w="5221" w:type="dxa"/>
            <w:textDirection w:val="lrTb"/>
            <w:noWrap w:val="false"/>
          </w:tcPr>
          <w:p>
            <w:pPr>
              <w:ind w:left="118" w:right="165"/>
              <w:jc w:val="both"/>
            </w:pPr>
            <w: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72" w:tooltip="../Правила/Кавказская%20зона%202020%20новое%20ИЗМЕНЕНИЯ.doc#sub_1047" w:anchor="sub_1047" w:history="1">
              <w:r>
                <w:rPr>
                  <w:rFonts w:eastAsia="SimSun"/>
                </w:rPr>
                <w:t xml:space="preserve">кодом 4.7</w:t>
              </w:r>
            </w:hyperlink>
            <w:r/>
            <w:r/>
          </w:p>
        </w:tc>
        <w:tc>
          <w:tcPr>
            <w:tcW w:w="5528" w:type="dxa"/>
            <w:textDirection w:val="lrTb"/>
            <w:noWrap w:val="false"/>
          </w:tcPr>
          <w:p>
            <w:pPr>
              <w:ind w:left="141" w:right="165"/>
              <w:jc w:val="both"/>
              <w:rPr>
                <w:rFonts w:eastAsia="Calibri"/>
              </w:rPr>
            </w:pPr>
            <w:r>
              <w:rPr>
                <w:rFonts w:eastAsia="Calibri"/>
              </w:rPr>
              <w:t xml:space="preserve">Минимальная/максимальная площадь земельных участков – 400/5000 кв. м; </w:t>
            </w:r>
            <w:r/>
          </w:p>
          <w:p>
            <w:pPr>
              <w:ind w:left="118" w:right="165"/>
              <w:jc w:val="both"/>
              <w:rPr>
                <w:rFonts w:eastAsia="Calibri"/>
              </w:rPr>
            </w:pPr>
            <w:r>
              <w:rPr>
                <w:rFonts w:eastAsia="Calibri"/>
              </w:rPr>
              <w:t xml:space="preserve">максимальное количество надземных этажей зданий – 3 (включая мансардный этаж);</w:t>
            </w:r>
            <w:r/>
          </w:p>
          <w:p>
            <w:pPr>
              <w:ind w:left="118" w:right="165"/>
              <w:jc w:val="both"/>
              <w:rPr>
                <w:rFonts w:eastAsia="Calibri"/>
              </w:rPr>
            </w:pPr>
            <w:r>
              <w:rPr>
                <w:rFonts w:eastAsia="Calibri"/>
              </w:rPr>
              <w:t xml:space="preserve">максимальный процент застройки в границах земельного участка – 40 %; </w:t>
            </w:r>
            <w:r/>
          </w:p>
          <w:p>
            <w:pPr>
              <w:ind w:left="118" w:right="165"/>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18" w:right="165"/>
              <w:jc w:val="both"/>
              <w:rPr>
                <w:rFonts w:eastAsia="Calibri"/>
              </w:rPr>
            </w:pPr>
            <w:r>
              <w:rPr>
                <w:rFonts w:eastAsia="SimSun"/>
                <w:lang w:eastAsia="zh-CN" w:bidi="ru-RU"/>
              </w:rPr>
              <w:t xml:space="preserve">минимальный процент озеленения земельного участка 15%.</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ind w:left="147" w:right="166"/>
            </w:pPr>
            <w:r>
              <w:t xml:space="preserve">[3.3]  </w:t>
            </w:r>
            <w:r/>
          </w:p>
          <w:p>
            <w:pPr>
              <w:ind w:left="147" w:right="166"/>
            </w:pPr>
            <w:r>
              <w:t xml:space="preserve">Бытовое обслуживание</w:t>
            </w:r>
            <w:r/>
          </w:p>
        </w:tc>
        <w:tc>
          <w:tcPr>
            <w:tcW w:w="5221" w:type="dxa"/>
            <w:textDirection w:val="lrTb"/>
            <w:noWrap w:val="false"/>
          </w:tcPr>
          <w:p>
            <w:pPr>
              <w:ind w:left="118" w:right="165"/>
              <w:jc w:val="both"/>
              <w:rPr>
                <w:rFonts w:eastAsia="Calibri"/>
              </w:rPr>
            </w:pPr>
            <w:r>
              <w:t xml:space="preserve">Размещение объектов капитального строительства, </w:t>
            </w:r>
            <w:r>
              <w:t xml:space="preserve">предназначенных для оказания услуг населению или организациям бытовых услуг (мастерские мелкого ремонта, ателье, бани, парикмахерские, прачечные, химчистки, похоронные бюро)</w:t>
            </w:r>
            <w:r/>
          </w:p>
        </w:tc>
        <w:tc>
          <w:tcPr>
            <w:tcW w:w="5528" w:type="dxa"/>
            <w:textDirection w:val="lrTb"/>
            <w:noWrap w:val="false"/>
          </w:tcPr>
          <w:p>
            <w:pPr>
              <w:ind w:left="118" w:right="165"/>
              <w:jc w:val="both"/>
              <w:rPr>
                <w:rFonts w:eastAsia="Calibri"/>
              </w:rPr>
            </w:pPr>
            <w:r>
              <w:rPr>
                <w:rFonts w:eastAsia="Calibri"/>
              </w:rPr>
              <w:t xml:space="preserve">Минимальная/максимальная площадь земельных участков –</w:t>
            </w:r>
            <w:r>
              <w:rPr>
                <w:rFonts w:eastAsia="Calibri"/>
              </w:rPr>
              <w:t xml:space="preserve">200/2000 кв. м.; </w:t>
            </w:r>
            <w:r/>
          </w:p>
          <w:p>
            <w:pPr>
              <w:ind w:left="118" w:right="165"/>
              <w:jc w:val="both"/>
              <w:rPr>
                <w:rFonts w:eastAsia="Calibri"/>
              </w:rPr>
            </w:pPr>
            <w:r>
              <w:rPr>
                <w:rFonts w:eastAsia="Calibri"/>
              </w:rPr>
              <w:t xml:space="preserve">максимальный процент застройки в границах земельного участка – 60%;  </w:t>
            </w:r>
            <w:r/>
          </w:p>
          <w:p>
            <w:pPr>
              <w:ind w:left="118" w:right="165"/>
              <w:jc w:val="both"/>
              <w:rPr>
                <w:rFonts w:eastAsia="Calibri"/>
              </w:rPr>
            </w:pPr>
            <w:r>
              <w:rPr>
                <w:rFonts w:eastAsia="Calibri"/>
              </w:rPr>
              <w:t xml:space="preserve">максимальное количество надземных этажей зданий – 2;                  </w:t>
            </w:r>
            <w:r/>
          </w:p>
          <w:p>
            <w:pPr>
              <w:ind w:left="118" w:right="165"/>
              <w:jc w:val="both"/>
              <w:rPr>
                <w:rFonts w:eastAsia="Calibri"/>
              </w:rPr>
            </w:pPr>
            <w:r>
              <w:rPr>
                <w:rFonts w:eastAsia="Calibri"/>
              </w:rPr>
              <w:t xml:space="preserve">максимальная высота зданий, строений, сооружений от уровня земли - 12 м;</w:t>
            </w:r>
            <w:r/>
          </w:p>
          <w:p>
            <w:pPr>
              <w:ind w:left="118" w:right="165"/>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18" w:right="165"/>
              <w:jc w:val="both"/>
              <w:rPr>
                <w:rFonts w:eastAsia="Calibri"/>
              </w:rPr>
            </w:pPr>
            <w:r>
              <w:rPr>
                <w:rFonts w:eastAsia="SimSun"/>
                <w:lang w:eastAsia="zh-CN" w:bidi="ru-RU"/>
              </w:rPr>
              <w:t xml:space="preserve">минимальный процент озеленения земельного участка 15%.</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ind w:left="147" w:right="166"/>
            </w:pPr>
            <w:r>
              <w:t xml:space="preserve">[3.5.1] Дошкольное, начальное и среднее общее образование</w:t>
            </w:r>
            <w:r/>
          </w:p>
        </w:tc>
        <w:tc>
          <w:tcPr>
            <w:tcW w:w="5221" w:type="dxa"/>
            <w:textDirection w:val="lrTb"/>
            <w:noWrap w:val="false"/>
          </w:tcPr>
          <w:p>
            <w:pPr>
              <w:ind w:left="118" w:right="165"/>
              <w:jc w:val="both"/>
            </w:pPr>
            <w: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w:t>
            </w:r>
            <w:r>
              <w:t xml:space="preserve">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r/>
          </w:p>
        </w:tc>
        <w:tc>
          <w:tcPr>
            <w:tcW w:w="5528" w:type="dxa"/>
            <w:textDirection w:val="lrTb"/>
            <w:noWrap w:val="false"/>
          </w:tcPr>
          <w:p>
            <w:pPr>
              <w:ind w:left="118" w:right="165"/>
              <w:jc w:val="both"/>
              <w:rPr>
                <w:rFonts w:eastAsia="Calibri"/>
              </w:rPr>
            </w:pPr>
            <w:r>
              <w:rPr>
                <w:rFonts w:eastAsia="Calibri"/>
              </w:rPr>
              <w:t xml:space="preserve">Минимальная/максимальная площадь земельных участков   – 700/10000 кв. м;</w:t>
            </w:r>
            <w:r/>
          </w:p>
          <w:p>
            <w:pPr>
              <w:ind w:left="118" w:right="165"/>
              <w:jc w:val="both"/>
              <w:rPr>
                <w:rFonts w:eastAsia="Calibri"/>
              </w:rPr>
            </w:pPr>
            <w:r>
              <w:rPr>
                <w:rFonts w:eastAsia="Calibri"/>
              </w:rPr>
              <w:t xml:space="preserve">максимальное количество надземных этажей зданий – 3; </w:t>
            </w:r>
            <w:r/>
          </w:p>
          <w:p>
            <w:pPr>
              <w:ind w:left="118" w:right="165"/>
              <w:jc w:val="both"/>
              <w:rPr>
                <w:rFonts w:eastAsia="Calibri"/>
              </w:rPr>
            </w:pPr>
            <w:r>
              <w:rPr>
                <w:rFonts w:eastAsia="Calibri"/>
              </w:rPr>
              <w:t xml:space="preserve">максимальная высота зданий от уровня земли до верха перекрытия последнего этажа (или конька кровли) - 20 м;</w:t>
            </w:r>
            <w:r/>
          </w:p>
          <w:p>
            <w:pPr>
              <w:ind w:left="118" w:right="165"/>
              <w:jc w:val="both"/>
              <w:rPr>
                <w:rFonts w:eastAsia="Calibri"/>
              </w:rPr>
            </w:pPr>
            <w:r>
              <w:rPr>
                <w:rFonts w:eastAsia="Calibri"/>
              </w:rPr>
              <w:t xml:space="preserve">максимальный процент застройки – 40%;</w:t>
            </w:r>
            <w:r/>
          </w:p>
          <w:p>
            <w:pPr>
              <w:ind w:left="118" w:right="165"/>
              <w:jc w:val="both"/>
              <w:rPr>
                <w:rFonts w:eastAsia="Calibri"/>
              </w:rPr>
            </w:pPr>
            <w:r>
              <w:rPr>
                <w:rFonts w:eastAsia="Calibri"/>
              </w:rPr>
              <w:t xml:space="preserve">коэффициент использования территории не более - 2,4;</w:t>
            </w:r>
            <w:r/>
          </w:p>
          <w:p>
            <w:pPr>
              <w:ind w:left="118" w:right="165"/>
              <w:jc w:val="both"/>
              <w:rPr>
                <w:rFonts w:eastAsia="Calibri"/>
              </w:rPr>
            </w:pPr>
            <w:r>
              <w:rPr>
                <w:rFonts w:eastAsia="Calibri"/>
              </w:rPr>
              <w:t xml:space="preserve">минимальные отступы от красной линии до дошкольных    образовательных учреждений и общеобразовательных школ (от стены здания) -10 м; </w:t>
            </w:r>
            <w:r/>
          </w:p>
          <w:p>
            <w:pPr>
              <w:ind w:left="118" w:right="165"/>
              <w:jc w:val="both"/>
              <w:rPr>
                <w:rFonts w:eastAsia="Calibri"/>
              </w:rPr>
            </w:pPr>
            <w:r>
              <w:rPr>
                <w:rFonts w:eastAsia="Calibri"/>
              </w:rPr>
              <w:t xml:space="preserve">минимальные отступы от границ земельных участков до зданий, строений, сооружений – 3 м;  </w:t>
            </w:r>
            <w:r/>
          </w:p>
          <w:p>
            <w:pPr>
              <w:ind w:left="118" w:right="165"/>
              <w:jc w:val="both"/>
              <w:rPr>
                <w:rFonts w:eastAsia="Calibri"/>
              </w:rPr>
            </w:pPr>
            <w:r>
              <w:rPr>
                <w:rFonts w:eastAsia="Calibri"/>
              </w:rPr>
              <w:t xml:space="preserve">Минимальный процент озеленения земельного участка 30%.</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ind w:left="147" w:right="166"/>
            </w:pPr>
            <w:r>
              <w:t xml:space="preserve">[3.5.2]  </w:t>
            </w:r>
            <w:r/>
          </w:p>
          <w:p>
            <w:pPr>
              <w:ind w:left="147" w:right="166"/>
            </w:pPr>
            <w:r>
              <w:t xml:space="preserve">Среднее и высшее профессиональное образование</w:t>
            </w:r>
            <w:r/>
          </w:p>
        </w:tc>
        <w:tc>
          <w:tcPr>
            <w:tcW w:w="5221" w:type="dxa"/>
            <w:textDirection w:val="lrTb"/>
            <w:noWrap w:val="false"/>
          </w:tcPr>
          <w:p>
            <w:pPr>
              <w:ind w:left="118" w:right="165"/>
              <w:jc w:val="both"/>
            </w:pPr>
            <w: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w:t>
            </w:r>
            <w:r>
              <w:t xml:space="preserve">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r/>
          </w:p>
        </w:tc>
        <w:tc>
          <w:tcPr>
            <w:tcW w:w="5528" w:type="dxa"/>
            <w:textDirection w:val="lrTb"/>
            <w:noWrap w:val="false"/>
          </w:tcPr>
          <w:p>
            <w:pPr>
              <w:ind w:left="118" w:right="142"/>
              <w:jc w:val="both"/>
            </w:pPr>
            <w:r>
              <w:t xml:space="preserve">Минимальная/максимальная площадь земельных участков – 1000/15000 кв. м;</w:t>
            </w:r>
            <w:r/>
          </w:p>
          <w:p>
            <w:pPr>
              <w:ind w:left="118" w:right="142"/>
              <w:jc w:val="both"/>
            </w:pPr>
            <w:r>
              <w:t xml:space="preserve">максимальный процент застройки в границах земельного участка –50%;</w:t>
            </w:r>
            <w:r/>
          </w:p>
          <w:p>
            <w:pPr>
              <w:ind w:left="118" w:right="142"/>
              <w:jc w:val="both"/>
            </w:pPr>
            <w:r>
              <w:t xml:space="preserve">максимальное количество надземных этажей зданий – 3;</w:t>
            </w:r>
            <w:r/>
          </w:p>
          <w:p>
            <w:pPr>
              <w:ind w:left="118" w:right="142"/>
              <w:jc w:val="both"/>
            </w:pPr>
            <w:r>
              <w:t xml:space="preserve">максимальная высота зданий, строений, сооружений от уровня земли - 20 м;</w:t>
            </w:r>
            <w:r/>
          </w:p>
          <w:p>
            <w:pPr>
              <w:ind w:left="118" w:right="142"/>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18" w:right="165"/>
              <w:jc w:val="both"/>
              <w:rPr>
                <w:rFonts w:eastAsia="Calibri"/>
              </w:rPr>
            </w:pPr>
            <w:r>
              <w:rPr>
                <w:rFonts w:eastAsia="SimSun"/>
                <w:lang w:eastAsia="zh-CN" w:bidi="ru-RU"/>
              </w:rPr>
              <w:t xml:space="preserve">минимальный процент озеленения земельного участка 30%.</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ind w:left="147" w:right="166"/>
            </w:pPr>
            <w:r>
              <w:t xml:space="preserve">[3.7.1]  Осуществление религиозных обрядов</w:t>
            </w:r>
            <w:r/>
          </w:p>
        </w:tc>
        <w:tc>
          <w:tcPr>
            <w:tcW w:w="5221" w:type="dxa"/>
            <w:textDirection w:val="lrTb"/>
            <w:noWrap w:val="false"/>
          </w:tcPr>
          <w:p>
            <w:pPr>
              <w:ind w:left="118" w:right="165"/>
              <w:jc w:val="both"/>
            </w:pPr>
            <w:r>
              <w:t xml:space="preserve">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r/>
          </w:p>
        </w:tc>
        <w:tc>
          <w:tcPr>
            <w:tcW w:w="5528" w:type="dxa"/>
            <w:textDirection w:val="lrTb"/>
            <w:noWrap w:val="false"/>
          </w:tcPr>
          <w:p>
            <w:pPr>
              <w:ind w:left="118" w:right="142"/>
              <w:jc w:val="both"/>
              <w:tabs>
                <w:tab w:val="left" w:pos="2520" w:leader="none"/>
              </w:tabs>
            </w:pPr>
            <w:r>
              <w:t xml:space="preserve">Минимальная/максимальная площадь земельных участков –500/5000 кв. м;</w:t>
            </w:r>
            <w:r/>
          </w:p>
          <w:p>
            <w:pPr>
              <w:ind w:left="118" w:right="142"/>
              <w:jc w:val="both"/>
              <w:tabs>
                <w:tab w:val="left" w:pos="2520" w:leader="none"/>
              </w:tabs>
            </w:pPr>
            <w:r>
              <w:t xml:space="preserve">максимальная высота зданий, строений, сооружений от уровня земли - 30 м;</w:t>
            </w:r>
            <w:r/>
          </w:p>
          <w:p>
            <w:pPr>
              <w:ind w:left="118" w:right="142"/>
              <w:jc w:val="both"/>
              <w:tabs>
                <w:tab w:val="left" w:pos="2520" w:leader="none"/>
              </w:tabs>
            </w:pPr>
            <w:r>
              <w:t xml:space="preserve">максимальный процент застройки в границах земельного участка – 60%;</w:t>
            </w:r>
            <w:r/>
          </w:p>
          <w:p>
            <w:pPr>
              <w:ind w:left="118" w:right="142"/>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18" w:right="142"/>
              <w:jc w:val="both"/>
            </w:pPr>
            <w:r>
              <w:rPr>
                <w:rFonts w:eastAsia="SimSun"/>
                <w:lang w:eastAsia="zh-CN" w:bidi="ru-RU"/>
              </w:rPr>
              <w:t xml:space="preserve">минимальный процент озеленения земельного участка 15%.</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ind w:left="147" w:right="166"/>
            </w:pPr>
            <w:r>
              <w:t xml:space="preserve">[3.7.2]  Религиозное </w:t>
            </w:r>
            <w:r>
              <w:t xml:space="preserve">управление и образование</w:t>
            </w:r>
            <w:r/>
          </w:p>
        </w:tc>
        <w:tc>
          <w:tcPr>
            <w:tcW w:w="5221" w:type="dxa"/>
            <w:textDirection w:val="lrTb"/>
            <w:noWrap w:val="false"/>
          </w:tcPr>
          <w:p>
            <w:pPr>
              <w:ind w:left="118" w:right="165"/>
              <w:jc w:val="both"/>
            </w:pPr>
            <w:r>
              <w:t xml:space="preserve">Размещение зданий, предназначенных для постоянного местонахождения духовных лиц, паломников и </w:t>
            </w:r>
            <w:r>
              <w:t xml:space="preserve">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r/>
          </w:p>
        </w:tc>
        <w:tc>
          <w:tcPr>
            <w:tcW w:w="5528" w:type="dxa"/>
            <w:textDirection w:val="lrTb"/>
            <w:noWrap w:val="false"/>
          </w:tcPr>
          <w:p>
            <w:pPr>
              <w:ind w:left="118" w:right="142"/>
              <w:jc w:val="both"/>
              <w:tabs>
                <w:tab w:val="left" w:pos="2520" w:leader="none"/>
              </w:tabs>
            </w:pPr>
            <w:r>
              <w:t xml:space="preserve">Минимальная/максимальная площадь земельных участков –500/5000 кв. м;</w:t>
            </w:r>
            <w:r/>
          </w:p>
          <w:p>
            <w:pPr>
              <w:ind w:left="118" w:right="142"/>
              <w:jc w:val="both"/>
              <w:tabs>
                <w:tab w:val="left" w:pos="2520" w:leader="none"/>
              </w:tabs>
            </w:pPr>
            <w:r>
              <w:t xml:space="preserve">максимальная высота зданий, строений, сооружений от уровня земли - 15 м;</w:t>
            </w:r>
            <w:r/>
          </w:p>
          <w:p>
            <w:pPr>
              <w:ind w:left="118" w:right="142"/>
              <w:jc w:val="both"/>
              <w:tabs>
                <w:tab w:val="left" w:pos="2520" w:leader="none"/>
              </w:tabs>
            </w:pPr>
            <w:r>
              <w:t xml:space="preserve">максимальный процент застройки в границах земельного участка – 60%;</w:t>
            </w:r>
            <w:r/>
          </w:p>
          <w:p>
            <w:pPr>
              <w:ind w:left="118" w:right="142"/>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18" w:right="142"/>
              <w:jc w:val="both"/>
              <w:tabs>
                <w:tab w:val="left" w:pos="2520" w:leader="none"/>
              </w:tabs>
            </w:pPr>
            <w:r>
              <w:rPr>
                <w:rFonts w:eastAsia="SimSun"/>
                <w:lang w:eastAsia="zh-CN" w:bidi="ru-RU"/>
              </w:rPr>
              <w:t xml:space="preserve">минимальный процент озеленения земельного участка 15%.</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ind w:left="147" w:right="166"/>
              <w:tabs>
                <w:tab w:val="left" w:pos="2520" w:leader="none"/>
              </w:tabs>
            </w:pPr>
            <w:r>
              <w:t xml:space="preserve">[3.6]  </w:t>
            </w:r>
            <w:r/>
          </w:p>
          <w:p>
            <w:pPr>
              <w:ind w:left="147" w:right="166"/>
            </w:pPr>
            <w:r>
              <w:t xml:space="preserve">Культурное развитие</w:t>
            </w:r>
            <w:r/>
          </w:p>
        </w:tc>
        <w:tc>
          <w:tcPr>
            <w:tcW w:w="5221" w:type="dxa"/>
            <w:textDirection w:val="lrTb"/>
            <w:noWrap w:val="false"/>
          </w:tcPr>
          <w:p>
            <w:pPr>
              <w:ind w:left="118" w:right="165"/>
              <w:jc w:val="both"/>
            </w:pPr>
            <w:r>
              <w:t xml:space="preserve">     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3.6.1-3.6.2</w:t>
            </w:r>
            <w:r/>
          </w:p>
        </w:tc>
        <w:tc>
          <w:tcPr>
            <w:tcW w:w="5528" w:type="dxa"/>
            <w:textDirection w:val="lrTb"/>
            <w:noWrap w:val="false"/>
          </w:tcPr>
          <w:p>
            <w:pPr>
              <w:ind w:left="118" w:right="142"/>
              <w:jc w:val="both"/>
              <w:tabs>
                <w:tab w:val="left" w:pos="2520" w:leader="none"/>
              </w:tabs>
            </w:pPr>
            <w:r>
              <w:t xml:space="preserve">Минимальная/максимальная площадь земельных участков –1000/10000 кв. м;</w:t>
            </w:r>
            <w:r/>
          </w:p>
          <w:p>
            <w:pPr>
              <w:ind w:left="118" w:right="142"/>
              <w:jc w:val="both"/>
            </w:pPr>
            <w:r>
              <w:t xml:space="preserve">максимальное количество надземных этажей зданий – 2;</w:t>
            </w:r>
            <w:r/>
          </w:p>
          <w:p>
            <w:pPr>
              <w:ind w:left="118" w:right="142"/>
              <w:jc w:val="both"/>
              <w:tabs>
                <w:tab w:val="left" w:pos="2520" w:leader="none"/>
              </w:tabs>
            </w:pPr>
            <w:r>
              <w:t xml:space="preserve">максимальная высота зданий, строений, сооружений от уровня земли - 15 м;</w:t>
            </w:r>
            <w:r/>
          </w:p>
          <w:p>
            <w:pPr>
              <w:ind w:left="118" w:right="142"/>
              <w:jc w:val="both"/>
              <w:tabs>
                <w:tab w:val="left" w:pos="2520" w:leader="none"/>
              </w:tabs>
            </w:pPr>
            <w:r>
              <w:t xml:space="preserve">максимальный процент застройки в границах земельного участка – 60%;</w:t>
            </w:r>
            <w:r/>
          </w:p>
          <w:p>
            <w:pPr>
              <w:ind w:left="118" w:right="142"/>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18" w:right="142"/>
              <w:jc w:val="both"/>
              <w:tabs>
                <w:tab w:val="left" w:pos="2520" w:leader="none"/>
              </w:tabs>
            </w:pPr>
            <w:r>
              <w:rPr>
                <w:rFonts w:eastAsia="SimSun"/>
                <w:lang w:eastAsia="zh-CN" w:bidi="ru-RU"/>
              </w:rPr>
              <w:t xml:space="preserve">минимальный процент озеленения земельного участка 15%.</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ind w:left="147" w:right="166"/>
              <w:tabs>
                <w:tab w:val="left" w:pos="2520" w:leader="none"/>
              </w:tabs>
            </w:pPr>
            <w:r>
              <w:t xml:space="preserve">[3.6.1]  </w:t>
            </w:r>
            <w:r/>
          </w:p>
          <w:p>
            <w:pPr>
              <w:ind w:left="147" w:right="166"/>
              <w:tabs>
                <w:tab w:val="left" w:pos="2520" w:leader="none"/>
              </w:tabs>
            </w:pPr>
            <w:r>
              <w:t xml:space="preserve">Объекты культурно-досуговой деятельности</w:t>
            </w:r>
            <w:r/>
          </w:p>
        </w:tc>
        <w:tc>
          <w:tcPr>
            <w:tcW w:w="5221" w:type="dxa"/>
            <w:textDirection w:val="lrTb"/>
            <w:noWrap w:val="false"/>
          </w:tcPr>
          <w:p>
            <w:pPr>
              <w:ind w:left="118" w:right="165"/>
              <w:jc w:val="both"/>
            </w:pPr>
            <w:r>
              <w:t xml:space="preserve">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r/>
          </w:p>
        </w:tc>
        <w:tc>
          <w:tcPr>
            <w:tcW w:w="5528" w:type="dxa"/>
            <w:textDirection w:val="lrTb"/>
            <w:noWrap w:val="false"/>
          </w:tcPr>
          <w:p>
            <w:pPr>
              <w:ind w:left="118" w:right="142"/>
              <w:jc w:val="both"/>
              <w:tabs>
                <w:tab w:val="left" w:pos="2520" w:leader="none"/>
              </w:tabs>
            </w:pPr>
            <w:r>
              <w:t xml:space="preserve">Минимальная/максимальная площадь земельных участков –1000/10000 кв. м;</w:t>
            </w:r>
            <w:r/>
          </w:p>
          <w:p>
            <w:pPr>
              <w:ind w:left="118" w:right="142"/>
              <w:jc w:val="both"/>
            </w:pPr>
            <w:r>
              <w:t xml:space="preserve">максимальное количество надземных этажей зданий – 2;</w:t>
            </w:r>
            <w:r/>
          </w:p>
          <w:p>
            <w:pPr>
              <w:ind w:left="118" w:right="142"/>
              <w:jc w:val="both"/>
              <w:tabs>
                <w:tab w:val="left" w:pos="2520" w:leader="none"/>
              </w:tabs>
            </w:pPr>
            <w:r>
              <w:t xml:space="preserve">максимальная высота зданий, строений, сооружений от уровня земли - 15 м;</w:t>
            </w:r>
            <w:r/>
          </w:p>
          <w:p>
            <w:pPr>
              <w:ind w:left="118" w:right="142"/>
              <w:jc w:val="both"/>
              <w:tabs>
                <w:tab w:val="left" w:pos="2520" w:leader="none"/>
              </w:tabs>
            </w:pPr>
            <w:r>
              <w:t xml:space="preserve">максимальный процент застройки в границах земельного участка – 60%;</w:t>
            </w:r>
            <w:r/>
          </w:p>
          <w:p>
            <w:pPr>
              <w:ind w:left="118" w:right="142"/>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18" w:right="142"/>
              <w:jc w:val="both"/>
              <w:tabs>
                <w:tab w:val="left" w:pos="2520" w:leader="none"/>
              </w:tabs>
            </w:pPr>
            <w:r>
              <w:rPr>
                <w:rFonts w:eastAsia="SimSun"/>
                <w:lang w:eastAsia="zh-CN" w:bidi="ru-RU"/>
              </w:rPr>
              <w:t xml:space="preserve">минимальный процент озеленения земельного участка 15%.</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ind w:left="147" w:right="166"/>
              <w:tabs>
                <w:tab w:val="left" w:pos="2520" w:leader="none"/>
              </w:tabs>
            </w:pPr>
            <w:r>
              <w:t xml:space="preserve">[3.6.2]  </w:t>
            </w:r>
            <w:r/>
          </w:p>
          <w:p>
            <w:pPr>
              <w:ind w:left="147" w:right="166"/>
              <w:tabs>
                <w:tab w:val="left" w:pos="2520" w:leader="none"/>
              </w:tabs>
            </w:pPr>
            <w:r>
              <w:t xml:space="preserve">Парки культуры и отдыха</w:t>
            </w:r>
            <w:r/>
          </w:p>
        </w:tc>
        <w:tc>
          <w:tcPr>
            <w:tcW w:w="5221" w:type="dxa"/>
            <w:textDirection w:val="lrTb"/>
            <w:noWrap w:val="false"/>
          </w:tcPr>
          <w:p>
            <w:pPr>
              <w:ind w:left="118" w:right="165"/>
              <w:jc w:val="both"/>
            </w:pPr>
            <w:r>
              <w:t xml:space="preserve">Размещение парков культуры и отдыха</w:t>
            </w:r>
            <w:r/>
          </w:p>
        </w:tc>
        <w:tc>
          <w:tcPr>
            <w:tcW w:w="5528" w:type="dxa"/>
            <w:textDirection w:val="lrTb"/>
            <w:noWrap w:val="false"/>
          </w:tcPr>
          <w:p>
            <w:pPr>
              <w:ind w:left="118" w:right="142"/>
              <w:jc w:val="both"/>
              <w:tabs>
                <w:tab w:val="left" w:pos="2520" w:leader="none"/>
                <w:tab w:val="left" w:pos="5093" w:leader="none"/>
              </w:tabs>
            </w:pPr>
            <w:r>
              <w:t xml:space="preserve">Минимальная/максимальная площадь земельных участков –1000/10000 кв. м;</w:t>
            </w:r>
            <w:r/>
          </w:p>
          <w:p>
            <w:pPr>
              <w:ind w:left="118" w:right="142"/>
              <w:jc w:val="both"/>
              <w:tabs>
                <w:tab w:val="left" w:pos="2520" w:leader="none"/>
              </w:tabs>
            </w:pPr>
            <w:r>
              <w:rPr>
                <w:rFonts w:eastAsia="SimSun"/>
                <w:lang w:eastAsia="zh-CN" w:bidi="ru-RU"/>
              </w:rPr>
              <w:t xml:space="preserve">минимальный процент озеленения земельного участка 75%.</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ind w:left="147" w:right="166"/>
              <w:tabs>
                <w:tab w:val="left" w:pos="2520" w:leader="none"/>
              </w:tabs>
            </w:pPr>
            <w:r>
              <w:t xml:space="preserve">[5.1.3] </w:t>
            </w:r>
            <w:r/>
          </w:p>
          <w:p>
            <w:pPr>
              <w:ind w:left="147" w:right="166"/>
              <w:tabs>
                <w:tab w:val="left" w:pos="2520" w:leader="none"/>
              </w:tabs>
            </w:pPr>
            <w:r>
              <w:t xml:space="preserve">Площадки для занятий спортом</w:t>
            </w:r>
            <w:r/>
          </w:p>
        </w:tc>
        <w:tc>
          <w:tcPr>
            <w:tcW w:w="5221" w:type="dxa"/>
            <w:textDirection w:val="lrTb"/>
            <w:noWrap w:val="false"/>
          </w:tcPr>
          <w:p>
            <w:pPr>
              <w:ind w:left="118" w:right="165"/>
              <w:jc w:val="both"/>
            </w:pPr>
            <w:r>
              <w:t xml:space="preserve">Размещение площадок для занятия спортом и физкультурой на открытом воздухе (физкультурные площадки, беговые дорожки, поля для спортивной игры)</w:t>
            </w:r>
            <w:r/>
          </w:p>
        </w:tc>
        <w:tc>
          <w:tcPr>
            <w:tcW w:w="5528" w:type="dxa"/>
            <w:textDirection w:val="lrTb"/>
            <w:noWrap w:val="false"/>
          </w:tcPr>
          <w:p>
            <w:pPr>
              <w:ind w:left="118" w:right="142"/>
              <w:jc w:val="both"/>
              <w:tabs>
                <w:tab w:val="left" w:pos="2520" w:leader="none"/>
                <w:tab w:val="left" w:pos="5093" w:leader="none"/>
              </w:tabs>
            </w:pPr>
            <w:r>
              <w:t xml:space="preserve">Минимальная/максимальная площадь земельных участков –300/50000 кв. м;</w:t>
            </w:r>
            <w:r/>
          </w:p>
          <w:p>
            <w:pPr>
              <w:ind w:left="118" w:right="142"/>
              <w:jc w:val="both"/>
              <w:tabs>
                <w:tab w:val="left" w:pos="2520" w:leader="none"/>
                <w:tab w:val="left" w:pos="5093" w:leader="none"/>
              </w:tabs>
            </w:pPr>
            <w:r>
              <w:t xml:space="preserve">максимальная высота сооружений от уровня земли - 6 м;</w:t>
            </w:r>
            <w:r/>
          </w:p>
          <w:p>
            <w:pPr>
              <w:ind w:left="118" w:right="142"/>
              <w:jc w:val="both"/>
              <w:tabs>
                <w:tab w:val="left" w:pos="2520" w:leader="none"/>
              </w:tabs>
            </w:pPr>
            <w:r>
              <w:rPr>
                <w:rFonts w:eastAsia="SimSun"/>
                <w:lang w:eastAsia="zh-CN" w:bidi="ru-RU"/>
              </w:rPr>
              <w:t xml:space="preserve">минимальный процент озеленения земельного участка 15%.</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ind w:left="147" w:right="166"/>
              <w:tabs>
                <w:tab w:val="left" w:pos="2520" w:leader="none"/>
              </w:tabs>
            </w:pPr>
            <w:r>
              <w:t xml:space="preserve">[4.1]  </w:t>
            </w:r>
            <w:r/>
          </w:p>
          <w:p>
            <w:pPr>
              <w:ind w:left="147" w:right="166"/>
              <w:tabs>
                <w:tab w:val="left" w:pos="2520" w:leader="none"/>
              </w:tabs>
            </w:pPr>
            <w:r>
              <w:t xml:space="preserve">Деловое управление</w:t>
            </w:r>
            <w:r/>
          </w:p>
        </w:tc>
        <w:tc>
          <w:tcPr>
            <w:tcW w:w="5221" w:type="dxa"/>
            <w:textDirection w:val="lrTb"/>
            <w:noWrap w:val="false"/>
          </w:tcPr>
          <w:p>
            <w:pPr>
              <w:ind w:left="118" w:right="165"/>
              <w:jc w:val="both"/>
            </w:pPr>
            <w:r>
              <w:t xml:space="preserve">Размещение объектов капитального строительства с целью: размещения объектов управленческой деятельности, не связанной с государственным</w:t>
            </w:r>
            <w:r>
              <w:t xml:space="preserve">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r/>
          </w:p>
        </w:tc>
        <w:tc>
          <w:tcPr>
            <w:tcW w:w="5528" w:type="dxa"/>
            <w:textDirection w:val="lrTb"/>
            <w:noWrap w:val="false"/>
          </w:tcPr>
          <w:p>
            <w:pPr>
              <w:ind w:left="118" w:right="142"/>
              <w:jc w:val="both"/>
              <w:tabs>
                <w:tab w:val="left" w:pos="5093" w:leader="none"/>
              </w:tabs>
              <w:rPr>
                <w:rFonts w:eastAsia="Calibri"/>
              </w:rPr>
            </w:pPr>
            <w:r>
              <w:rPr>
                <w:rFonts w:eastAsia="Calibri"/>
              </w:rPr>
              <w:t xml:space="preserve">Минимальная/максимальная площадь земельных участков –500/1500 кв. м;</w:t>
            </w:r>
            <w:r/>
          </w:p>
          <w:p>
            <w:pPr>
              <w:ind w:left="118" w:right="142"/>
              <w:jc w:val="both"/>
              <w:tabs>
                <w:tab w:val="left" w:pos="5093" w:leader="none"/>
              </w:tabs>
              <w:rPr>
                <w:rFonts w:eastAsia="Calibri"/>
              </w:rPr>
            </w:pPr>
            <w:r>
              <w:rPr>
                <w:rFonts w:eastAsia="Calibri"/>
              </w:rPr>
              <w:t xml:space="preserve">Максимальная высота зданий, строений, сооружений от уровня земли - 15 м;</w:t>
            </w:r>
            <w:r/>
          </w:p>
          <w:p>
            <w:pPr>
              <w:ind w:left="118" w:right="142"/>
              <w:jc w:val="both"/>
              <w:tabs>
                <w:tab w:val="left" w:pos="5093" w:leader="none"/>
              </w:tabs>
              <w:rPr>
                <w:rFonts w:eastAsia="Calibri"/>
              </w:rPr>
            </w:pPr>
            <w:r>
              <w:rPr>
                <w:rFonts w:eastAsia="Calibri"/>
              </w:rPr>
              <w:t xml:space="preserve">Максимальный процент застройки в границах земельного участка – 60%;</w:t>
            </w:r>
            <w:r/>
          </w:p>
          <w:p>
            <w:pPr>
              <w:ind w:left="118" w:right="142"/>
              <w:jc w:val="both"/>
              <w:tabs>
                <w:tab w:val="left" w:pos="5093" w:leader="none"/>
              </w:tabs>
              <w:rPr>
                <w:rFonts w:eastAsia="Calibri"/>
              </w:rPr>
            </w:pPr>
            <w:r>
              <w:rPr>
                <w:rFonts w:eastAsia="Calibri"/>
              </w:rPr>
              <w:t xml:space="preserve">Минимальные отступы от красной линии – 5 м; от иных границ – 3 м;</w:t>
            </w:r>
            <w:r/>
          </w:p>
          <w:p>
            <w:pPr>
              <w:ind w:left="118" w:right="142"/>
              <w:jc w:val="both"/>
              <w:tabs>
                <w:tab w:val="left" w:pos="2520" w:leader="none"/>
                <w:tab w:val="left" w:pos="5093" w:leader="none"/>
              </w:tabs>
              <w:rPr>
                <w:rFonts w:eastAsia="Calibri"/>
              </w:rPr>
            </w:pPr>
            <w:r>
              <w:rPr>
                <w:rFonts w:eastAsia="Calibri"/>
              </w:rPr>
              <w:t xml:space="preserve">Минимальный процент озеленения земельного участка 15%.</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ind w:left="147" w:right="166"/>
              <w:tabs>
                <w:tab w:val="left" w:pos="2520" w:leader="none"/>
              </w:tabs>
            </w:pPr>
            <w:r>
              <w:t xml:space="preserve">[3.9.1] </w:t>
            </w:r>
            <w:r>
              <w:t xml:space="preserve">Обеспечение деятельности в области гидрометеорологии и смежных с ней областях</w:t>
            </w:r>
            <w:r/>
          </w:p>
        </w:tc>
        <w:tc>
          <w:tcPr>
            <w:tcW w:w="5221" w:type="dxa"/>
            <w:textDirection w:val="lrTb"/>
            <w:noWrap w:val="false"/>
          </w:tcPr>
          <w:p>
            <w:pPr>
              <w:ind w:left="118" w:right="165"/>
              <w:jc w:val="both"/>
            </w:pPr>
            <w:r>
              <w:t xml:space="preserve">Размещение объектов капитального строительства, </w:t>
            </w:r>
            <w:r>
              <w:t xml:space="preserve">предназначе</w:t>
            </w:r>
            <w:r>
              <w:t xml:space="preserve">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w:t>
            </w:r>
            <w:r>
              <w:t xml:space="preserve">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r/>
          </w:p>
        </w:tc>
        <w:tc>
          <w:tcPr>
            <w:tcW w:w="5528" w:type="dxa"/>
            <w:textDirection w:val="lrTb"/>
            <w:noWrap w:val="false"/>
          </w:tcPr>
          <w:p>
            <w:pPr>
              <w:ind w:left="118" w:right="142"/>
              <w:jc w:val="both"/>
              <w:tabs>
                <w:tab w:val="left" w:pos="5093" w:leader="none"/>
              </w:tabs>
            </w:pPr>
            <w:r>
              <w:rPr>
                <w:rFonts w:eastAsia="Calibri"/>
              </w:rPr>
              <w:t xml:space="preserve">М</w:t>
            </w:r>
            <w:r>
              <w:t xml:space="preserve">инимальная/максимальная площадь земельных участков – </w:t>
            </w:r>
            <w:r>
              <w:t xml:space="preserve">1000/15000 кв. м;</w:t>
            </w:r>
            <w:r/>
          </w:p>
          <w:p>
            <w:pPr>
              <w:ind w:left="118" w:right="142"/>
              <w:jc w:val="both"/>
              <w:tabs>
                <w:tab w:val="left" w:pos="5093" w:leader="none"/>
              </w:tabs>
            </w:pPr>
            <w:r>
              <w:t xml:space="preserve">максимальный процент застройки в границах земельного участка –60%;</w:t>
            </w:r>
            <w:r/>
          </w:p>
          <w:p>
            <w:pPr>
              <w:ind w:left="118" w:right="142"/>
              <w:jc w:val="both"/>
              <w:tabs>
                <w:tab w:val="left" w:pos="5093" w:leader="none"/>
              </w:tabs>
            </w:pPr>
            <w:r>
              <w:t xml:space="preserve">максимальное количество надземных этажей зданий – 2;</w:t>
            </w:r>
            <w:r/>
          </w:p>
          <w:p>
            <w:pPr>
              <w:ind w:left="118" w:right="142"/>
              <w:jc w:val="both"/>
              <w:tabs>
                <w:tab w:val="left" w:pos="5093" w:leader="none"/>
              </w:tabs>
            </w:pPr>
            <w:r>
              <w:t xml:space="preserve">максимальная высота зданий, строений, сооружений от уровня земли - 25 м;</w:t>
            </w:r>
            <w:r/>
          </w:p>
          <w:p>
            <w:pPr>
              <w:ind w:left="118" w:right="142"/>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18" w:right="142"/>
              <w:jc w:val="both"/>
              <w:tabs>
                <w:tab w:val="left" w:pos="5093" w:leader="none"/>
              </w:tabs>
              <w:rPr>
                <w:rFonts w:eastAsia="Calibri"/>
              </w:rPr>
            </w:pPr>
            <w:r>
              <w:rPr>
                <w:rFonts w:eastAsia="SimSun"/>
                <w:lang w:eastAsia="zh-CN" w:bidi="ru-RU"/>
              </w:rPr>
              <w:t xml:space="preserve">минимальный процент озеленения земельного участка 15%.</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ind w:left="147" w:right="166"/>
            </w:pPr>
            <w:r>
              <w:t xml:space="preserve">[3.9.2] </w:t>
            </w:r>
            <w:r/>
          </w:p>
          <w:p>
            <w:pPr>
              <w:ind w:left="147" w:right="166"/>
              <w:tabs>
                <w:tab w:val="left" w:pos="2520" w:leader="none"/>
              </w:tabs>
            </w:pPr>
            <w:r>
              <w:t xml:space="preserve">Проведение научных исследований</w:t>
            </w:r>
            <w:r/>
          </w:p>
        </w:tc>
        <w:tc>
          <w:tcPr>
            <w:tcW w:w="5221" w:type="dxa"/>
            <w:textDirection w:val="lrTb"/>
            <w:noWrap w:val="false"/>
          </w:tcPr>
          <w:p>
            <w:pPr>
              <w:ind w:left="118" w:right="165"/>
              <w:jc w:val="both"/>
            </w:pPr>
            <w:r>
              <w:t xml:space="preserve">Размещение зданий и соор</w:t>
            </w:r>
            <w:r>
              <w:t xml:space="preserve">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r/>
          </w:p>
        </w:tc>
        <w:tc>
          <w:tcPr>
            <w:tcW w:w="5528" w:type="dxa"/>
            <w:textDirection w:val="lrTb"/>
            <w:noWrap w:val="false"/>
          </w:tcPr>
          <w:p>
            <w:pPr>
              <w:ind w:left="118" w:right="142"/>
              <w:jc w:val="both"/>
            </w:pPr>
            <w:r>
              <w:rPr>
                <w:rFonts w:eastAsia="Calibri"/>
              </w:rPr>
              <w:t xml:space="preserve"> М</w:t>
            </w:r>
            <w:r>
              <w:t xml:space="preserve">инимальная/максимальная площадь земельных участков – 1000/15000 кв.м.;</w:t>
            </w:r>
            <w:r/>
          </w:p>
          <w:p>
            <w:pPr>
              <w:ind w:left="118" w:right="142"/>
              <w:jc w:val="both"/>
            </w:pPr>
            <w:r>
              <w:t xml:space="preserve">максимальный процент застройки в границах земельного участка – 60%;</w:t>
            </w:r>
            <w:r/>
          </w:p>
          <w:p>
            <w:pPr>
              <w:ind w:left="118" w:right="142"/>
              <w:jc w:val="both"/>
            </w:pPr>
            <w:r>
              <w:t xml:space="preserve">максимальное количество надземных этажей зданий – 2;</w:t>
            </w:r>
            <w:r/>
          </w:p>
          <w:p>
            <w:pPr>
              <w:ind w:left="118" w:right="142"/>
              <w:jc w:val="both"/>
            </w:pPr>
            <w:r>
              <w:t xml:space="preserve">максимальная высота зданий, строений, сооружений от уровня земли - 15 м;</w:t>
            </w:r>
            <w:r/>
          </w:p>
          <w:p>
            <w:pPr>
              <w:ind w:left="118" w:right="142"/>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18" w:right="142"/>
              <w:jc w:val="both"/>
              <w:tabs>
                <w:tab w:val="left" w:pos="5093" w:leader="none"/>
              </w:tabs>
              <w:rPr>
                <w:rFonts w:eastAsia="Calibri"/>
              </w:rPr>
            </w:pPr>
            <w:r>
              <w:rPr>
                <w:rFonts w:eastAsia="SimSun"/>
                <w:lang w:eastAsia="zh-CN" w:bidi="ru-RU"/>
              </w:rPr>
              <w:t xml:space="preserve">минимальный процент озеленения земельного участка 15%.</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ind w:left="147" w:right="166"/>
            </w:pPr>
            <w:r>
              <w:t xml:space="preserve">[3.9.3] </w:t>
            </w:r>
            <w:r/>
          </w:p>
          <w:p>
            <w:pPr>
              <w:ind w:left="147" w:right="166"/>
            </w:pPr>
            <w:r>
              <w:t xml:space="preserve">Проведение научных испытаний</w:t>
            </w:r>
            <w:r/>
          </w:p>
        </w:tc>
        <w:tc>
          <w:tcPr>
            <w:tcW w:w="5221" w:type="dxa"/>
            <w:textDirection w:val="lrTb"/>
            <w:noWrap w:val="false"/>
          </w:tcPr>
          <w:p>
            <w:pPr>
              <w:ind w:left="118" w:right="165"/>
              <w:jc w:val="both"/>
            </w:pPr>
            <w:r>
              <w:t xml:space="preserve">Размещение зданий и сооружений для проведения изысканий, испытаний опытных промышле</w:t>
            </w:r>
            <w:r>
              <w:t xml:space="preserve">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r/>
          </w:p>
        </w:tc>
        <w:tc>
          <w:tcPr>
            <w:tcW w:w="5528" w:type="dxa"/>
            <w:textDirection w:val="lrTb"/>
            <w:noWrap w:val="false"/>
          </w:tcPr>
          <w:p>
            <w:pPr>
              <w:ind w:left="118" w:right="142"/>
              <w:jc w:val="both"/>
            </w:pPr>
            <w:r>
              <w:rPr>
                <w:rFonts w:eastAsia="Calibri"/>
              </w:rPr>
              <w:t xml:space="preserve"> М</w:t>
            </w:r>
            <w:r>
              <w:t xml:space="preserve">инимальная/максимальная площадь земельных участков – 1000/15000 кв. м;</w:t>
            </w:r>
            <w:r/>
          </w:p>
          <w:p>
            <w:pPr>
              <w:ind w:left="118" w:right="142"/>
              <w:jc w:val="both"/>
            </w:pPr>
            <w:r>
              <w:t xml:space="preserve">максимальный процент застройки в границах земельного участка –60%;</w:t>
            </w:r>
            <w:r/>
          </w:p>
          <w:p>
            <w:pPr>
              <w:ind w:left="118" w:right="142"/>
              <w:jc w:val="both"/>
            </w:pPr>
            <w:r>
              <w:t xml:space="preserve">максимальное количество надземных этажей зданий – 2;</w:t>
            </w:r>
            <w:r/>
          </w:p>
          <w:p>
            <w:pPr>
              <w:ind w:left="118" w:right="142"/>
              <w:jc w:val="both"/>
              <w:tabs>
                <w:tab w:val="left" w:pos="2520" w:leader="none"/>
              </w:tabs>
            </w:pPr>
            <w:r>
              <w:t xml:space="preserve">максимальная высота зданий, строений, сооружений от уровня земли - 15 м; </w:t>
            </w:r>
            <w:r/>
          </w:p>
          <w:p>
            <w:pPr>
              <w:ind w:left="118" w:right="142"/>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18" w:right="142"/>
              <w:jc w:val="both"/>
              <w:rPr>
                <w:rFonts w:eastAsia="Calibri"/>
              </w:rPr>
            </w:pPr>
            <w:r>
              <w:rPr>
                <w:rFonts w:eastAsia="SimSun"/>
                <w:lang w:eastAsia="zh-CN" w:bidi="ru-RU"/>
              </w:rPr>
              <w:t xml:space="preserve">минимальный процент озеленения земельного участка 15%.</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ind w:left="147" w:right="166"/>
            </w:pPr>
            <w:r>
              <w:t xml:space="preserve">[4.9]  </w:t>
            </w:r>
            <w:r/>
          </w:p>
          <w:p>
            <w:pPr>
              <w:ind w:left="147" w:right="166"/>
            </w:pPr>
            <w:r>
              <w:t xml:space="preserve">Служебные гаражи</w:t>
            </w:r>
            <w:r/>
          </w:p>
        </w:tc>
        <w:tc>
          <w:tcPr>
            <w:tcW w:w="5221" w:type="dxa"/>
            <w:textDirection w:val="lrTb"/>
            <w:noWrap w:val="false"/>
          </w:tcPr>
          <w:p>
            <w:pPr>
              <w:ind w:left="118" w:right="165"/>
              <w:jc w:val="both"/>
            </w:pPr>
            <w: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73" w:tooltip="../Правила/Кавказская%20зона%202020%20новое%20ИЗМЕНЕНИЯ.doc#sub_1030" w:anchor="sub_1030" w:history="1">
              <w:r>
                <w:rPr>
                  <w:rFonts w:eastAsia="SimSun"/>
                </w:rPr>
                <w:t xml:space="preserve">кодами 3.0</w:t>
              </w:r>
            </w:hyperlink>
            <w:r>
              <w:t xml:space="preserve">, </w:t>
            </w:r>
            <w:hyperlink r:id="rId74" w:tooltip="../Правила/Кавказская%20зона%202020%20новое%20ИЗМЕНЕНИЯ.doc#sub_1040" w:anchor="sub_1040" w:history="1">
              <w:r>
                <w:rPr>
                  <w:rFonts w:eastAsia="SimSun"/>
                </w:rPr>
                <w:t xml:space="preserve">4.0</w:t>
              </w:r>
            </w:hyperlink>
            <w:r>
              <w:t xml:space="preserve">, а также для стоянки и хранения транспортных средств общего пользования, в том числе в депо</w:t>
            </w:r>
            <w:r/>
          </w:p>
        </w:tc>
        <w:tc>
          <w:tcPr>
            <w:tcW w:w="5528" w:type="dxa"/>
            <w:textDirection w:val="lrTb"/>
            <w:noWrap w:val="false"/>
          </w:tcPr>
          <w:p>
            <w:pPr>
              <w:ind w:left="118" w:right="142"/>
              <w:jc w:val="both"/>
            </w:pPr>
            <w:r>
              <w:t xml:space="preserve">Минимальная/максимальная площадь земельных участков – 30/5000 кв. м;</w:t>
            </w:r>
            <w:r/>
          </w:p>
          <w:p>
            <w:pPr>
              <w:ind w:left="118" w:right="142"/>
              <w:jc w:val="both"/>
            </w:pPr>
            <w:r>
              <w:t xml:space="preserve">максимальный процент застройки в границах земельного участка – 60%;</w:t>
            </w:r>
            <w:r/>
          </w:p>
          <w:p>
            <w:pPr>
              <w:ind w:left="118" w:right="142"/>
              <w:jc w:val="both"/>
            </w:pPr>
            <w:r>
              <w:t xml:space="preserve">максимальная высота зданий, строений, сооружений от уровня земли - 12 м;</w:t>
            </w:r>
            <w:r/>
          </w:p>
          <w:p>
            <w:pPr>
              <w:ind w:left="118" w:right="142"/>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18" w:right="142"/>
              <w:jc w:val="both"/>
              <w:rPr>
                <w:rFonts w:eastAsia="Calibri"/>
              </w:rPr>
            </w:pPr>
            <w:r>
              <w:rPr>
                <w:rFonts w:eastAsia="SimSun"/>
                <w:lang w:eastAsia="zh-CN" w:bidi="ru-RU"/>
              </w:rPr>
              <w:t xml:space="preserve">минимальный процент озеленения земельного участка 15%.</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ind w:left="147" w:right="166"/>
            </w:pPr>
            <w:r>
              <w:t xml:space="preserve">[4.9.1.1]  </w:t>
            </w:r>
            <w:r/>
          </w:p>
          <w:p>
            <w:pPr>
              <w:ind w:left="147" w:right="166"/>
            </w:pPr>
            <w:r>
              <w:t xml:space="preserve">Заправка транспортных </w:t>
            </w:r>
            <w:r>
              <w:t xml:space="preserve">средств</w:t>
            </w:r>
            <w:r/>
          </w:p>
        </w:tc>
        <w:tc>
          <w:tcPr>
            <w:tcW w:w="5221" w:type="dxa"/>
            <w:textDirection w:val="lrTb"/>
            <w:noWrap w:val="false"/>
          </w:tcPr>
          <w:p>
            <w:pPr>
              <w:ind w:left="118" w:right="165"/>
              <w:jc w:val="both"/>
            </w:pPr>
            <w:r>
              <w:t xml:space="preserve">Размещение автозаправочных станций; размещение магазинов сопутствующей торговли, зданий для организации общественного питания в качестве объектов </w:t>
            </w:r>
            <w:r>
              <w:t xml:space="preserve">дорожного сервиса</w:t>
            </w:r>
            <w:r/>
          </w:p>
        </w:tc>
        <w:tc>
          <w:tcPr>
            <w:tcW w:w="5528" w:type="dxa"/>
            <w:textDirection w:val="lrTb"/>
            <w:noWrap w:val="false"/>
          </w:tcPr>
          <w:p>
            <w:pPr>
              <w:ind w:left="118" w:right="142"/>
              <w:jc w:val="both"/>
              <w:tabs>
                <w:tab w:val="left" w:pos="2520" w:leader="none"/>
              </w:tabs>
            </w:pPr>
            <w:r>
              <w:t xml:space="preserve">Минимальная/максимальная площадь земельных участков –300/5000 кв.м.;</w:t>
            </w:r>
            <w:r/>
          </w:p>
          <w:p>
            <w:pPr>
              <w:ind w:left="118" w:right="142"/>
              <w:jc w:val="both"/>
              <w:tabs>
                <w:tab w:val="left" w:pos="2520" w:leader="none"/>
              </w:tabs>
            </w:pPr>
            <w:r>
              <w:t xml:space="preserve">максимальная высота зданий, строений, сооружений от </w:t>
            </w:r>
            <w:r>
              <w:t xml:space="preserve">уровня земли - 12 м;</w:t>
            </w:r>
            <w:r/>
          </w:p>
          <w:p>
            <w:pPr>
              <w:ind w:left="118" w:right="142"/>
              <w:jc w:val="both"/>
              <w:tabs>
                <w:tab w:val="left" w:pos="2520" w:leader="none"/>
              </w:tabs>
            </w:pPr>
            <w:r>
              <w:t xml:space="preserve">максимальный процент застройки в границах земельного участка – 60%;</w:t>
            </w:r>
            <w:r/>
          </w:p>
          <w:p>
            <w:pPr>
              <w:ind w:left="118" w:right="142"/>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18" w:right="142"/>
              <w:jc w:val="both"/>
              <w:rPr>
                <w:rFonts w:eastAsia="Calibri"/>
              </w:rPr>
            </w:pPr>
            <w:r>
              <w:rPr>
                <w:rFonts w:eastAsia="SimSun"/>
                <w:lang w:eastAsia="zh-CN" w:bidi="ru-RU"/>
              </w:rPr>
              <w:t xml:space="preserve">минимальный процент озеленения земельного участка 15%.</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ind w:left="147" w:right="166"/>
            </w:pPr>
            <w:r>
              <w:t xml:space="preserve">[4.9.1.2]  Обеспечение дорожного отдыха</w:t>
            </w:r>
            <w:r/>
          </w:p>
        </w:tc>
        <w:tc>
          <w:tcPr>
            <w:tcW w:w="5221" w:type="dxa"/>
            <w:textDirection w:val="lrTb"/>
            <w:noWrap w:val="false"/>
          </w:tcPr>
          <w:p>
            <w:pPr>
              <w:ind w:left="118" w:right="165"/>
              <w:jc w:val="both"/>
            </w:pPr>
            <w: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r/>
          </w:p>
        </w:tc>
        <w:tc>
          <w:tcPr>
            <w:tcW w:w="5528" w:type="dxa"/>
            <w:textDirection w:val="lrTb"/>
            <w:noWrap w:val="false"/>
          </w:tcPr>
          <w:p>
            <w:pPr>
              <w:ind w:left="118" w:right="142"/>
              <w:jc w:val="both"/>
              <w:tabs>
                <w:tab w:val="left" w:pos="2520" w:leader="none"/>
              </w:tabs>
            </w:pPr>
            <w:r>
              <w:t xml:space="preserve">Минимальная/максимальная площадь земельных участков –300/5000 кв. м;</w:t>
            </w:r>
            <w:r/>
          </w:p>
          <w:p>
            <w:pPr>
              <w:ind w:left="118" w:right="142"/>
              <w:jc w:val="both"/>
              <w:tabs>
                <w:tab w:val="left" w:pos="2520" w:leader="none"/>
              </w:tabs>
            </w:pPr>
            <w:r>
              <w:t xml:space="preserve">максимальная высота зданий, строений, сооружений от уровня земли - 12 м;</w:t>
            </w:r>
            <w:r/>
          </w:p>
          <w:p>
            <w:pPr>
              <w:ind w:left="118" w:right="142"/>
              <w:jc w:val="both"/>
              <w:tabs>
                <w:tab w:val="left" w:pos="2520" w:leader="none"/>
              </w:tabs>
            </w:pPr>
            <w:r>
              <w:t xml:space="preserve">максимальный процент застройки в границах земельного участка – 60%;</w:t>
            </w:r>
            <w:r/>
          </w:p>
          <w:p>
            <w:pPr>
              <w:ind w:left="118" w:right="142"/>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18" w:right="142"/>
              <w:jc w:val="both"/>
              <w:tabs>
                <w:tab w:val="left" w:pos="2520" w:leader="none"/>
              </w:tabs>
            </w:pPr>
            <w:r>
              <w:rPr>
                <w:rFonts w:eastAsia="SimSun"/>
                <w:lang w:eastAsia="zh-CN" w:bidi="ru-RU"/>
              </w:rPr>
              <w:t xml:space="preserve">минимальный процент озеленения земельного участка 15%.</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ind w:left="147" w:right="166"/>
            </w:pPr>
            <w:r>
              <w:t xml:space="preserve">[4.9.1.3]  Автомобильные мойки</w:t>
            </w:r>
            <w:r/>
          </w:p>
        </w:tc>
        <w:tc>
          <w:tcPr>
            <w:tcW w:w="5221" w:type="dxa"/>
            <w:textDirection w:val="lrTb"/>
            <w:noWrap w:val="false"/>
          </w:tcPr>
          <w:p>
            <w:pPr>
              <w:ind w:left="118" w:right="165"/>
              <w:jc w:val="both"/>
            </w:pPr>
            <w:r>
              <w:t xml:space="preserve">Размещение автомобильных моек, а также размещение магазинов сопутствующей торговли</w:t>
            </w:r>
            <w:r/>
          </w:p>
        </w:tc>
        <w:tc>
          <w:tcPr>
            <w:tcW w:w="5528" w:type="dxa"/>
            <w:textDirection w:val="lrTb"/>
            <w:noWrap w:val="false"/>
          </w:tcPr>
          <w:p>
            <w:pPr>
              <w:ind w:left="118" w:right="142"/>
              <w:jc w:val="both"/>
              <w:tabs>
                <w:tab w:val="left" w:pos="2520" w:leader="none"/>
              </w:tabs>
            </w:pPr>
            <w:r>
              <w:t xml:space="preserve">Минимальная/максимальная площадь земельных участков –300/5000 кв. м;</w:t>
            </w:r>
            <w:r/>
          </w:p>
          <w:p>
            <w:pPr>
              <w:ind w:left="118" w:right="142"/>
              <w:jc w:val="both"/>
              <w:tabs>
                <w:tab w:val="left" w:pos="2520" w:leader="none"/>
              </w:tabs>
            </w:pPr>
            <w:r>
              <w:t xml:space="preserve">максимальная высота зданий, строений, сооружений от уровня земли - 12 м;</w:t>
            </w:r>
            <w:r/>
          </w:p>
          <w:p>
            <w:pPr>
              <w:ind w:left="118" w:right="142"/>
              <w:jc w:val="both"/>
              <w:tabs>
                <w:tab w:val="left" w:pos="2520" w:leader="none"/>
              </w:tabs>
            </w:pPr>
            <w:r>
              <w:t xml:space="preserve">максимальный процент застройки в границах земельного участка – 60%;</w:t>
            </w:r>
            <w:r/>
          </w:p>
          <w:p>
            <w:pPr>
              <w:ind w:left="118" w:right="142"/>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18" w:right="142"/>
              <w:jc w:val="both"/>
              <w:tabs>
                <w:tab w:val="left" w:pos="2520" w:leader="none"/>
              </w:tabs>
            </w:pPr>
            <w:r>
              <w:rPr>
                <w:rFonts w:eastAsia="SimSun"/>
                <w:lang w:eastAsia="zh-CN" w:bidi="ru-RU"/>
              </w:rPr>
              <w:t xml:space="preserve">минимальный процент озеленения земельного участка 15%.</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ind w:left="147" w:right="166"/>
              <w:tabs>
                <w:tab w:val="left" w:pos="2520" w:leader="none"/>
              </w:tabs>
            </w:pPr>
            <w:r>
              <w:t xml:space="preserve">[4.9.1.4]  </w:t>
            </w:r>
            <w:r/>
          </w:p>
          <w:p>
            <w:pPr>
              <w:ind w:left="147" w:right="166"/>
            </w:pPr>
            <w:r>
              <w:t xml:space="preserve">Ремонт автомобилей</w:t>
            </w:r>
            <w:r/>
          </w:p>
        </w:tc>
        <w:tc>
          <w:tcPr>
            <w:tcW w:w="5221" w:type="dxa"/>
            <w:textDirection w:val="lrTb"/>
            <w:noWrap w:val="false"/>
          </w:tcPr>
          <w:p>
            <w:pPr>
              <w:ind w:left="118" w:right="165"/>
              <w:jc w:val="both"/>
            </w:pPr>
            <w:r>
              <w:t xml:space="preserve">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r/>
          </w:p>
        </w:tc>
        <w:tc>
          <w:tcPr>
            <w:tcW w:w="5528" w:type="dxa"/>
            <w:textDirection w:val="lrTb"/>
            <w:noWrap w:val="false"/>
          </w:tcPr>
          <w:p>
            <w:pPr>
              <w:ind w:left="118" w:right="142"/>
              <w:jc w:val="both"/>
              <w:tabs>
                <w:tab w:val="left" w:pos="2520" w:leader="none"/>
              </w:tabs>
            </w:pPr>
            <w:r>
              <w:t xml:space="preserve">Минимальная/максимальная площадь земельных участков –300/5000 кв. м;</w:t>
            </w:r>
            <w:r/>
          </w:p>
          <w:p>
            <w:pPr>
              <w:ind w:left="118" w:right="142"/>
              <w:jc w:val="both"/>
              <w:tabs>
                <w:tab w:val="left" w:pos="2520" w:leader="none"/>
              </w:tabs>
            </w:pPr>
            <w:r>
              <w:t xml:space="preserve">максимальная высота зданий, строений, сооружений от уровня земли - 12 м;</w:t>
            </w:r>
            <w:r/>
          </w:p>
          <w:p>
            <w:pPr>
              <w:ind w:left="118" w:right="142"/>
              <w:jc w:val="both"/>
              <w:tabs>
                <w:tab w:val="left" w:pos="2520" w:leader="none"/>
              </w:tabs>
            </w:pPr>
            <w:r>
              <w:t xml:space="preserve">максимальный процент застройки в границах земельного участка – 60%;</w:t>
            </w:r>
            <w:r/>
          </w:p>
          <w:p>
            <w:pPr>
              <w:ind w:left="118" w:right="142"/>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18" w:right="142"/>
              <w:jc w:val="both"/>
              <w:tabs>
                <w:tab w:val="left" w:pos="2520" w:leader="none"/>
              </w:tabs>
            </w:pPr>
            <w:r>
              <w:rPr>
                <w:rFonts w:eastAsia="SimSun"/>
                <w:lang w:eastAsia="zh-CN" w:bidi="ru-RU"/>
              </w:rPr>
              <w:t xml:space="preserve">минимальный процент озеленения земельного участка 15%.</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ind w:left="147" w:right="166"/>
              <w:tabs>
                <w:tab w:val="left" w:pos="2520" w:leader="none"/>
              </w:tabs>
            </w:pPr>
            <w:r>
              <w:t xml:space="preserve">[4.5]  </w:t>
            </w:r>
            <w:r/>
          </w:p>
          <w:p>
            <w:pPr>
              <w:ind w:left="147" w:right="166"/>
            </w:pPr>
            <w:r>
              <w:t xml:space="preserve">Банковская и страховая деятельность</w:t>
            </w:r>
            <w:r/>
          </w:p>
        </w:tc>
        <w:tc>
          <w:tcPr>
            <w:tcW w:w="5221" w:type="dxa"/>
            <w:textDirection w:val="lrTb"/>
            <w:noWrap w:val="false"/>
          </w:tcPr>
          <w:p>
            <w:pPr>
              <w:ind w:left="118" w:right="165"/>
              <w:jc w:val="both"/>
            </w:pPr>
            <w:r>
              <w:t xml:space="preserve">Размещение объектов капитального строительства, предназначенных для размещения организаций, оказывающих банковские и страховые услуги</w:t>
            </w:r>
            <w:r/>
          </w:p>
        </w:tc>
        <w:tc>
          <w:tcPr>
            <w:tcW w:w="5528" w:type="dxa"/>
            <w:textDirection w:val="lrTb"/>
            <w:noWrap w:val="false"/>
          </w:tcPr>
          <w:p>
            <w:pPr>
              <w:ind w:left="118" w:right="142"/>
              <w:jc w:val="both"/>
            </w:pPr>
            <w:r>
              <w:t xml:space="preserve">Минимальная/максимальная площадь земельных участков –500/1500 кв. м;</w:t>
            </w:r>
            <w:r/>
          </w:p>
          <w:p>
            <w:pPr>
              <w:ind w:left="118" w:right="142"/>
              <w:jc w:val="both"/>
            </w:pPr>
            <w:r>
              <w:t xml:space="preserve">максимальное количество надземных этажей зданий –  2;</w:t>
            </w:r>
            <w:r/>
          </w:p>
          <w:p>
            <w:pPr>
              <w:ind w:left="118" w:right="142"/>
              <w:jc w:val="both"/>
            </w:pPr>
            <w:r>
              <w:t xml:space="preserve">Максимальная высота зданий, строений, сооружений от уровня земли - 15 м;</w:t>
            </w:r>
            <w:r/>
          </w:p>
          <w:p>
            <w:pPr>
              <w:ind w:left="118" w:right="142"/>
              <w:jc w:val="both"/>
            </w:pPr>
            <w:r>
              <w:t xml:space="preserve">Максимальный процент застройки в границах земельного участка – 60%;</w:t>
            </w:r>
            <w:r/>
          </w:p>
          <w:p>
            <w:pPr>
              <w:ind w:left="118" w:right="142"/>
              <w:jc w:val="both"/>
            </w:pPr>
            <w:r>
              <w:t xml:space="preserve">Минимальные отступы от красной линии – 5 м; от иных границ – 3 м;</w:t>
            </w:r>
            <w:r/>
          </w:p>
          <w:p>
            <w:pPr>
              <w:ind w:left="118" w:right="142"/>
              <w:jc w:val="both"/>
              <w:tabs>
                <w:tab w:val="left" w:pos="2520" w:leader="none"/>
              </w:tabs>
            </w:pPr>
            <w:r>
              <w:t xml:space="preserve">Минимальный процент озеленения земельного участка 15%.</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ind w:left="147" w:right="166"/>
              <w:tabs>
                <w:tab w:val="left" w:pos="2520" w:leader="none"/>
              </w:tabs>
            </w:pPr>
            <w:r>
              <w:t xml:space="preserve">[4.3]  </w:t>
            </w:r>
            <w:r/>
          </w:p>
          <w:p>
            <w:pPr>
              <w:ind w:left="147" w:right="166"/>
              <w:tabs>
                <w:tab w:val="left" w:pos="2520" w:leader="none"/>
              </w:tabs>
            </w:pPr>
            <w:r>
              <w:t xml:space="preserve">Рынки</w:t>
            </w:r>
            <w:r/>
          </w:p>
        </w:tc>
        <w:tc>
          <w:tcPr>
            <w:tcW w:w="5221" w:type="dxa"/>
            <w:textDirection w:val="lrTb"/>
            <w:noWrap w:val="false"/>
          </w:tcPr>
          <w:p>
            <w:pPr>
              <w:ind w:left="108" w:right="142"/>
              <w:jc w:val="both"/>
            </w:pPr>
            <w:r>
              <w:t xml:space="preserve">Размещение объектов капитального строительства, </w:t>
            </w:r>
            <w:r>
              <w:t xml:space="preserve">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r/>
          </w:p>
          <w:p>
            <w:pPr>
              <w:ind w:left="118" w:right="165"/>
              <w:jc w:val="both"/>
            </w:pPr>
            <w:r>
              <w:t xml:space="preserve">размещение гаражей и (или) стоянок для автомобилей сотрудников и посетителей рынка</w:t>
            </w:r>
            <w:r/>
          </w:p>
        </w:tc>
        <w:tc>
          <w:tcPr>
            <w:tcW w:w="5528" w:type="dxa"/>
            <w:textDirection w:val="lrTb"/>
            <w:noWrap w:val="false"/>
          </w:tcPr>
          <w:p>
            <w:pPr>
              <w:ind w:left="118" w:right="142"/>
              <w:jc w:val="both"/>
            </w:pPr>
            <w:r>
              <w:t xml:space="preserve">Минимальная/максимальная площадь земельных участков – </w:t>
            </w:r>
            <w:r>
              <w:t xml:space="preserve">1000/25000 кв. м;</w:t>
            </w:r>
            <w:r/>
          </w:p>
          <w:p>
            <w:pPr>
              <w:ind w:left="118" w:right="142"/>
              <w:jc w:val="both"/>
            </w:pPr>
            <w:r>
              <w:t xml:space="preserve">максимальный процент застройки в границах земельного участка –60%;</w:t>
            </w:r>
            <w:r/>
          </w:p>
          <w:p>
            <w:pPr>
              <w:ind w:left="118" w:right="142"/>
              <w:jc w:val="both"/>
            </w:pPr>
            <w:r>
              <w:t xml:space="preserve">максимальное количество надземных этажей зданий –                   2;</w:t>
            </w:r>
            <w:r/>
          </w:p>
          <w:p>
            <w:pPr>
              <w:ind w:left="118" w:right="142"/>
              <w:jc w:val="both"/>
            </w:pPr>
            <w:r>
              <w:t xml:space="preserve">максимальная высота зданий, строений, сооружений от уровня земли - 12 м;</w:t>
            </w:r>
            <w:r/>
          </w:p>
          <w:p>
            <w:pPr>
              <w:ind w:left="118" w:right="142"/>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18" w:right="142"/>
              <w:jc w:val="both"/>
            </w:pPr>
            <w:r>
              <w:rPr>
                <w:rFonts w:eastAsia="SimSun"/>
                <w:lang w:eastAsia="zh-CN" w:bidi="ru-RU"/>
              </w:rPr>
              <w:t xml:space="preserve">минимальный процент озеленения земельного участка 15%.</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ind w:left="137" w:right="156"/>
            </w:pPr>
            <w:r>
              <w:t xml:space="preserve">[4.10]  </w:t>
            </w:r>
            <w:r/>
          </w:p>
          <w:p>
            <w:pPr>
              <w:ind w:left="147" w:right="166"/>
              <w:tabs>
                <w:tab w:val="left" w:pos="2520" w:leader="none"/>
              </w:tabs>
            </w:pPr>
            <w:r>
              <w:t xml:space="preserve">Выставочно-ярмарочная деятельность</w:t>
            </w:r>
            <w:r/>
          </w:p>
        </w:tc>
        <w:tc>
          <w:tcPr>
            <w:tcW w:w="5221" w:type="dxa"/>
            <w:textDirection w:val="lrTb"/>
            <w:noWrap w:val="false"/>
          </w:tcPr>
          <w:p>
            <w:pPr>
              <w:ind w:left="108" w:right="142"/>
              <w:jc w:val="both"/>
            </w:pPr>
            <w:r>
              <w:t xml:space="preserve">Размещение объектов капитального строит</w:t>
            </w:r>
            <w:r>
              <w:t xml:space="preserve">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r/>
          </w:p>
        </w:tc>
        <w:tc>
          <w:tcPr>
            <w:tcW w:w="5528" w:type="dxa"/>
            <w:textDirection w:val="lrTb"/>
            <w:noWrap w:val="false"/>
          </w:tcPr>
          <w:p>
            <w:pPr>
              <w:ind w:left="118" w:right="142"/>
              <w:jc w:val="both"/>
            </w:pPr>
            <w:r>
              <w:t xml:space="preserve">Минимальная/максимальная площадь земельных участков –1000/15000 кв. м;</w:t>
            </w:r>
            <w:r/>
          </w:p>
          <w:p>
            <w:pPr>
              <w:ind w:left="118" w:right="142"/>
              <w:jc w:val="both"/>
            </w:pPr>
            <w:r>
              <w:t xml:space="preserve">максимальное количество надземных этажей зданий –                   2;</w:t>
            </w:r>
            <w:r/>
          </w:p>
          <w:p>
            <w:pPr>
              <w:ind w:left="118" w:right="142"/>
              <w:jc w:val="both"/>
            </w:pPr>
            <w:r>
              <w:t xml:space="preserve">максимальная высота зданий, строений, сооружений от уровня земли - 12 м;</w:t>
            </w:r>
            <w:r/>
          </w:p>
          <w:p>
            <w:pPr>
              <w:ind w:left="118" w:right="142"/>
              <w:jc w:val="both"/>
            </w:pPr>
            <w:r>
              <w:t xml:space="preserve">максимальный процент застройки в границах земельного участка –60%;</w:t>
            </w:r>
            <w:r/>
          </w:p>
          <w:p>
            <w:pPr>
              <w:ind w:left="118" w:right="142"/>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18" w:right="142"/>
              <w:jc w:val="both"/>
            </w:pPr>
            <w:r>
              <w:rPr>
                <w:rFonts w:eastAsia="SimSun"/>
                <w:lang w:eastAsia="zh-CN" w:bidi="ru-RU"/>
              </w:rPr>
              <w:t xml:space="preserve">минимальный процент озеленения земельного участка 15%.</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ind w:left="137" w:right="156"/>
            </w:pPr>
            <w:r>
              <w:t xml:space="preserve">[4.4]  </w:t>
            </w:r>
            <w:r/>
          </w:p>
          <w:p>
            <w:pPr>
              <w:ind w:left="137" w:right="156"/>
            </w:pPr>
            <w:r>
              <w:t xml:space="preserve">Магазины</w:t>
            </w:r>
            <w:r/>
          </w:p>
        </w:tc>
        <w:tc>
          <w:tcPr>
            <w:tcW w:w="5221" w:type="dxa"/>
            <w:textDirection w:val="lrTb"/>
            <w:noWrap w:val="false"/>
          </w:tcPr>
          <w:p>
            <w:pPr>
              <w:ind w:left="108" w:right="142"/>
              <w:jc w:val="both"/>
            </w:pPr>
            <w:r>
              <w:t xml:space="preserve"> Размещение объектов капитального строительства, предназначенных для продажи товаров, торговая площадь которых составляет до 5000 кв. м</w:t>
            </w:r>
            <w:r/>
          </w:p>
        </w:tc>
        <w:tc>
          <w:tcPr>
            <w:tcW w:w="5528" w:type="dxa"/>
            <w:textDirection w:val="lrTb"/>
            <w:noWrap w:val="false"/>
          </w:tcPr>
          <w:p>
            <w:pPr>
              <w:ind w:left="118" w:right="142"/>
              <w:jc w:val="both"/>
            </w:pPr>
            <w:r>
              <w:t xml:space="preserve">Минимальная/максимальная площадь земельных участков – 100/5000 кв. м;</w:t>
            </w:r>
            <w:r/>
          </w:p>
          <w:p>
            <w:pPr>
              <w:ind w:left="118" w:right="142"/>
              <w:jc w:val="both"/>
            </w:pPr>
            <w:r>
              <w:t xml:space="preserve">максимальный процент застройки в границах земельного участка –60%;</w:t>
            </w:r>
            <w:r/>
          </w:p>
          <w:p>
            <w:pPr>
              <w:ind w:left="118" w:right="142"/>
              <w:jc w:val="both"/>
            </w:pPr>
            <w:r>
              <w:t xml:space="preserve">максимальное количество надземных этажей зданий – 3;</w:t>
            </w:r>
            <w:r/>
          </w:p>
          <w:p>
            <w:pPr>
              <w:ind w:left="118" w:right="142"/>
              <w:jc w:val="both"/>
            </w:pPr>
            <w:r>
              <w:t xml:space="preserve">максимальная высота зданий, строений, сооружений от уровня земли - 12 м;</w:t>
            </w:r>
            <w:r/>
          </w:p>
          <w:p>
            <w:pPr>
              <w:ind w:left="118" w:right="142"/>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18" w:right="142"/>
              <w:jc w:val="both"/>
            </w:pPr>
            <w:r>
              <w:rPr>
                <w:rFonts w:eastAsia="SimSun"/>
                <w:lang w:eastAsia="zh-CN" w:bidi="ru-RU"/>
              </w:rPr>
              <w:t xml:space="preserve">минимальный процент озеленения земельного участка 15%.</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ind w:left="137" w:right="156"/>
            </w:pPr>
            <w:r>
              <w:t xml:space="preserve">[4.6]  Общественное питание</w:t>
            </w:r>
            <w:r/>
          </w:p>
        </w:tc>
        <w:tc>
          <w:tcPr>
            <w:tcW w:w="5221" w:type="dxa"/>
            <w:textDirection w:val="lrTb"/>
            <w:noWrap w:val="false"/>
          </w:tcPr>
          <w:p>
            <w:pPr>
              <w:ind w:left="108" w:right="142"/>
              <w:jc w:val="both"/>
            </w:pPr>
            <w:r>
              <w:t xml:space="preserve">Размещение объектов капитального строительства в целях устройства мест общественного питания (рестораны, кафе, столовые, закусочные, бары)</w:t>
            </w:r>
            <w:r/>
          </w:p>
        </w:tc>
        <w:tc>
          <w:tcPr>
            <w:tcW w:w="5528" w:type="dxa"/>
            <w:textDirection w:val="lrTb"/>
            <w:noWrap w:val="false"/>
          </w:tcPr>
          <w:p>
            <w:pPr>
              <w:ind w:left="118" w:right="142"/>
              <w:jc w:val="both"/>
            </w:pPr>
            <w:r>
              <w:t xml:space="preserve">Минимальная/максимальная площадь земельных участков – 200/10000 кв. м;</w:t>
            </w:r>
            <w:r/>
          </w:p>
          <w:p>
            <w:pPr>
              <w:ind w:left="118" w:right="142"/>
              <w:jc w:val="both"/>
            </w:pPr>
            <w:r>
              <w:t xml:space="preserve">максимальный процент застройки в границах земельного участка – 60%;</w:t>
            </w:r>
            <w:r/>
          </w:p>
          <w:p>
            <w:pPr>
              <w:ind w:left="118" w:right="142"/>
              <w:jc w:val="both"/>
            </w:pPr>
            <w:r>
              <w:t xml:space="preserve">максимальное количество надземных этажей зданий –                    2;</w:t>
            </w:r>
            <w:r/>
          </w:p>
          <w:p>
            <w:pPr>
              <w:ind w:left="118" w:right="142"/>
              <w:jc w:val="both"/>
            </w:pPr>
            <w:r>
              <w:t xml:space="preserve">максимальная высота зданий, строений, сооружений от уровня земли -12 м;</w:t>
            </w:r>
            <w:r/>
          </w:p>
          <w:p>
            <w:pPr>
              <w:ind w:left="118" w:right="142"/>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18" w:right="142"/>
              <w:jc w:val="both"/>
            </w:pPr>
            <w:r>
              <w:rPr>
                <w:rFonts w:eastAsia="SimSun"/>
                <w:lang w:eastAsia="zh-CN" w:bidi="ru-RU"/>
              </w:rPr>
              <w:t xml:space="preserve">минимальный процент озеленения земельного участка 15%.</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ind w:left="137" w:right="156"/>
            </w:pPr>
            <w:r>
              <w:t xml:space="preserve">[4.7]  </w:t>
            </w:r>
            <w:r/>
          </w:p>
          <w:p>
            <w:pPr>
              <w:ind w:left="137" w:right="156"/>
            </w:pPr>
            <w:r>
              <w:t xml:space="preserve">Гостиничное </w:t>
            </w:r>
            <w:r>
              <w:t xml:space="preserve">обслуживание</w:t>
            </w:r>
            <w:r/>
          </w:p>
        </w:tc>
        <w:tc>
          <w:tcPr>
            <w:tcW w:w="5221" w:type="dxa"/>
            <w:textDirection w:val="lrTb"/>
            <w:noWrap w:val="false"/>
          </w:tcPr>
          <w:p>
            <w:pPr>
              <w:ind w:left="108" w:right="142"/>
              <w:jc w:val="both"/>
            </w:pPr>
            <w:r>
              <w:t xml:space="preserve">Размещение гостиниц, а также иных зданий, используемых с целью извлечения предпринимательской </w:t>
            </w:r>
            <w:r>
              <w:t xml:space="preserve">выгоды из предоставления жилого помещения для временного проживания в них</w:t>
            </w:r>
            <w:r/>
          </w:p>
        </w:tc>
        <w:tc>
          <w:tcPr>
            <w:tcW w:w="5528" w:type="dxa"/>
            <w:textDirection w:val="lrTb"/>
            <w:noWrap w:val="false"/>
          </w:tcPr>
          <w:p>
            <w:pPr>
              <w:ind w:left="118" w:right="141"/>
              <w:jc w:val="both"/>
            </w:pPr>
            <w:r>
              <w:t xml:space="preserve">минимальная/максимальная площадь земельных участков – 1000/5000 кв. м;</w:t>
            </w:r>
            <w:r/>
          </w:p>
          <w:p>
            <w:pPr>
              <w:ind w:left="118" w:right="141"/>
              <w:jc w:val="both"/>
            </w:pPr>
            <w:r>
              <w:t xml:space="preserve">максимальный процент застройки в границах земельного участка – 60%;</w:t>
            </w:r>
            <w:r/>
          </w:p>
          <w:p>
            <w:pPr>
              <w:ind w:left="118" w:right="141"/>
              <w:jc w:val="both"/>
            </w:pPr>
            <w:r>
              <w:t xml:space="preserve">максимальное количество надземных этажей зданий –  3 этажа;</w:t>
            </w:r>
            <w:r/>
          </w:p>
          <w:p>
            <w:pPr>
              <w:ind w:left="118" w:right="141"/>
              <w:jc w:val="both"/>
            </w:pPr>
            <w:r>
              <w:t xml:space="preserve">максимальная высота зданий, строений, сооружений от уровня земли - 20 м;</w:t>
            </w:r>
            <w:r/>
          </w:p>
          <w:p>
            <w:pPr>
              <w:ind w:left="118" w:right="141"/>
              <w:jc w:val="both"/>
            </w:pPr>
            <w:r>
              <w:t xml:space="preserve">минимальные отступы от красной линии – 5 м; от иных границ – 3 м;</w:t>
            </w:r>
            <w:r/>
          </w:p>
          <w:p>
            <w:pPr>
              <w:ind w:left="118" w:right="142"/>
              <w:jc w:val="both"/>
            </w:pPr>
            <w:r>
              <w:t xml:space="preserve">минимальный процент озеленения земельного участка 15%.</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ind w:left="137" w:right="156"/>
            </w:pPr>
            <w:r>
              <w:t xml:space="preserve">[4.8.1]  Развлекательные мероприятия</w:t>
            </w:r>
            <w:r/>
          </w:p>
        </w:tc>
        <w:tc>
          <w:tcPr>
            <w:tcW w:w="5221" w:type="dxa"/>
            <w:textDirection w:val="lrTb"/>
            <w:noWrap w:val="false"/>
          </w:tcPr>
          <w:p>
            <w:pPr>
              <w:ind w:left="108" w:right="142"/>
              <w:jc w:val="both"/>
            </w:pPr>
            <w:r>
              <w:t xml:space="preserve"> Размещение зданий и сооружений, предназначенных для организации ра</w:t>
            </w:r>
            <w:r>
              <w:t xml:space="preserve">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r/>
          </w:p>
        </w:tc>
        <w:tc>
          <w:tcPr>
            <w:tcW w:w="5528" w:type="dxa"/>
            <w:textDirection w:val="lrTb"/>
            <w:noWrap w:val="false"/>
          </w:tcPr>
          <w:p>
            <w:pPr>
              <w:ind w:left="118" w:right="141"/>
              <w:jc w:val="both"/>
            </w:pPr>
            <w:r>
              <w:t xml:space="preserve">Минимальная/максимальная площадь земельных участков – 500/15000 кв. м;</w:t>
            </w:r>
            <w:r/>
          </w:p>
          <w:p>
            <w:pPr>
              <w:ind w:left="118" w:right="141"/>
              <w:jc w:val="both"/>
            </w:pPr>
            <w:r>
              <w:t xml:space="preserve">максимальный процент застройки в границах земельного участка –60%;</w:t>
            </w:r>
            <w:r/>
          </w:p>
          <w:p>
            <w:pPr>
              <w:ind w:left="118" w:right="141"/>
              <w:jc w:val="both"/>
            </w:pPr>
            <w:r>
              <w:t xml:space="preserve">максимальное количество надземных этажей зданий –                     3;</w:t>
            </w:r>
            <w:r/>
          </w:p>
          <w:p>
            <w:pPr>
              <w:ind w:left="118" w:right="141"/>
              <w:jc w:val="both"/>
            </w:pPr>
            <w:r>
              <w:t xml:space="preserve">максимальная высота зданий, строений, сооружений от уровня земли - 20 м;</w:t>
            </w:r>
            <w:r/>
          </w:p>
          <w:p>
            <w:pPr>
              <w:ind w:left="118" w:right="141"/>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18" w:right="141"/>
              <w:jc w:val="both"/>
            </w:pPr>
            <w:r>
              <w:rPr>
                <w:rFonts w:eastAsia="SimSun"/>
                <w:lang w:eastAsia="zh-CN" w:bidi="ru-RU"/>
              </w:rPr>
              <w:t xml:space="preserve">минимальный процент озеленения земельного участка 15%.</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ind w:left="137" w:right="156"/>
            </w:pPr>
            <w:r>
              <w:t xml:space="preserve">[5.1.2]</w:t>
            </w:r>
            <w:r/>
          </w:p>
          <w:p>
            <w:pPr>
              <w:ind w:left="137" w:right="156"/>
            </w:pPr>
            <w:r>
              <w:t xml:space="preserve">Обеспечение занятий спортом в помещениях</w:t>
            </w:r>
            <w:r/>
          </w:p>
        </w:tc>
        <w:tc>
          <w:tcPr>
            <w:tcW w:w="5221" w:type="dxa"/>
            <w:textDirection w:val="lrTb"/>
            <w:noWrap w:val="false"/>
          </w:tcPr>
          <w:p>
            <w:pPr>
              <w:ind w:left="108" w:right="142"/>
              <w:jc w:val="both"/>
            </w:pPr>
            <w:r>
              <w:t xml:space="preserve">Размещение спортивных клубов, спортивных залов, бассейнов, физкультурно-оздоровительных комплексов в зданиях и сооружениях</w:t>
            </w:r>
            <w:r/>
          </w:p>
        </w:tc>
        <w:tc>
          <w:tcPr>
            <w:tcW w:w="5528" w:type="dxa"/>
            <w:textDirection w:val="lrTb"/>
            <w:noWrap w:val="false"/>
          </w:tcPr>
          <w:p>
            <w:pPr>
              <w:ind w:left="118" w:right="141"/>
              <w:jc w:val="both"/>
              <w:rPr>
                <w:rFonts w:eastAsia="SimSun"/>
                <w:lang w:eastAsia="zh-CN" w:bidi="ru-RU"/>
              </w:rPr>
            </w:pPr>
            <w:r>
              <w:rPr>
                <w:rFonts w:eastAsia="SimSun"/>
                <w:lang w:eastAsia="zh-CN" w:bidi="ru-RU"/>
              </w:rPr>
              <w:t xml:space="preserve">Минимальная/максимальная площадь земельных участков –1000/10000 кв. м;</w:t>
            </w:r>
            <w:r/>
          </w:p>
          <w:p>
            <w:pPr>
              <w:ind w:left="118" w:right="141"/>
              <w:jc w:val="both"/>
              <w:rPr>
                <w:rFonts w:eastAsia="SimSun"/>
                <w:lang w:eastAsia="zh-CN" w:bidi="ru-RU"/>
              </w:rPr>
            </w:pPr>
            <w:r>
              <w:rPr>
                <w:rFonts w:eastAsia="SimSun"/>
                <w:lang w:eastAsia="zh-CN" w:bidi="ru-RU"/>
              </w:rPr>
              <w:t xml:space="preserve">максимальная высота зданий, строений, сооружений от уровня земли – 20 м.;</w:t>
            </w:r>
            <w:r/>
          </w:p>
          <w:p>
            <w:pPr>
              <w:ind w:left="118" w:right="141"/>
              <w:jc w:val="both"/>
              <w:rPr>
                <w:rFonts w:eastAsia="SimSun"/>
                <w:lang w:eastAsia="zh-CN" w:bidi="ru-RU"/>
              </w:rPr>
            </w:pPr>
            <w:r>
              <w:rPr>
                <w:rFonts w:eastAsia="SimSun"/>
                <w:lang w:eastAsia="zh-CN" w:bidi="ru-RU"/>
              </w:rPr>
              <w:t xml:space="preserve">максимальный процент застройки в границах земельного участка – 60 %;</w:t>
            </w:r>
            <w:r/>
          </w:p>
          <w:p>
            <w:pPr>
              <w:ind w:left="118" w:right="141"/>
              <w:jc w:val="both"/>
              <w:rPr>
                <w:rFonts w:eastAsia="SimSun"/>
                <w:lang w:eastAsia="zh-CN" w:bidi="ru-RU"/>
              </w:rPr>
            </w:pPr>
            <w:r>
              <w:rPr>
                <w:rFonts w:eastAsia="SimSun"/>
                <w:lang w:eastAsia="zh-CN" w:bidi="ru-RU"/>
              </w:rPr>
              <w:t xml:space="preserve">минимальный процент озеленения – 15%,</w:t>
            </w:r>
            <w:r/>
          </w:p>
          <w:p>
            <w:pPr>
              <w:ind w:left="118" w:right="141"/>
              <w:jc w:val="both"/>
            </w:pPr>
            <w:r>
              <w:rPr>
                <w:rFonts w:eastAsia="SimSun"/>
                <w:lang w:eastAsia="zh-CN" w:bidi="ru-RU"/>
              </w:rPr>
              <w:t xml:space="preserve">минимальные отступы от красной линии – 5 м; от иных границ – 3 м.</w:t>
            </w:r>
            <w:r/>
          </w:p>
        </w:tc>
        <w:tc>
          <w:tcPr>
            <w:tcW w:w="2410" w:type="dxa"/>
            <w:vMerge w:val="continue"/>
            <w:textDirection w:val="lrTb"/>
            <w:noWrap w:val="false"/>
          </w:tcPr>
          <w:p>
            <w:pPr>
              <w:ind w:left="118" w:right="165"/>
              <w:rPr>
                <w:rFonts w:eastAsia="Calibri"/>
              </w:rPr>
            </w:pPr>
            <w:r>
              <w:rPr>
                <w:rFonts w:eastAsia="Calibri"/>
              </w:rPr>
            </w:r>
            <w:r/>
          </w:p>
        </w:tc>
      </w:tr>
      <w:tr>
        <w:trPr/>
        <w:tc>
          <w:tcPr>
            <w:tcW w:w="2014" w:type="dxa"/>
            <w:textDirection w:val="lrTb"/>
            <w:noWrap w:val="false"/>
          </w:tcPr>
          <w:p>
            <w:pPr>
              <w:pStyle w:val="1308"/>
              <w:ind w:left="172"/>
              <w:rPr>
                <w:spacing w:val="-4"/>
                <w:sz w:val="20"/>
                <w:lang w:val="ru-RU"/>
              </w:rPr>
            </w:pPr>
            <w:r>
              <w:rPr>
                <w:sz w:val="20"/>
              </w:rPr>
              <w:t xml:space="preserve">[8.3]</w:t>
            </w:r>
            <w:r>
              <w:rPr>
                <w:spacing w:val="-4"/>
                <w:sz w:val="20"/>
              </w:rPr>
              <w:t xml:space="preserve"> </w:t>
            </w:r>
            <w:r/>
          </w:p>
          <w:p>
            <w:pPr>
              <w:pStyle w:val="1308"/>
              <w:ind w:left="172"/>
              <w:jc w:val="both"/>
              <w:rPr>
                <w:sz w:val="20"/>
              </w:rPr>
            </w:pPr>
            <w:r>
              <w:rPr>
                <w:sz w:val="20"/>
                <w:szCs w:val="20"/>
                <w:lang w:val="ru-RU" w:eastAsia="ar-SA"/>
              </w:rPr>
              <w:t xml:space="preserve">Обеспечение внутреннего правопорядка</w:t>
            </w:r>
            <w:r/>
          </w:p>
        </w:tc>
        <w:tc>
          <w:tcPr>
            <w:tcW w:w="5221" w:type="dxa"/>
            <w:textDirection w:val="lrTb"/>
            <w:noWrap w:val="false"/>
          </w:tcPr>
          <w:p>
            <w:pPr>
              <w:pStyle w:val="1308"/>
              <w:ind w:firstLine="175"/>
              <w:jc w:val="both"/>
              <w:rPr>
                <w:sz w:val="20"/>
                <w:lang w:val="ru-RU"/>
              </w:rPr>
            </w:pPr>
            <w:r>
              <w:rPr>
                <w:sz w:val="20"/>
                <w:lang w:val="ru-RU"/>
              </w:rPr>
              <w:t xml:space="preserve">Размещение объектов капитального строительства, необходимых для подготовки и</w:t>
            </w:r>
            <w:r>
              <w:rPr>
                <w:sz w:val="20"/>
                <w:lang w:val="ru-RU"/>
              </w:rPr>
              <w:t xml:space="preserve">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r/>
          </w:p>
        </w:tc>
        <w:tc>
          <w:tcPr>
            <w:tcW w:w="5528" w:type="dxa"/>
            <w:textDirection w:val="lrTb"/>
            <w:noWrap w:val="false"/>
          </w:tcPr>
          <w:p>
            <w:pPr>
              <w:ind w:left="34"/>
              <w:jc w:val="both"/>
            </w:pPr>
            <w:r>
              <w:t xml:space="preserve">Минимальная/максимальная</w:t>
            </w:r>
            <w:r>
              <w:tab/>
              <w:t xml:space="preserve">площадь</w:t>
            </w:r>
            <w:r/>
          </w:p>
          <w:p>
            <w:pPr>
              <w:ind w:left="34"/>
              <w:jc w:val="both"/>
            </w:pPr>
            <w:r>
              <w:t xml:space="preserve">земельных участков –200/15000 кв. м; максимальный процент застройки в границах земельного участка –60%;</w:t>
            </w:r>
            <w:r/>
          </w:p>
          <w:p>
            <w:pPr>
              <w:ind w:left="34"/>
              <w:jc w:val="both"/>
            </w:pPr>
            <w:r>
              <w:t xml:space="preserve">максимальное количество надземных этажей зданий – 4 этажа;</w:t>
            </w:r>
            <w:r/>
          </w:p>
          <w:p>
            <w:pPr>
              <w:ind w:left="34"/>
              <w:jc w:val="both"/>
            </w:pPr>
            <w:r>
              <w:t xml:space="preserve">максимальная</w:t>
            </w:r>
            <w:r>
              <w:tab/>
              <w:t xml:space="preserve">высота</w:t>
            </w:r>
            <w:r>
              <w:tab/>
              <w:t xml:space="preserve">зданий,</w:t>
            </w:r>
            <w:r>
              <w:tab/>
              <w:t xml:space="preserve">строений, сооружений от уровня земли - 20 м;</w:t>
            </w:r>
            <w:r/>
          </w:p>
          <w:p>
            <w:pPr>
              <w:ind w:left="34"/>
              <w:jc w:val="both"/>
            </w:pPr>
            <w:r>
              <w:t xml:space="preserve">минимальные отступы от красной линии – 5 м; от иных границ – 3 м.</w:t>
            </w:r>
            <w:r/>
          </w:p>
        </w:tc>
        <w:tc>
          <w:tcPr>
            <w:tcW w:w="2410" w:type="dxa"/>
            <w:vMerge w:val="continue"/>
            <w:textDirection w:val="lrTb"/>
            <w:noWrap w:val="false"/>
          </w:tcPr>
          <w:p>
            <w:pPr>
              <w:ind w:left="118" w:right="165"/>
              <w:rPr>
                <w:rFonts w:eastAsia="Calibri"/>
              </w:rPr>
            </w:pPr>
            <w:r>
              <w:rPr>
                <w:rFonts w:eastAsia="Calibri"/>
              </w:rPr>
            </w:r>
            <w:r/>
          </w:p>
        </w:tc>
      </w:tr>
      <w:tr>
        <w:trPr>
          <w:trHeight w:val="230"/>
        </w:trPr>
        <w:tc>
          <w:tcPr>
            <w:tcW w:w="2014" w:type="dxa"/>
            <w:vMerge w:val="restart"/>
            <w:textDirection w:val="lrTb"/>
            <w:noWrap w:val="false"/>
          </w:tcPr>
          <w:p>
            <w:pPr>
              <w:ind w:left="137" w:right="156"/>
            </w:pPr>
            <w:r>
              <w:t xml:space="preserve">[9.3] </w:t>
            </w:r>
            <w:r/>
          </w:p>
          <w:p>
            <w:pPr>
              <w:ind w:left="137" w:right="156"/>
            </w:pPr>
            <w:r>
              <w:t xml:space="preserve">Историко-культурная деятельность</w:t>
            </w:r>
            <w:r/>
          </w:p>
        </w:tc>
        <w:tc>
          <w:tcPr>
            <w:tcW w:w="5221" w:type="dxa"/>
            <w:vMerge w:val="restart"/>
            <w:textDirection w:val="lrTb"/>
            <w:noWrap w:val="false"/>
          </w:tcPr>
          <w:p>
            <w:pPr>
              <w:ind w:left="108" w:right="142"/>
              <w:jc w:val="both"/>
            </w:pPr>
            <w:r>
              <w:t xml:space="preserve">Сохранение и изучение объектов к</w:t>
            </w:r>
            <w:r>
              <w:t xml:space="preserve">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w:t>
            </w:r>
            <w:r>
              <w:br/>
              <w:t xml:space="preserve">военных и </w:t>
            </w:r>
            <w:r>
              <w:t xml:space="preserve">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r/>
          </w:p>
        </w:tc>
        <w:tc>
          <w:tcPr>
            <w:tcW w:w="5528" w:type="dxa"/>
            <w:vMerge w:val="restart"/>
            <w:textDirection w:val="lrTb"/>
            <w:noWrap w:val="false"/>
          </w:tcPr>
          <w:p>
            <w:pPr>
              <w:ind w:left="118" w:right="142"/>
              <w:jc w:val="center"/>
            </w:pPr>
            <w:r>
              <w:t xml:space="preserve">Регламенты не распространяются</w:t>
            </w:r>
            <w:r/>
          </w:p>
          <w:p>
            <w:pPr>
              <w:ind w:left="118" w:right="142"/>
              <w:jc w:val="center"/>
              <w:rPr>
                <w:rFonts w:eastAsia="SimSun"/>
                <w:lang w:eastAsia="zh-CN" w:bidi="ru-RU"/>
              </w:rPr>
            </w:pPr>
            <w:r>
              <w:t xml:space="preserve">(не подлежат установлению)</w:t>
            </w:r>
            <w:r/>
          </w:p>
        </w:tc>
        <w:tc>
          <w:tcPr>
            <w:tcW w:w="2410" w:type="dxa"/>
            <w:vMerge w:val="continue"/>
            <w:textDirection w:val="lrTb"/>
            <w:noWrap w:val="false"/>
          </w:tcPr>
          <w:p>
            <w:pPr>
              <w:ind w:left="118" w:right="165"/>
              <w:rPr>
                <w:rFonts w:eastAsia="Calibri"/>
              </w:rPr>
            </w:pPr>
            <w:r>
              <w:rPr>
                <w:rFonts w:eastAsia="Calibri"/>
              </w:rPr>
            </w:r>
            <w:r/>
          </w:p>
        </w:tc>
      </w:tr>
      <w:tr>
        <w:trPr>
          <w:trHeight w:val="230"/>
        </w:trPr>
        <w:tc>
          <w:tcPr>
            <w:tcW w:w="2014" w:type="dxa"/>
            <w:vMerge w:val="restart"/>
            <w:textDirection w:val="lrTb"/>
            <w:noWrap w:val="false"/>
          </w:tcPr>
          <w:p>
            <w:pPr>
              <w:ind w:left="147" w:right="166"/>
              <w:tabs>
                <w:tab w:val="left" w:pos="2520" w:leader="none"/>
              </w:tabs>
            </w:pPr>
            <w:r>
              <w:t xml:space="preserve">[12.0.2] Благоустройство территории</w:t>
            </w:r>
            <w:r/>
          </w:p>
        </w:tc>
        <w:tc>
          <w:tcPr>
            <w:tcW w:w="5221" w:type="dxa"/>
            <w:vMerge w:val="restart"/>
            <w:textDirection w:val="lrTb"/>
            <w:noWrap w:val="false"/>
          </w:tcPr>
          <w:p>
            <w:pPr>
              <w:ind w:left="118" w:right="165"/>
              <w:jc w:val="both"/>
            </w:pPr>
            <w:r>
              <w:t xml:space="preserve">Размещение декоративных, технических, планировочных, конструктивных устройств, эле</w:t>
            </w:r>
            <w:r>
              <w:t xml:space="preserve">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r/>
          </w:p>
        </w:tc>
        <w:tc>
          <w:tcPr>
            <w:tcW w:w="5528" w:type="dxa"/>
            <w:vMerge w:val="restart"/>
            <w:textDirection w:val="lrTb"/>
            <w:noWrap w:val="false"/>
          </w:tcPr>
          <w:p>
            <w:pPr>
              <w:ind w:left="142" w:right="207"/>
              <w:jc w:val="center"/>
              <w:tabs>
                <w:tab w:val="left" w:pos="1134" w:leader="none"/>
              </w:tabs>
            </w:pPr>
            <w:r>
              <w:t xml:space="preserve">Регламенты не распространяются</w:t>
            </w:r>
            <w:r/>
          </w:p>
          <w:p>
            <w:pPr>
              <w:ind w:left="142" w:right="207"/>
              <w:jc w:val="center"/>
              <w:tabs>
                <w:tab w:val="left" w:pos="1134" w:leader="none"/>
              </w:tabs>
            </w:pPr>
            <w:r>
              <w:t xml:space="preserve">(не подлежат установлению)</w:t>
            </w:r>
            <w:r/>
          </w:p>
          <w:p>
            <w:pPr>
              <w:ind w:left="142" w:right="207"/>
              <w:jc w:val="center"/>
              <w:rPr>
                <w:strike/>
              </w:rPr>
            </w:pPr>
            <w:r>
              <w:rPr>
                <w:strike/>
              </w:rPr>
            </w:r>
            <w:r/>
          </w:p>
        </w:tc>
        <w:tc>
          <w:tcPr>
            <w:tcW w:w="2410" w:type="dxa"/>
            <w:vMerge w:val="continue"/>
            <w:textDirection w:val="lrTb"/>
            <w:noWrap w:val="false"/>
          </w:tcPr>
          <w:p>
            <w:pPr>
              <w:ind w:firstLine="567"/>
              <w:tabs>
                <w:tab w:val="left" w:pos="1060" w:leader="none"/>
              </w:tabs>
            </w:pPr>
            <w:r/>
            <w:r/>
          </w:p>
        </w:tc>
      </w:tr>
      <w:tr>
        <w:trPr>
          <w:trHeight w:val="230"/>
        </w:trPr>
        <w:tc>
          <w:tcPr>
            <w:tcW w:w="2014" w:type="dxa"/>
            <w:vMerge w:val="restart"/>
            <w:textDirection w:val="lrTb"/>
            <w:noWrap w:val="false"/>
          </w:tcPr>
          <w:p>
            <w:pPr>
              <w:ind w:left="137" w:right="156"/>
              <w:tabs>
                <w:tab w:val="left" w:pos="2520" w:leader="none"/>
              </w:tabs>
            </w:pPr>
            <w:r>
              <w:t xml:space="preserve">[12.0.1] </w:t>
            </w:r>
            <w:r/>
          </w:p>
          <w:p>
            <w:pPr>
              <w:ind w:left="147" w:right="166"/>
              <w:tabs>
                <w:tab w:val="left" w:pos="2520" w:leader="none"/>
              </w:tabs>
            </w:pPr>
            <w:r>
              <w:t xml:space="preserve">Улично-дорожная сеть</w:t>
            </w:r>
            <w:r/>
          </w:p>
        </w:tc>
        <w:tc>
          <w:tcPr>
            <w:tcW w:w="5221" w:type="dxa"/>
            <w:vMerge w:val="restart"/>
            <w:textDirection w:val="lrTb"/>
            <w:noWrap w:val="false"/>
          </w:tcPr>
          <w:p>
            <w:pPr>
              <w:ind w:left="118" w:right="307"/>
              <w:jc w:val="both"/>
            </w:pPr>
            <w: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w:t>
            </w:r>
            <w:r>
              <w:t xml:space="preserve">,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75" w:tooltip="../Правила/Кавказская%20зона%202020%20новое%20ИЗМЕНЕНИЯ.doc#sub_10271" w:anchor="sub_10271" w:history="1">
              <w:r>
                <w:rPr>
                  <w:rFonts w:eastAsia="SimSun"/>
                  <w:u w:val="single"/>
                </w:rPr>
                <w:t xml:space="preserve">кодами 2.7.1</w:t>
              </w:r>
            </w:hyperlink>
            <w:r>
              <w:rPr>
                <w:u w:val="single"/>
              </w:rPr>
              <w:t xml:space="preserve">, </w:t>
            </w:r>
            <w:hyperlink r:id="rId76" w:tooltip="../Правила/Кавказская%20зона%202020%20новое%20ИЗМЕНЕНИЯ.doc#sub_1049" w:anchor="sub_1049" w:history="1">
              <w:r>
                <w:rPr>
                  <w:rFonts w:eastAsia="SimSun"/>
                  <w:u w:val="single"/>
                </w:rPr>
                <w:t xml:space="preserve">4.9</w:t>
              </w:r>
            </w:hyperlink>
            <w:r>
              <w:rPr>
                <w:u w:val="single"/>
              </w:rPr>
              <w:t xml:space="preserve">, </w:t>
            </w:r>
            <w:hyperlink r:id="rId77" w:tooltip="../Правила/Кавказская%20зона%202020%20новое%20ИЗМЕНЕНИЯ.doc#sub_1723" w:anchor="sub_1723" w:history="1">
              <w:r>
                <w:rPr>
                  <w:rFonts w:eastAsia="SimSun"/>
                  <w:u w:val="single"/>
                </w:rPr>
                <w:t xml:space="preserve">7.2.3</w:t>
              </w:r>
            </w:hyperlink>
            <w:r>
              <w:t xml:space="preserve">, а также некапитальных сооружений, предназначенных для охраны транспортных средств</w:t>
            </w:r>
            <w:r/>
          </w:p>
        </w:tc>
        <w:tc>
          <w:tcPr>
            <w:tcW w:w="5528" w:type="dxa"/>
            <w:vMerge w:val="restart"/>
            <w:textDirection w:val="lrTb"/>
            <w:noWrap w:val="false"/>
          </w:tcPr>
          <w:p>
            <w:pPr>
              <w:ind w:left="142" w:right="207"/>
              <w:jc w:val="center"/>
              <w:tabs>
                <w:tab w:val="left" w:pos="1134" w:leader="none"/>
              </w:tabs>
            </w:pPr>
            <w:r>
              <w:t xml:space="preserve">Регламенты не распространяются</w:t>
            </w:r>
            <w:r/>
          </w:p>
          <w:p>
            <w:pPr>
              <w:ind w:left="142" w:right="207"/>
              <w:jc w:val="center"/>
              <w:tabs>
                <w:tab w:val="left" w:pos="1134" w:leader="none"/>
              </w:tabs>
            </w:pPr>
            <w:r>
              <w:t xml:space="preserve">(не подлежат установлению)</w:t>
            </w:r>
            <w:r/>
          </w:p>
          <w:p>
            <w:pPr>
              <w:ind w:left="118" w:right="142"/>
              <w:jc w:val="both"/>
              <w:tabs>
                <w:tab w:val="left" w:pos="2520" w:leader="none"/>
              </w:tabs>
            </w:pPr>
            <w:r/>
            <w:r/>
          </w:p>
        </w:tc>
        <w:tc>
          <w:tcPr>
            <w:tcW w:w="2410" w:type="dxa"/>
            <w:vMerge w:val="continue"/>
            <w:textDirection w:val="lrTb"/>
            <w:noWrap w:val="false"/>
          </w:tcPr>
          <w:p>
            <w:pPr>
              <w:ind w:firstLine="567"/>
              <w:tabs>
                <w:tab w:val="left" w:pos="2520" w:leader="none"/>
              </w:tabs>
            </w:pPr>
            <w:r/>
            <w:r/>
          </w:p>
        </w:tc>
      </w:tr>
    </w:tbl>
    <w:p>
      <w:pPr>
        <w:tabs>
          <w:tab w:val="left" w:pos="2520" w:leader="none"/>
        </w:tabs>
      </w:pPr>
      <w:r/>
      <w:r/>
    </w:p>
    <w:p>
      <w:pPr>
        <w:ind w:firstLine="567"/>
        <w:jc w:val="center"/>
        <w:tabs>
          <w:tab w:val="left" w:pos="2520" w:leader="none"/>
        </w:tabs>
      </w:pPr>
      <w:r>
        <w:rPr>
          <w:b/>
          <w:color w:val="000000"/>
        </w:rPr>
        <w:t xml:space="preserve">УСЛОВНО РАЗРЕШЕННЫЕ ВИДЫ И ПАРАМЕТРЫ ИСПОЛЬЗОВАНИЯ</w:t>
      </w:r>
      <w:r/>
    </w:p>
    <w:p>
      <w:pPr>
        <w:ind w:firstLine="567"/>
        <w:jc w:val="center"/>
        <w:tabs>
          <w:tab w:val="left" w:pos="2520" w:leader="none"/>
        </w:tabs>
      </w:pPr>
      <w:r>
        <w:rPr>
          <w:b/>
          <w:color w:val="000000"/>
        </w:rPr>
        <w:t xml:space="preserve">ЗЕМЕЛЬНЫХ УЧАСТКОВ И ОБЪЕКТОВ КАПИТАЛЬНОГО СТРОИТЕЛЬСТВА</w:t>
      </w:r>
      <w:r/>
    </w:p>
    <w:p>
      <w:pPr>
        <w:ind w:firstLine="567"/>
        <w:tabs>
          <w:tab w:val="left" w:pos="2520" w:leader="none"/>
        </w:tabs>
      </w:pPr>
      <w:r/>
      <w:r/>
    </w:p>
    <w:tbl>
      <w:tblPr>
        <w:tblW w:w="15178"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left w:w="10" w:type="dxa"/>
          <w:right w:w="10" w:type="dxa"/>
        </w:tblCellMar>
        <w:tblLook w:val="04A0" w:firstRow="1" w:lastRow="0" w:firstColumn="1" w:lastColumn="0" w:noHBand="0" w:noVBand="1"/>
      </w:tblPr>
      <w:tblGrid>
        <w:gridCol w:w="2009"/>
        <w:gridCol w:w="4238"/>
        <w:gridCol w:w="6521"/>
        <w:gridCol w:w="2410"/>
      </w:tblGrid>
      <w:tr>
        <w:trPr>
          <w:trHeight w:val="20"/>
        </w:trPr>
        <w:tc>
          <w:tcPr>
            <w:tcW w:w="2009" w:type="dxa"/>
            <w:vAlign w:val="center"/>
            <w:textDirection w:val="lrTb"/>
            <w:noWrap w:val="false"/>
          </w:tcPr>
          <w:p>
            <w:pPr>
              <w:jc w:val="center"/>
              <w:tabs>
                <w:tab w:val="left" w:pos="2520" w:leader="none"/>
              </w:tabs>
              <w:rPr>
                <w:b/>
              </w:rPr>
            </w:pPr>
            <w:r>
              <w:rPr>
                <w:rFonts w:eastAsia="SimSun"/>
                <w:lang w:eastAsia="zh-CN" w:bidi="ru-RU"/>
              </w:rPr>
              <w:t xml:space="preserve">[</w:t>
            </w:r>
            <w:r>
              <w:rPr>
                <w:b/>
              </w:rPr>
              <w:t xml:space="preserve">КОД (ЧИСЛОВОЕ ОБОЗНАЧЕНИЕ)</w:t>
            </w:r>
            <w:r>
              <w:rPr>
                <w:rFonts w:eastAsia="SimSun"/>
                <w:lang w:eastAsia="zh-CN" w:bidi="ru-RU"/>
              </w:rPr>
              <w:t xml:space="preserve">]-</w:t>
            </w:r>
            <w:r>
              <w:rPr>
                <w:b/>
              </w:rPr>
              <w:t xml:space="preserve"> НАИМЕНОВАНИЕ ВИДАРАЗРЕШЕННОГОИСПОЛЬЗОВАНИЯ ЗЕМЕЛЬНЫХ УЧАСТКОВ</w:t>
            </w:r>
            <w:r/>
          </w:p>
        </w:tc>
        <w:tc>
          <w:tcPr>
            <w:tcW w:w="4238" w:type="dxa"/>
            <w:vAlign w:val="center"/>
            <w:textDirection w:val="lrTb"/>
            <w:noWrap w:val="false"/>
          </w:tcPr>
          <w:p>
            <w:pPr>
              <w:ind w:firstLine="567"/>
              <w:jc w:val="center"/>
              <w:tabs>
                <w:tab w:val="left" w:pos="2520" w:leader="none"/>
              </w:tabs>
              <w:rPr>
                <w:b/>
              </w:rPr>
            </w:pPr>
            <w:r>
              <w:rPr>
                <w:b/>
              </w:rPr>
              <w:t xml:space="preserve">ВИДЫ ОБЪЕКТОВ КАПИТАЛЬНОГО СТРОИТЕЛЬСТВА</w:t>
            </w:r>
            <w:r/>
          </w:p>
        </w:tc>
        <w:tc>
          <w:tcPr>
            <w:tcW w:w="6521" w:type="dxa"/>
            <w:vAlign w:val="center"/>
            <w:textDirection w:val="lrTb"/>
            <w:noWrap w:val="false"/>
          </w:tcPr>
          <w:p>
            <w:pPr>
              <w:jc w:val="center"/>
              <w:tabs>
                <w:tab w:val="left" w:pos="2520" w:leader="none"/>
                <w:tab w:val="left" w:pos="4658" w:leader="none"/>
              </w:tabs>
              <w:rPr>
                <w:b/>
              </w:rPr>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W w:w="2410" w:type="dxa"/>
            <w:vAlign w:val="center"/>
            <w:textDirection w:val="lrTb"/>
            <w:noWrap w:val="false"/>
          </w:tcPr>
          <w:p>
            <w:pPr>
              <w:jc w:val="center"/>
              <w:tabs>
                <w:tab w:val="left" w:pos="3071" w:leader="none"/>
                <w:tab w:val="left" w:pos="3524" w:leader="none"/>
              </w:tabs>
              <w:rPr>
                <w:b/>
              </w:rPr>
            </w:pPr>
            <w:r>
              <w:rPr>
                <w:b/>
              </w:rPr>
              <w:t xml:space="preserve">ОСОБЫЕ УСЛОВИЯ РЕАЛИЗАЦИИ РЕГЛАМЕНТА </w:t>
            </w:r>
            <w:r/>
          </w:p>
        </w:tc>
      </w:tr>
      <w:tr>
        <w:trPr>
          <w:trHeight w:val="20"/>
        </w:trPr>
        <w:tc>
          <w:tcPr>
            <w:tcW w:w="2009" w:type="dxa"/>
            <w:textDirection w:val="lrTb"/>
            <w:noWrap w:val="false"/>
          </w:tcPr>
          <w:p>
            <w:pPr>
              <w:ind w:left="142" w:right="146"/>
            </w:pPr>
            <w:r>
              <w:t xml:space="preserve">[2.7.1]  </w:t>
            </w:r>
            <w:r/>
          </w:p>
          <w:p>
            <w:pPr>
              <w:ind w:left="142" w:right="146"/>
            </w:pPr>
            <w:r>
              <w:t xml:space="preserve">Хранение автотранспорта</w:t>
            </w:r>
            <w:r/>
          </w:p>
        </w:tc>
        <w:tc>
          <w:tcPr>
            <w:tcW w:w="4238" w:type="dxa"/>
            <w:textDirection w:val="lrTb"/>
            <w:noWrap w:val="false"/>
          </w:tcPr>
          <w:p>
            <w:pPr>
              <w:ind w:left="118" w:right="145"/>
              <w:jc w:val="both"/>
              <w:widowControl/>
            </w:pPr>
            <w:r>
              <w:t xml:space="preserve"> Размещение</w:t>
            </w:r>
            <w:r>
              <w:t xml:space="preserve">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r:id="rId78" w:tooltip="../Правила/Кавказская%20зона%202020%20новое%20ИЗМЕНЕНИЯ.doc#sub_1049" w:anchor="sub_1049" w:history="1">
              <w:r>
                <w:rPr>
                  <w:rFonts w:eastAsia="SimSun"/>
                </w:rPr>
                <w:t xml:space="preserve">кодом 4.9</w:t>
              </w:r>
            </w:hyperlink>
            <w:r/>
            <w:r/>
          </w:p>
        </w:tc>
        <w:tc>
          <w:tcPr>
            <w:tcW w:w="6521" w:type="dxa"/>
            <w:textDirection w:val="lrTb"/>
            <w:noWrap w:val="false"/>
          </w:tcPr>
          <w:p>
            <w:pPr>
              <w:ind w:left="118" w:right="145"/>
              <w:jc w:val="both"/>
              <w:tabs>
                <w:tab w:val="left" w:pos="1134" w:leader="none"/>
              </w:tabs>
            </w:pPr>
            <w:r>
              <w:t xml:space="preserve">Минимальная/максимальная площадь земельных участков –15/100 кв. м;</w:t>
            </w:r>
            <w:r/>
          </w:p>
          <w:p>
            <w:pPr>
              <w:ind w:left="118" w:right="131"/>
              <w:jc w:val="both"/>
            </w:pPr>
            <w:r>
              <w:t xml:space="preserve">максимальное количество надземных этажей зданий –  2;</w:t>
            </w:r>
            <w:r/>
          </w:p>
          <w:p>
            <w:pPr>
              <w:ind w:left="118" w:right="145"/>
              <w:jc w:val="both"/>
            </w:pPr>
            <w:r>
              <w:t xml:space="preserve">максимальная высота зданий, строений, сооружений от уровня земли - 12 м;</w:t>
            </w:r>
            <w:r/>
          </w:p>
          <w:p>
            <w:pPr>
              <w:ind w:left="118" w:right="145"/>
              <w:jc w:val="both"/>
            </w:pPr>
            <w:r/>
            <w:r/>
          </w:p>
        </w:tc>
        <w:tc>
          <w:tcPr>
            <w:tcW w:w="2410" w:type="dxa"/>
            <w:vMerge w:val="restart"/>
            <w:textDirection w:val="lrTb"/>
            <w:noWrap w:val="false"/>
          </w:tcPr>
          <w:p>
            <w:pPr>
              <w:ind w:left="118" w:right="145"/>
              <w:tabs>
                <w:tab w:val="left" w:pos="3071" w:leader="none"/>
              </w:tabs>
            </w:pPr>
            <w:r>
              <w:t xml:space="preserve">Особые условия реализации регламента зоны ОД-1, установленные для основных видов разрешенного использования, применяются в той же степени к условно разрешенным видам использования, установленным данным регламентом.</w:t>
            </w:r>
            <w:r/>
          </w:p>
          <w:p>
            <w:pPr>
              <w:ind w:left="142" w:right="145"/>
              <w:tabs>
                <w:tab w:val="left" w:pos="3071" w:leader="none"/>
              </w:tabs>
            </w:pPr>
            <w:r>
              <w:t xml:space="preserve">Размещение новых объектов жилого назначения в общественно-деловой зоне не допускается (за исключением реконструкции существующих жилых объектов без увеличения их существующей этажности)</w:t>
            </w:r>
            <w:r/>
          </w:p>
          <w:p>
            <w:pPr>
              <w:ind w:left="142" w:right="145"/>
              <w:tabs>
                <w:tab w:val="left" w:pos="3071" w:leader="none"/>
              </w:tabs>
              <w:rPr>
                <w:rFonts w:eastAsia="SimSun"/>
                <w:lang w:eastAsia="zh-CN" w:bidi="ru-RU"/>
              </w:rPr>
            </w:pPr>
            <w:r>
              <w:rPr>
                <w:rFonts w:eastAsia="SimSun"/>
                <w:lang w:eastAsia="zh-CN" w:bidi="ru-RU"/>
              </w:rPr>
            </w:r>
            <w:r/>
          </w:p>
          <w:p>
            <w:pPr>
              <w:ind w:left="142" w:right="145"/>
              <w:tabs>
                <w:tab w:val="left" w:pos="3071" w:leader="none"/>
              </w:tabs>
            </w:pPr>
            <w:r>
              <w:rPr>
                <w:rFonts w:eastAsia="SimSun"/>
                <w:lang w:eastAsia="zh-CN" w:bidi="ru-RU"/>
              </w:rPr>
              <w:t xml:space="preserve">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r/>
          </w:p>
          <w:p>
            <w:pPr>
              <w:ind w:left="142" w:right="145"/>
              <w:tabs>
                <w:tab w:val="left" w:pos="3071" w:leader="none"/>
              </w:tabs>
              <w:rPr>
                <w:lang w:eastAsia="ru-RU"/>
              </w:rPr>
            </w:pPr>
            <w:r>
              <w:rPr>
                <w:lang w:eastAsia="ru-RU"/>
              </w:rPr>
              <w:t xml:space="preserve">Перевод </w:t>
            </w:r>
            <w:r>
              <w:rPr>
                <w:lang w:eastAsia="ru-RU"/>
              </w:rPr>
              <w:t xml:space="preserve">индивидуального жилого дома в нежилое помещение,</w:t>
            </w:r>
            <w:r>
              <w:rPr>
                <w:lang w:eastAsia="ru-RU"/>
              </w:rPr>
              <w:t xml:space="preserve">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r/>
          </w:p>
          <w:p>
            <w:pPr>
              <w:ind w:left="142" w:right="145"/>
              <w:tabs>
                <w:tab w:val="left" w:pos="3071" w:leader="none"/>
              </w:tabs>
              <w:rPr>
                <w:lang w:eastAsia="ru-RU"/>
              </w:rPr>
            </w:pPr>
            <w:r>
              <w:rPr>
                <w:rFonts w:eastAsia="Calibri"/>
                <w:lang w:eastAsia="en-US"/>
              </w:rPr>
              <w:t xml:space="preserve">Устройство ограждений земельных участков многоквартирных домов не допускается.</w:t>
            </w:r>
            <w:r/>
          </w:p>
        </w:tc>
      </w:tr>
      <w:tr>
        <w:trPr>
          <w:trHeight w:val="20"/>
        </w:trPr>
        <w:tc>
          <w:tcPr>
            <w:tcW w:w="2009" w:type="dxa"/>
            <w:textDirection w:val="lrTb"/>
            <w:noWrap w:val="false"/>
          </w:tcPr>
          <w:p>
            <w:pPr>
              <w:ind w:left="142" w:right="117"/>
              <w:tabs>
                <w:tab w:val="left" w:pos="2520" w:leader="none"/>
              </w:tabs>
            </w:pPr>
            <w:r>
              <w:t xml:space="preserve">[3.4.1] </w:t>
            </w:r>
            <w:r/>
          </w:p>
          <w:p>
            <w:pPr>
              <w:ind w:left="142" w:right="117"/>
              <w:tabs>
                <w:tab w:val="left" w:pos="2520" w:leader="none"/>
              </w:tabs>
              <w:rPr>
                <w:rFonts w:eastAsia="SimSun"/>
                <w:lang w:val="en-US" w:eastAsia="zh-CN" w:bidi="ru-RU"/>
              </w:rPr>
            </w:pPr>
            <w:r>
              <w:t xml:space="preserve">Амбулаторно-поликлиническое обслуживание</w:t>
            </w:r>
            <w:r/>
          </w:p>
        </w:tc>
        <w:tc>
          <w:tcPr>
            <w:tcW w:w="4238" w:type="dxa"/>
            <w:textDirection w:val="lrTb"/>
            <w:noWrap w:val="false"/>
          </w:tcPr>
          <w:p>
            <w:pPr>
              <w:ind w:left="142" w:right="117"/>
              <w:jc w:val="both"/>
              <w:tabs>
                <w:tab w:val="left" w:pos="2520" w:leader="none"/>
              </w:tabs>
            </w:pPr>
            <w:r>
              <w:t xml:space="preserve">Размещение объектов капитального строительства, пре</w:t>
            </w:r>
            <w:r>
              <w:t xml:space="preserve">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r/>
          </w:p>
        </w:tc>
        <w:tc>
          <w:tcPr>
            <w:tcW w:w="6521" w:type="dxa"/>
            <w:textDirection w:val="lrTb"/>
            <w:noWrap w:val="false"/>
          </w:tcPr>
          <w:p>
            <w:pPr>
              <w:ind w:left="142" w:right="117"/>
              <w:jc w:val="both"/>
            </w:pPr>
            <w:r>
              <w:t xml:space="preserve">Минимальная/максимальная площадь земельных участков – 500/15000 кв. м;</w:t>
            </w:r>
            <w:r/>
          </w:p>
          <w:p>
            <w:pPr>
              <w:ind w:left="142" w:right="117"/>
              <w:jc w:val="both"/>
            </w:pPr>
            <w:r>
              <w:t xml:space="preserve">максимальный процент застройки в границах земельного участка – 60%;</w:t>
            </w:r>
            <w:r/>
          </w:p>
          <w:p>
            <w:pPr>
              <w:ind w:left="142" w:right="117"/>
              <w:jc w:val="both"/>
            </w:pPr>
            <w:r>
              <w:t xml:space="preserve">максимальное количество надземных этажей зданий – 3;</w:t>
            </w:r>
            <w:r/>
          </w:p>
          <w:p>
            <w:pPr>
              <w:ind w:left="142" w:right="117"/>
              <w:jc w:val="both"/>
            </w:pPr>
            <w:r>
              <w:t xml:space="preserve">максимальная высота зданий, строений, сооружений от уровня земли - 15 м;</w:t>
            </w:r>
            <w:r/>
          </w:p>
          <w:p>
            <w:pPr>
              <w:ind w:left="142" w:right="117"/>
              <w:jc w:val="both"/>
            </w:pPr>
            <w:r>
              <w:t xml:space="preserve">минимальные отступы от красной линии – 5 м; от иных границ – 3 м;  </w:t>
            </w:r>
            <w:r/>
          </w:p>
          <w:p>
            <w:pPr>
              <w:ind w:left="142" w:right="117"/>
              <w:jc w:val="both"/>
              <w:tabs>
                <w:tab w:val="left" w:pos="1134" w:leader="none"/>
              </w:tabs>
              <w:rPr>
                <w:rFonts w:eastAsia="Calibri"/>
              </w:rPr>
            </w:pPr>
            <w:r>
              <w:t xml:space="preserve">минимальный процент озеленения – 15%</w:t>
            </w:r>
            <w:r/>
          </w:p>
        </w:tc>
        <w:tc>
          <w:tcPr>
            <w:tcW w:w="2410" w:type="dxa"/>
            <w:vMerge w:val="continue"/>
            <w:textDirection w:val="lrTb"/>
            <w:noWrap w:val="false"/>
          </w:tcPr>
          <w:p>
            <w:pPr>
              <w:ind w:left="118" w:right="145"/>
              <w:tabs>
                <w:tab w:val="left" w:pos="3071" w:leader="none"/>
              </w:tabs>
            </w:pPr>
            <w:r/>
            <w:r/>
          </w:p>
        </w:tc>
      </w:tr>
      <w:tr>
        <w:trPr>
          <w:trHeight w:val="20"/>
        </w:trPr>
        <w:tc>
          <w:tcPr>
            <w:tcW w:w="2009" w:type="dxa"/>
            <w:textDirection w:val="lrTb"/>
            <w:noWrap w:val="false"/>
          </w:tcPr>
          <w:p>
            <w:pPr>
              <w:ind w:left="142" w:right="146"/>
            </w:pPr>
            <w:r>
              <w:t xml:space="preserve">[3.4.2] Стационарное медицинское обслуживание</w:t>
            </w:r>
            <w:r/>
          </w:p>
        </w:tc>
        <w:tc>
          <w:tcPr>
            <w:tcW w:w="4238" w:type="dxa"/>
            <w:textDirection w:val="lrTb"/>
            <w:noWrap w:val="false"/>
          </w:tcPr>
          <w:p>
            <w:pPr>
              <w:ind w:left="118" w:right="131"/>
              <w:jc w:val="both"/>
              <w:widowControl/>
            </w:pPr>
            <w:r>
              <w:t xml:space="preserve">Размеще</w:t>
            </w:r>
            <w:r>
              <w:t xml:space="preserve">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r/>
          </w:p>
          <w:p>
            <w:pPr>
              <w:ind w:left="118" w:right="131"/>
              <w:jc w:val="both"/>
              <w:widowControl/>
            </w:pPr>
            <w:r>
              <w:t xml:space="preserve">размещение станций скорой помощи;</w:t>
            </w:r>
            <w:r/>
          </w:p>
          <w:p>
            <w:pPr>
              <w:ind w:left="118" w:right="145"/>
              <w:jc w:val="both"/>
            </w:pPr>
            <w:r/>
            <w:bookmarkStart w:id="5" w:name="sub_103104"/>
            <w:r>
              <w:t xml:space="preserve">размещение площадок санитарной авиации</w:t>
            </w:r>
            <w:bookmarkEnd w:id="5"/>
            <w:r/>
            <w:r/>
          </w:p>
        </w:tc>
        <w:tc>
          <w:tcPr>
            <w:tcW w:w="6521" w:type="dxa"/>
            <w:textDirection w:val="lrTb"/>
            <w:noWrap w:val="false"/>
          </w:tcPr>
          <w:p>
            <w:pPr>
              <w:ind w:left="118" w:right="131"/>
              <w:jc w:val="both"/>
            </w:pPr>
            <w:r>
              <w:t xml:space="preserve">Минимальная/максимальная площадь земельных участков –5000/15000 кв. м;</w:t>
            </w:r>
            <w:r/>
          </w:p>
          <w:p>
            <w:pPr>
              <w:ind w:left="118" w:right="131"/>
              <w:jc w:val="both"/>
            </w:pPr>
            <w:r>
              <w:t xml:space="preserve">максимальный процент застройки в границах земельного участка –60%;</w:t>
            </w:r>
            <w:r/>
          </w:p>
          <w:p>
            <w:pPr>
              <w:ind w:left="118" w:right="131"/>
              <w:jc w:val="both"/>
            </w:pPr>
            <w:r>
              <w:t xml:space="preserve">максимальное количество надземных этажей зданий –  3;</w:t>
            </w:r>
            <w:r/>
          </w:p>
          <w:p>
            <w:pPr>
              <w:ind w:left="118" w:right="131"/>
              <w:jc w:val="both"/>
            </w:pPr>
            <w:r>
              <w:t xml:space="preserve">максимальная высота зданий, строений, сооружений от уровня земли - 15 м;</w:t>
            </w:r>
            <w:r/>
          </w:p>
          <w:p>
            <w:pPr>
              <w:ind w:left="118" w:right="131"/>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18" w:right="131"/>
              <w:jc w:val="both"/>
            </w:pPr>
            <w:r>
              <w:rPr>
                <w:rFonts w:eastAsia="SimSun"/>
                <w:lang w:eastAsia="zh-CN" w:bidi="ru-RU"/>
              </w:rPr>
              <w:t xml:space="preserve">минимальный процент озеленения земельного участка 15%.</w:t>
            </w:r>
            <w:r/>
          </w:p>
          <w:p>
            <w:pPr>
              <w:ind w:left="118" w:right="145"/>
              <w:jc w:val="both"/>
            </w:pPr>
            <w:r>
              <w:t xml:space="preserve">Не допускается строительство (реконструкция) в СЗЗ.</w:t>
            </w:r>
            <w:r/>
          </w:p>
        </w:tc>
        <w:tc>
          <w:tcPr>
            <w:tcW w:w="2410" w:type="dxa"/>
            <w:vMerge w:val="continue"/>
            <w:textDirection w:val="lrTb"/>
            <w:noWrap w:val="false"/>
          </w:tcPr>
          <w:p>
            <w:pPr>
              <w:ind w:left="118" w:right="145"/>
              <w:jc w:val="both"/>
              <w:tabs>
                <w:tab w:val="left" w:pos="3071" w:leader="none"/>
              </w:tabs>
            </w:pPr>
            <w:r/>
            <w:r/>
          </w:p>
        </w:tc>
      </w:tr>
      <w:tr>
        <w:trPr>
          <w:trHeight w:val="20"/>
        </w:trPr>
        <w:tc>
          <w:tcPr>
            <w:tcW w:w="2009" w:type="dxa"/>
            <w:textDirection w:val="lrTb"/>
            <w:noWrap w:val="false"/>
          </w:tcPr>
          <w:p>
            <w:pPr>
              <w:ind w:left="142" w:right="146"/>
            </w:pPr>
            <w:r>
              <w:t xml:space="preserve">[3.10.1]</w:t>
            </w:r>
            <w:r/>
          </w:p>
          <w:p>
            <w:pPr>
              <w:ind w:left="142" w:right="146"/>
            </w:pPr>
            <w:r>
              <w:t xml:space="preserve">Амбулаторное ветеринарное обслуживание</w:t>
            </w:r>
            <w:r/>
          </w:p>
        </w:tc>
        <w:tc>
          <w:tcPr>
            <w:tcW w:w="4238" w:type="dxa"/>
            <w:textDirection w:val="lrTb"/>
            <w:noWrap w:val="false"/>
          </w:tcPr>
          <w:p>
            <w:pPr>
              <w:ind w:left="118" w:right="131"/>
              <w:jc w:val="both"/>
            </w:pPr>
            <w:r>
              <w:t xml:space="preserve">Размещение объектов капитального строительства, предназначенных для оказания ветеринарных услуг без содержания животных</w:t>
            </w:r>
            <w:r/>
          </w:p>
        </w:tc>
        <w:tc>
          <w:tcPr>
            <w:tcW w:w="6521" w:type="dxa"/>
            <w:textDirection w:val="lrTb"/>
            <w:noWrap w:val="false"/>
          </w:tcPr>
          <w:p>
            <w:pPr>
              <w:ind w:left="142" w:right="146"/>
              <w:jc w:val="both"/>
            </w:pPr>
            <w:r>
              <w:t xml:space="preserve">Минимальная/максимальная площадь земельного участка – 400/15000 кв.м;</w:t>
            </w:r>
            <w:r/>
          </w:p>
          <w:p>
            <w:pPr>
              <w:ind w:left="142" w:right="146"/>
              <w:jc w:val="both"/>
            </w:pPr>
            <w:r>
              <w:t xml:space="preserve">максимальное количество надземных этажей – 2;  </w:t>
            </w:r>
            <w:r/>
          </w:p>
          <w:p>
            <w:pPr>
              <w:ind w:left="142" w:right="146"/>
              <w:jc w:val="both"/>
            </w:pPr>
            <w:r>
              <w:t xml:space="preserve">максимальный процент застройки в границах земельного участка – 60%; </w:t>
            </w:r>
            <w:r/>
          </w:p>
          <w:p>
            <w:pPr>
              <w:ind w:left="142" w:right="146"/>
              <w:jc w:val="both"/>
              <w:rPr>
                <w:rFonts w:eastAsia="Calibri"/>
              </w:rPr>
            </w:pPr>
            <w:r>
              <w:rPr>
                <w:rFonts w:eastAsia="Calibri"/>
              </w:rPr>
              <w:t xml:space="preserve">максимальная высота зданий, строений, сооружений от уровня земли - 15 м;</w:t>
            </w:r>
            <w:r/>
          </w:p>
          <w:p>
            <w:pPr>
              <w:ind w:left="142" w:right="146"/>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18" w:right="131"/>
              <w:jc w:val="both"/>
            </w:pPr>
            <w:r>
              <w:rPr>
                <w:rFonts w:eastAsia="SimSun"/>
                <w:lang w:eastAsia="zh-CN" w:bidi="ru-RU"/>
              </w:rPr>
              <w:t xml:space="preserve">минимальный процент озеленения земельного участка 15%.</w:t>
            </w:r>
            <w:r/>
          </w:p>
        </w:tc>
        <w:tc>
          <w:tcPr>
            <w:tcW w:w="2410" w:type="dxa"/>
            <w:vMerge w:val="continue"/>
            <w:textDirection w:val="lrTb"/>
            <w:noWrap w:val="false"/>
          </w:tcPr>
          <w:p>
            <w:pPr>
              <w:ind w:left="118" w:right="145"/>
              <w:jc w:val="both"/>
              <w:tabs>
                <w:tab w:val="left" w:pos="3071" w:leader="none"/>
              </w:tabs>
              <w:rPr>
                <w:shd w:val="clear" w:color="auto" w:fill="ffffff"/>
              </w:rPr>
            </w:pPr>
            <w:r>
              <w:rPr>
                <w:shd w:val="clear" w:color="auto" w:fill="ffffff"/>
              </w:rPr>
            </w:r>
            <w:r/>
          </w:p>
        </w:tc>
      </w:tr>
      <w:tr>
        <w:trPr>
          <w:trHeight w:val="20"/>
        </w:trPr>
        <w:tc>
          <w:tcPr>
            <w:tcW w:w="2009" w:type="dxa"/>
            <w:textDirection w:val="lrTb"/>
            <w:noWrap w:val="false"/>
          </w:tcPr>
          <w:p>
            <w:pPr>
              <w:ind w:left="142" w:right="146"/>
            </w:pPr>
            <w:r>
              <w:t xml:space="preserve">[3.10.2]</w:t>
            </w:r>
            <w:r/>
          </w:p>
          <w:p>
            <w:pPr>
              <w:ind w:left="142" w:right="146"/>
            </w:pPr>
            <w:r>
              <w:t xml:space="preserve">Приюты для животных</w:t>
            </w:r>
            <w:r/>
          </w:p>
        </w:tc>
        <w:tc>
          <w:tcPr>
            <w:tcW w:w="4238" w:type="dxa"/>
            <w:textDirection w:val="lrTb"/>
            <w:noWrap w:val="false"/>
          </w:tcPr>
          <w:p>
            <w:pPr>
              <w:ind w:left="118" w:right="131"/>
              <w:jc w:val="both"/>
            </w:pPr>
            <w:r>
              <w:t xml:space="preserve">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w:t>
            </w:r>
            <w:r>
              <w:t xml:space="preserve">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r/>
          </w:p>
        </w:tc>
        <w:tc>
          <w:tcPr>
            <w:tcW w:w="6521" w:type="dxa"/>
            <w:textDirection w:val="lrTb"/>
            <w:noWrap w:val="false"/>
          </w:tcPr>
          <w:p>
            <w:pPr>
              <w:ind w:left="142" w:right="146"/>
              <w:jc w:val="both"/>
            </w:pPr>
            <w:r>
              <w:t xml:space="preserve">Минимальная/максимальная площадь земельного участка – 1000/15000 кв.м;</w:t>
            </w:r>
            <w:r/>
          </w:p>
          <w:p>
            <w:pPr>
              <w:ind w:left="142" w:right="146"/>
              <w:jc w:val="both"/>
            </w:pPr>
            <w:r>
              <w:t xml:space="preserve">максимальное количество надземных этажей – 2;  </w:t>
            </w:r>
            <w:r/>
          </w:p>
          <w:p>
            <w:pPr>
              <w:ind w:left="142" w:right="146"/>
              <w:jc w:val="both"/>
            </w:pPr>
            <w:r>
              <w:t xml:space="preserve">максимальный процент застройки в границах земельного участка – 50%;  </w:t>
            </w:r>
            <w:r/>
          </w:p>
          <w:p>
            <w:pPr>
              <w:ind w:left="142" w:right="146"/>
              <w:jc w:val="both"/>
            </w:pPr>
            <w:r>
              <w:t xml:space="preserve">максимальная высота зданий, строений, сооружений от уровня земли - 15 м;</w:t>
            </w:r>
            <w:r/>
          </w:p>
          <w:p>
            <w:pPr>
              <w:ind w:left="142" w:right="146"/>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42" w:right="146"/>
              <w:jc w:val="both"/>
            </w:pPr>
            <w:r>
              <w:rPr>
                <w:rFonts w:eastAsia="SimSun"/>
                <w:lang w:eastAsia="zh-CN" w:bidi="ru-RU"/>
              </w:rPr>
              <w:t xml:space="preserve">минимальный процент озеленения земельного участка 15%.</w:t>
            </w:r>
            <w:r/>
          </w:p>
        </w:tc>
        <w:tc>
          <w:tcPr>
            <w:tcW w:w="2410" w:type="dxa"/>
            <w:vMerge w:val="continue"/>
            <w:textDirection w:val="lrTb"/>
            <w:noWrap w:val="false"/>
          </w:tcPr>
          <w:p>
            <w:pPr>
              <w:ind w:left="118" w:right="145"/>
              <w:jc w:val="both"/>
              <w:tabs>
                <w:tab w:val="left" w:pos="3071" w:leader="none"/>
              </w:tabs>
              <w:rPr>
                <w:shd w:val="clear" w:color="auto" w:fill="ffffff"/>
              </w:rPr>
            </w:pPr>
            <w:r>
              <w:rPr>
                <w:shd w:val="clear" w:color="auto" w:fill="ffffff"/>
              </w:rPr>
            </w:r>
            <w:r/>
          </w:p>
        </w:tc>
      </w:tr>
      <w:tr>
        <w:trPr>
          <w:trHeight w:val="20"/>
        </w:trPr>
        <w:tc>
          <w:tcPr>
            <w:tcW w:w="2009" w:type="dxa"/>
            <w:textDirection w:val="lrTb"/>
            <w:noWrap w:val="false"/>
          </w:tcPr>
          <w:p>
            <w:pPr>
              <w:ind w:left="142" w:right="207"/>
            </w:pPr>
            <w:r>
              <w:t xml:space="preserve">[2.1.1]  Малоэтажная многоквартирная жилая застройка</w:t>
            </w:r>
            <w:r/>
          </w:p>
        </w:tc>
        <w:tc>
          <w:tcPr>
            <w:tcW w:w="4238" w:type="dxa"/>
            <w:textDirection w:val="lrTb"/>
            <w:noWrap w:val="false"/>
          </w:tcPr>
          <w:p>
            <w:pPr>
              <w:ind w:left="142" w:right="207"/>
              <w:jc w:val="both"/>
            </w:pPr>
            <w:r>
              <w:t xml:space="preserve">Размещение малоэтажных многоквартирных домов (многоквартирные дома высотой до 4 этажей, включая мансардный);</w:t>
            </w:r>
            <w:r/>
          </w:p>
          <w:p>
            <w:pPr>
              <w:ind w:left="142" w:right="207"/>
              <w:jc w:val="both"/>
              <w:rPr>
                <w:lang w:eastAsia="ru-RU" w:bidi="ru-RU"/>
              </w:rPr>
            </w:pPr>
            <w:r>
              <w:rPr>
                <w:lang w:eastAsia="ru-RU" w:bidi="ru-RU"/>
              </w:rPr>
              <w:t xml:space="preserve">обустройство спортивных и детских площадок, площадок для отдыха;</w:t>
            </w:r>
            <w:r/>
          </w:p>
          <w:p>
            <w:pPr>
              <w:ind w:left="142" w:right="207"/>
              <w:jc w:val="both"/>
            </w:pPr>
            <w:r>
              <w:rPr>
                <w:lang w:eastAsia="ru-RU" w:bidi="ru-RU"/>
              </w:rPr>
              <w:t xml:space="preserve">размещение объе</w:t>
            </w:r>
            <w:r>
              <w:rPr>
                <w:lang w:eastAsia="ru-RU" w:bidi="ru-RU"/>
              </w:rPr>
              <w:t xml:space="preserve">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r/>
          </w:p>
        </w:tc>
        <w:tc>
          <w:tcPr>
            <w:tcW w:w="6521" w:type="dxa"/>
            <w:textDirection w:val="lrTb"/>
            <w:noWrap w:val="false"/>
          </w:tcPr>
          <w:p>
            <w:pPr>
              <w:ind w:left="142" w:right="207"/>
              <w:jc w:val="both"/>
              <w:tabs>
                <w:tab w:val="left" w:pos="3071" w:leader="none"/>
              </w:tabs>
            </w:pPr>
            <w:r>
              <w:t xml:space="preserve">Минимальная/максимальная площадь земельных участков   – 1000/10000 кв.м;</w:t>
            </w:r>
            <w:r/>
          </w:p>
          <w:p>
            <w:pPr>
              <w:ind w:left="142" w:right="207"/>
              <w:jc w:val="both"/>
              <w:tabs>
                <w:tab w:val="left" w:pos="3071" w:leader="none"/>
              </w:tabs>
            </w:pPr>
            <w:r>
              <w:t xml:space="preserve">минимальная ширина земельных участков вдоль фронта улицы (проезда) – не регламентируется;</w:t>
            </w:r>
            <w:r/>
          </w:p>
          <w:p>
            <w:pPr>
              <w:ind w:left="142" w:right="207"/>
              <w:jc w:val="both"/>
              <w:tabs>
                <w:tab w:val="left" w:pos="3071" w:leader="none"/>
              </w:tabs>
            </w:pPr>
            <w:r>
              <w:t xml:space="preserve">максимальное количество надземных этажей зданий – 4 (включая мансардный этаж); </w:t>
            </w:r>
            <w:r/>
          </w:p>
          <w:p>
            <w:pPr>
              <w:ind w:left="142" w:right="207"/>
              <w:jc w:val="both"/>
              <w:tabs>
                <w:tab w:val="left" w:pos="3071" w:leader="none"/>
              </w:tabs>
            </w:pPr>
            <w:r>
              <w:t xml:space="preserve">максимальная высота зданий от уровня земли до верха перекрытия последнего этажа (или конька кровли) -25 м;</w:t>
            </w:r>
            <w:r/>
          </w:p>
          <w:p>
            <w:pPr>
              <w:ind w:left="142" w:right="207"/>
              <w:jc w:val="both"/>
              <w:tabs>
                <w:tab w:val="left" w:pos="3071" w:leader="none"/>
              </w:tabs>
            </w:pPr>
            <w:r>
              <w:t xml:space="preserve">максимальный процент застройки в границах земельного участка – 40%; при реконструкции – 60%;</w:t>
            </w:r>
            <w:r/>
          </w:p>
          <w:p>
            <w:pPr>
              <w:ind w:left="142" w:right="207"/>
              <w:jc w:val="both"/>
              <w:tabs>
                <w:tab w:val="left" w:pos="3071" w:leader="none"/>
              </w:tabs>
            </w:pPr>
            <w:r>
              <w:t xml:space="preserve">минимальный/максимальный коэффициент использования территории – 0,4/ 0,8;</w:t>
            </w:r>
            <w:r/>
          </w:p>
          <w:p>
            <w:pPr>
              <w:ind w:left="142" w:right="207"/>
              <w:jc w:val="both"/>
              <w:tabs>
                <w:tab w:val="left" w:pos="3071" w:leader="none"/>
              </w:tabs>
            </w:pPr>
            <w:r>
              <w:t xml:space="preserve">Процент застройки подземной части не регламентируется.</w:t>
            </w:r>
            <w:r/>
          </w:p>
          <w:p>
            <w:pPr>
              <w:ind w:left="142" w:right="207"/>
              <w:jc w:val="both"/>
              <w:tabs>
                <w:tab w:val="left" w:pos="3071" w:leader="none"/>
              </w:tabs>
            </w:pPr>
            <w:r>
              <w:t xml:space="preserve">Минимальный процент озеленения земельного участка для всех типов многоквартирной жилой застройки – 15%.</w:t>
            </w:r>
            <w:r/>
          </w:p>
          <w:p>
            <w:pPr>
              <w:ind w:left="142" w:right="207"/>
              <w:jc w:val="both"/>
              <w:tabs>
                <w:tab w:val="left" w:pos="3071" w:leader="none"/>
              </w:tabs>
            </w:pPr>
            <w:r>
              <w:t xml:space="preserve">Минимальные отступы до  красной линии – 5 м или по линии застройки  в сложившейся застройке при реконструкции; до иных границ – 3 м. </w:t>
            </w:r>
            <w:r/>
          </w:p>
        </w:tc>
        <w:tc>
          <w:tcPr>
            <w:tcW w:w="2410" w:type="dxa"/>
            <w:vMerge w:val="continue"/>
            <w:textDirection w:val="lrTb"/>
            <w:noWrap w:val="false"/>
          </w:tcPr>
          <w:p>
            <w:pPr>
              <w:ind w:left="118" w:right="145"/>
              <w:jc w:val="both"/>
              <w:tabs>
                <w:tab w:val="left" w:pos="3071" w:leader="none"/>
              </w:tabs>
              <w:rPr>
                <w:shd w:val="clear" w:color="auto" w:fill="ffffff"/>
              </w:rPr>
            </w:pPr>
            <w:r>
              <w:rPr>
                <w:shd w:val="clear" w:color="auto" w:fill="ffffff"/>
              </w:rPr>
            </w:r>
            <w:r/>
          </w:p>
        </w:tc>
      </w:tr>
      <w:tr>
        <w:trPr>
          <w:trHeight w:val="20"/>
        </w:trPr>
        <w:tc>
          <w:tcPr>
            <w:tcW w:w="2009" w:type="dxa"/>
            <w:textDirection w:val="lrTb"/>
            <w:noWrap w:val="false"/>
          </w:tcPr>
          <w:p>
            <w:pPr>
              <w:ind w:left="142" w:right="65"/>
              <w:jc w:val="both"/>
              <w:tabs>
                <w:tab w:val="left" w:pos="303" w:leader="none"/>
                <w:tab w:val="left" w:pos="586" w:leader="none"/>
              </w:tabs>
            </w:pPr>
            <w:r>
              <w:t xml:space="preserve">[2.1] </w:t>
            </w:r>
            <w:r/>
          </w:p>
          <w:p>
            <w:pPr>
              <w:ind w:left="142" w:right="65"/>
              <w:jc w:val="both"/>
              <w:tabs>
                <w:tab w:val="left" w:pos="303" w:leader="none"/>
                <w:tab w:val="left" w:pos="586" w:leader="none"/>
              </w:tabs>
            </w:pPr>
            <w:r>
              <w:t xml:space="preserve">Для индивидуального жилищного строительства </w:t>
            </w:r>
            <w:r/>
          </w:p>
          <w:p>
            <w:pPr>
              <w:ind w:left="142" w:right="65"/>
              <w:jc w:val="both"/>
              <w:tabs>
                <w:tab w:val="left" w:pos="303" w:leader="none"/>
                <w:tab w:val="left" w:pos="586" w:leader="none"/>
              </w:tabs>
            </w:pPr>
            <w:r/>
            <w:r/>
          </w:p>
          <w:p>
            <w:pPr>
              <w:ind w:right="146"/>
            </w:pPr>
            <w:r/>
            <w:r/>
          </w:p>
        </w:tc>
        <w:tc>
          <w:tcPr>
            <w:tcW w:w="4238" w:type="dxa"/>
            <w:textDirection w:val="lrTb"/>
            <w:noWrap w:val="false"/>
          </w:tcPr>
          <w:p>
            <w:pPr>
              <w:ind w:left="142" w:right="65"/>
              <w:jc w:val="both"/>
              <w:widowControl/>
            </w:pPr>
            <w:r>
              <w:t xml:space="preserve">Размещение жилого дома (отдельно стоящего здания количеством надземных этажей не более чем три, высотой не более двадцати метро</w:t>
            </w:r>
            <w:r>
              <w:t xml:space="preserve">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r/>
          </w:p>
          <w:p>
            <w:pPr>
              <w:ind w:left="142" w:right="65"/>
              <w:jc w:val="both"/>
              <w:widowControl/>
            </w:pPr>
            <w:r>
              <w:t xml:space="preserve">выращивание сельскохозяйственных культур;</w:t>
            </w:r>
            <w:r/>
          </w:p>
          <w:p>
            <w:pPr>
              <w:ind w:left="142" w:right="65"/>
              <w:jc w:val="both"/>
              <w:rPr>
                <w:strike/>
              </w:rPr>
            </w:pPr>
            <w:r>
              <w:t xml:space="preserve">размещение индивидуальных гаражей и хозяйственных построек</w:t>
            </w:r>
            <w:r/>
          </w:p>
          <w:p>
            <w:pPr>
              <w:ind w:left="142" w:right="65"/>
              <w:jc w:val="both"/>
            </w:pPr>
            <w:r/>
            <w:r/>
          </w:p>
          <w:p>
            <w:pPr>
              <w:ind w:left="118" w:right="131"/>
              <w:jc w:val="both"/>
            </w:pPr>
            <w:r/>
            <w:r/>
          </w:p>
        </w:tc>
        <w:tc>
          <w:tcPr>
            <w:tcW w:w="6521" w:type="dxa"/>
            <w:textDirection w:val="lrTb"/>
            <w:noWrap w:val="false"/>
          </w:tcPr>
          <w:p>
            <w:pPr>
              <w:ind w:left="142" w:right="65"/>
              <w:jc w:val="both"/>
            </w:pPr>
            <w:r>
              <w:t xml:space="preserve">минимальная/максимальная площадь земельных участков   – 400/1500 кв. м;</w:t>
            </w:r>
            <w:r/>
          </w:p>
          <w:p>
            <w:pPr>
              <w:ind w:left="142" w:right="65"/>
              <w:jc w:val="both"/>
            </w:pPr>
            <w:r>
              <w:t xml:space="preserve">минимальная ширина земельных участков вдоль фронта улицы (проезда) – 12 м; при образовании нового участка – 15 м.;</w:t>
            </w:r>
            <w:r/>
          </w:p>
          <w:p>
            <w:pPr>
              <w:ind w:left="142" w:right="65"/>
              <w:jc w:val="both"/>
            </w:pPr>
            <w:r>
              <w:t xml:space="preserve">максимальное количество надземных этажей зданий – 3 этажа (включая мансардный этаж); </w:t>
            </w:r>
            <w:r/>
          </w:p>
          <w:p>
            <w:pPr>
              <w:ind w:left="142" w:right="65"/>
              <w:jc w:val="both"/>
            </w:pPr>
            <w:r>
              <w:t xml:space="preserve">максимальная общая площадь объекта ИЖС – 300 кв.м.;</w:t>
            </w:r>
            <w:r/>
          </w:p>
          <w:p>
            <w:pPr>
              <w:ind w:left="142" w:right="65"/>
              <w:jc w:val="both"/>
            </w:pPr>
            <w:r>
              <w:t xml:space="preserve">максимальное количество объектов ИЖС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w:t>
            </w:r>
            <w:r/>
          </w:p>
          <w:p>
            <w:pPr>
              <w:ind w:left="142" w:right="65"/>
              <w:jc w:val="both"/>
            </w:pPr>
            <w:r>
              <w:t xml:space="preserve">максимальная высота объекта ИЖС для объектов с углом наклона кровли до 15° - 10 м, с углом наклона кровли более 15° - 13 м;</w:t>
            </w:r>
            <w:r/>
          </w:p>
          <w:p>
            <w:pPr>
              <w:ind w:left="142" w:right="65"/>
              <w:jc w:val="both"/>
            </w:pPr>
            <w:r>
              <w:t xml:space="preserve">максимальный процент застройки в границах земельного участка – 60 % (процент застройки подземной части не регламентируется).</w:t>
            </w:r>
            <w:r/>
          </w:p>
          <w:p>
            <w:pPr>
              <w:ind w:left="142" w:right="65"/>
              <w:jc w:val="both"/>
            </w:pPr>
            <w:r>
              <w:t xml:space="preserve">Минимальные отступы от красной линии– 5 м или по сложившейся линии застройки; </w:t>
            </w:r>
            <w:r/>
          </w:p>
          <w:p>
            <w:pPr>
              <w:ind w:left="142" w:right="65"/>
              <w:jc w:val="both"/>
            </w:pPr>
            <w:r>
              <w:t xml:space="preserve">от иных границ – 3 м, при блокировке зданий м от границы блокирования – 0.</w:t>
            </w:r>
            <w:r/>
          </w:p>
          <w:p>
            <w:pPr>
              <w:ind w:left="142" w:right="65"/>
              <w:jc w:val="both"/>
            </w:pPr>
            <w:r>
              <w:t xml:space="preserve">В сложившейся застройке, при ширине земельного участка 12 метров и </w:t>
            </w:r>
            <w:r>
              <w:t xml:space="preserve">менее, для строительства жилого дома минимальный отступ от границы соседнего участка составляет не менее:</w:t>
            </w:r>
            <w:r/>
          </w:p>
          <w:p>
            <w:pPr>
              <w:ind w:left="142" w:right="65"/>
              <w:jc w:val="both"/>
            </w:pPr>
            <w:r>
              <w:t xml:space="preserve">1,0 м - для одноэтажного жилого дома;</w:t>
            </w:r>
            <w:r/>
          </w:p>
          <w:p>
            <w:pPr>
              <w:ind w:left="142" w:right="65"/>
              <w:jc w:val="both"/>
            </w:pPr>
            <w:r>
              <w:t xml:space="preserve">1,5 м - для двухэтажного жилого дома;</w:t>
            </w:r>
            <w:r/>
          </w:p>
          <w:p>
            <w:pPr>
              <w:ind w:left="142" w:right="65"/>
              <w:jc w:val="both"/>
            </w:pPr>
            <w:r>
              <w:t xml:space="preserve">2,0 м - для трехэтажного жилого дома.</w:t>
            </w:r>
            <w:r/>
          </w:p>
          <w:p>
            <w:pPr>
              <w:ind w:left="142" w:right="65"/>
              <w:jc w:val="both"/>
            </w:pPr>
            <w:r>
              <w:t xml:space="preserve">Коэффициент использования территории не более 0,4.</w:t>
            </w:r>
            <w:r/>
          </w:p>
          <w:p>
            <w:pPr>
              <w:ind w:left="142" w:right="146"/>
              <w:jc w:val="both"/>
            </w:pPr>
            <w:r>
              <w:t xml:space="preserve">Раздел земельных участков площадью 1,5 га и более выполнять исключительно в соответствии с утвержденной документацией по планировке территории.</w:t>
            </w:r>
            <w:r/>
          </w:p>
        </w:tc>
        <w:tc>
          <w:tcPr>
            <w:tcW w:w="2410" w:type="dxa"/>
            <w:vMerge w:val="continue"/>
            <w:textDirection w:val="lrTb"/>
            <w:noWrap w:val="false"/>
          </w:tcPr>
          <w:p>
            <w:pPr>
              <w:ind w:left="118" w:right="145"/>
              <w:jc w:val="both"/>
              <w:tabs>
                <w:tab w:val="left" w:pos="3071" w:leader="none"/>
              </w:tabs>
              <w:rPr>
                <w:shd w:val="clear" w:color="auto" w:fill="ffffff"/>
              </w:rPr>
            </w:pPr>
            <w:r>
              <w:rPr>
                <w:shd w:val="clear" w:color="auto" w:fill="ffffff"/>
              </w:rPr>
            </w:r>
            <w:r/>
          </w:p>
        </w:tc>
      </w:tr>
    </w:tbl>
    <w:p>
      <w:pPr>
        <w:ind w:firstLine="567"/>
        <w:jc w:val="center"/>
        <w:tabs>
          <w:tab w:val="left" w:pos="2520" w:leader="none"/>
        </w:tabs>
      </w:pPr>
      <w:r/>
      <w:r/>
    </w:p>
    <w:p>
      <w:pPr>
        <w:ind w:firstLine="567"/>
        <w:jc w:val="center"/>
        <w:tabs>
          <w:tab w:val="left" w:pos="2520" w:leader="none"/>
        </w:tabs>
      </w:pPr>
      <w:r>
        <w:rPr>
          <w:b/>
          <w:color w:val="000000"/>
        </w:rPr>
        <w:t xml:space="preserve">ВСПОМОГАТЕЛЬНЫЕ ВИДЫ И ПАРАМЕТРЫ РАЗРЕШЕННОГО ИСПОЛЬЗОВАНИЯ ЗЕМЕЛЬНЫХ УЧАСТКОВ И ОБЪЕКТОВ КАПИТАЛЬНОГО СТРОИТЕЛЬСТВА</w:t>
      </w:r>
      <w:r/>
    </w:p>
    <w:p>
      <w:pPr>
        <w:ind w:firstLine="567"/>
        <w:jc w:val="both"/>
        <w:rPr>
          <w:rFonts w:eastAsia="SimSun"/>
          <w:color w:val="000000"/>
          <w:sz w:val="24"/>
          <w:szCs w:val="24"/>
          <w:lang w:eastAsia="zh-CN" w:bidi="ru-RU"/>
        </w:rPr>
      </w:pPr>
      <w:r>
        <w:rPr>
          <w:color w:val="000000"/>
          <w:sz w:val="24"/>
          <w:szCs w:val="24"/>
          <w:lang w:eastAsia="ru-RU" w:bidi="ru-RU"/>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Pr>
          <w:rFonts w:eastAsia="SimSun"/>
          <w:color w:val="000000"/>
          <w:sz w:val="24"/>
          <w:szCs w:val="24"/>
          <w:lang w:eastAsia="zh-CN" w:bidi="ru-RU"/>
        </w:rPr>
        <w:t xml:space="preserve"> Предельные (мин</w:t>
      </w:r>
      <w:r>
        <w:rPr>
          <w:rFonts w:eastAsia="SimSun"/>
          <w:color w:val="000000"/>
          <w:sz w:val="24"/>
          <w:szCs w:val="24"/>
          <w:lang w:eastAsia="zh-CN" w:bidi="ru-RU"/>
        </w:rPr>
        <w:t xml:space="preserve">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r/>
    </w:p>
    <w:p>
      <w:pPr>
        <w:ind w:firstLine="567"/>
        <w:jc w:val="both"/>
      </w:pPr>
      <w: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 w:type="dxa"/>
          <w:right w:w="10" w:type="dxa"/>
        </w:tblCellMar>
        <w:tblLook w:val="04A0" w:firstRow="1" w:lastRow="0" w:firstColumn="1" w:lastColumn="0" w:noHBand="0" w:noVBand="1"/>
      </w:tblPr>
      <w:tblGrid>
        <w:gridCol w:w="3129"/>
        <w:gridCol w:w="6379"/>
        <w:gridCol w:w="5670"/>
      </w:tblGrid>
      <w:tr>
        <w:trPr>
          <w:trHeight w:val="131"/>
        </w:trPr>
        <w:tc>
          <w:tcPr>
            <w:tcW w:w="3129" w:type="dxa"/>
            <w:vAlign w:val="center"/>
            <w:textDirection w:val="lrTb"/>
            <w:noWrap w:val="false"/>
          </w:tcPr>
          <w:p>
            <w:pPr>
              <w:jc w:val="center"/>
              <w:tabs>
                <w:tab w:val="left" w:pos="2520" w:leader="none"/>
              </w:tabs>
              <w:rPr>
                <w:b/>
              </w:rPr>
            </w:pPr>
            <w:r>
              <w:rPr>
                <w:b/>
              </w:rPr>
              <w:t xml:space="preserve">ВИДЫ ВСПОМОГАТЕЛЬНЫХ ОБЪЕКТОВ КАПИТАЛЬНОГО СТРОИТЕЛЬСТВА</w:t>
            </w:r>
            <w:r/>
          </w:p>
        </w:tc>
        <w:tc>
          <w:tcPr>
            <w:tcW w:w="6379" w:type="dxa"/>
            <w:vAlign w:val="center"/>
            <w:textDirection w:val="lrTb"/>
            <w:noWrap w:val="false"/>
          </w:tcPr>
          <w:p>
            <w:pPr>
              <w:ind w:firstLine="567"/>
              <w:jc w:val="center"/>
              <w:tabs>
                <w:tab w:val="left" w:pos="2520" w:leader="none"/>
              </w:tabs>
              <w:rPr>
                <w:b/>
              </w:rPr>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W w:w="5670" w:type="dxa"/>
            <w:vAlign w:val="center"/>
            <w:textDirection w:val="lrTb"/>
            <w:noWrap w:val="false"/>
          </w:tcPr>
          <w:p>
            <w:pPr>
              <w:ind w:right="557" w:firstLine="567"/>
              <w:jc w:val="center"/>
              <w:tabs>
                <w:tab w:val="left" w:pos="3071" w:leader="none"/>
              </w:tabs>
              <w:rPr>
                <w:b/>
              </w:rPr>
            </w:pPr>
            <w:r>
              <w:rPr>
                <w:b/>
              </w:rPr>
              <w:t xml:space="preserve">ОСОБЫЕ УСЛОВИЯ РЕАЛИЗАЦИИ РЕГЛАМЕНТА</w:t>
            </w:r>
            <w:r/>
          </w:p>
          <w:p>
            <w:pPr>
              <w:ind w:right="557" w:firstLine="567"/>
              <w:jc w:val="center"/>
              <w:tabs>
                <w:tab w:val="left" w:pos="3071" w:leader="none"/>
              </w:tabs>
              <w:rPr>
                <w:b/>
              </w:rPr>
            </w:pPr>
            <w:r>
              <w:rPr>
                <w:b/>
              </w:rPr>
            </w:r>
            <w:r/>
          </w:p>
        </w:tc>
      </w:tr>
      <w:tr>
        <w:trPr>
          <w:trHeight w:val="984"/>
        </w:trPr>
        <w:tc>
          <w:tcPr>
            <w:tcW w:w="3129" w:type="dxa"/>
            <w:textDirection w:val="lrTb"/>
            <w:noWrap w:val="false"/>
          </w:tcPr>
          <w:p>
            <w:pPr>
              <w:ind w:left="142" w:right="131"/>
              <w:tabs>
                <w:tab w:val="left" w:pos="4812" w:leader="none"/>
              </w:tabs>
              <w:rPr>
                <w:rFonts w:eastAsia="SimSun"/>
                <w:lang w:eastAsia="zh-CN" w:bidi="ru-RU"/>
              </w:rPr>
            </w:pPr>
            <w:r>
              <w:rPr>
                <w:rFonts w:eastAsia="SimSun"/>
                <w:lang w:eastAsia="zh-CN" w:bidi="ru-RU"/>
              </w:rPr>
              <w:t xml:space="preserve">Площадки для сбора твердых бытовых отходов.</w:t>
            </w:r>
            <w:r/>
          </w:p>
          <w:p>
            <w:pPr>
              <w:ind w:left="142" w:right="131"/>
              <w:tabs>
                <w:tab w:val="left" w:pos="4812" w:leader="none"/>
              </w:tabs>
              <w:rPr>
                <w:rFonts w:eastAsia="SimSun"/>
                <w:lang w:eastAsia="zh-CN" w:bidi="ru-RU"/>
              </w:rPr>
            </w:pPr>
            <w:r>
              <w:rPr>
                <w:rFonts w:eastAsia="SimSun"/>
                <w:lang w:eastAsia="zh-CN" w:bidi="ru-RU"/>
              </w:rPr>
            </w:r>
            <w:r/>
          </w:p>
          <w:p>
            <w:pPr>
              <w:ind w:left="142" w:right="131"/>
              <w:rPr>
                <w:rFonts w:eastAsia="SimSun"/>
                <w:lang w:eastAsia="zh-CN" w:bidi="ru-RU"/>
              </w:rPr>
            </w:pPr>
            <w:r>
              <w:rPr>
                <w:rFonts w:eastAsia="SimSun"/>
                <w:lang w:eastAsia="zh-CN" w:bidi="ru-RU"/>
              </w:rPr>
            </w:r>
            <w:r/>
          </w:p>
        </w:tc>
        <w:tc>
          <w:tcPr>
            <w:tcW w:w="6379" w:type="dxa"/>
            <w:textDirection w:val="lrTb"/>
            <w:noWrap w:val="false"/>
          </w:tcPr>
          <w:p>
            <w:pPr>
              <w:ind w:left="142" w:right="224"/>
              <w:jc w:val="both"/>
              <w:tabs>
                <w:tab w:val="left" w:pos="4812" w:leader="none"/>
              </w:tabs>
              <w:rPr>
                <w:rFonts w:eastAsia="SimSun"/>
                <w:lang w:eastAsia="zh-CN" w:bidi="ru-RU"/>
              </w:rPr>
            </w:pPr>
            <w:r>
              <w:rPr>
                <w:rFonts w:eastAsia="SimSun"/>
                <w:lang w:eastAsia="zh-CN" w:bidi="ru-RU"/>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r/>
          </w:p>
          <w:p>
            <w:pPr>
              <w:ind w:left="142" w:right="131"/>
              <w:jc w:val="both"/>
              <w:rPr>
                <w:rFonts w:eastAsia="SimSun"/>
                <w:lang w:eastAsia="zh-CN" w:bidi="ru-RU"/>
              </w:rPr>
            </w:pPr>
            <w:r>
              <w:rPr>
                <w:rFonts w:eastAsia="SimSun"/>
                <w:lang w:eastAsia="zh-CN" w:bidi="ru-RU"/>
              </w:rPr>
              <w:t xml:space="preserve">Общее количество контейнеров не более 5 шт.</w:t>
            </w:r>
            <w:r/>
          </w:p>
        </w:tc>
        <w:tc>
          <w:tcPr>
            <w:tcW w:w="5670" w:type="dxa"/>
            <w:vMerge w:val="restart"/>
            <w:textDirection w:val="lrTb"/>
            <w:noWrap w:val="false"/>
          </w:tcPr>
          <w:p>
            <w:pPr>
              <w:ind w:left="142" w:right="131"/>
              <w:jc w:val="both"/>
              <w:rPr>
                <w:rFonts w:eastAsia="SimSun"/>
                <w:lang w:eastAsia="zh-CN" w:bidi="ru-RU"/>
              </w:rPr>
            </w:pPr>
            <w:r>
              <w:rPr>
                <w:rFonts w:eastAsia="SimSun"/>
                <w:lang w:eastAsia="zh-CN" w:bidi="ru-RU"/>
              </w:rPr>
              <w:t xml:space="preserve">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r/>
          </w:p>
          <w:p>
            <w:pPr>
              <w:ind w:left="142" w:right="131"/>
              <w:jc w:val="both"/>
              <w:rPr>
                <w:rFonts w:eastAsia="SimSun"/>
                <w:lang w:eastAsia="zh-CN" w:bidi="ru-RU"/>
              </w:rPr>
            </w:pPr>
            <w:r>
              <w:rPr>
                <w:rFonts w:eastAsia="SimSun"/>
                <w:lang w:eastAsia="zh-CN" w:bidi="ru-RU"/>
              </w:rPr>
            </w:r>
            <w:r/>
          </w:p>
          <w:p>
            <w:pPr>
              <w:ind w:left="142" w:right="131"/>
              <w:jc w:val="both"/>
              <w:tabs>
                <w:tab w:val="left" w:pos="1134" w:leader="none"/>
              </w:tabs>
              <w:rPr>
                <w:rFonts w:eastAsia="SimSun"/>
                <w:lang w:eastAsia="zh-CN" w:bidi="ru-RU"/>
              </w:rPr>
            </w:pPr>
            <w:r>
              <w:rPr>
                <w:rFonts w:eastAsia="SimSun"/>
                <w:lang w:eastAsia="zh-CN" w:bidi="ru-RU"/>
              </w:rPr>
              <w:t xml:space="preserve">Размещение вспомогательных объектов, в том числе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r/>
          </w:p>
          <w:p>
            <w:pPr>
              <w:ind w:left="142" w:right="131"/>
              <w:jc w:val="both"/>
              <w:tabs>
                <w:tab w:val="left" w:pos="1134" w:leader="none"/>
              </w:tabs>
              <w:rPr>
                <w:rFonts w:eastAsia="SimSun"/>
                <w:lang w:eastAsia="zh-CN" w:bidi="ru-RU"/>
              </w:rPr>
            </w:pPr>
            <w:r>
              <w:rPr>
                <w:rFonts w:eastAsia="SimSun"/>
                <w:lang w:eastAsia="zh-CN" w:bidi="ru-RU"/>
              </w:rPr>
            </w:r>
            <w:r/>
          </w:p>
          <w:p>
            <w:pPr>
              <w:ind w:left="142" w:right="131"/>
              <w:jc w:val="both"/>
            </w:pPr>
            <w:r>
              <w:t xml:space="preserve">Хозяйственные постройки должны быть обеспечены системами водоотведения с кровли, с целью предотвращения подтопления соседни</w:t>
            </w:r>
            <w:r>
              <w:t xml:space="preserve">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 </w:t>
            </w:r>
            <w:r/>
          </w:p>
          <w:p>
            <w:pPr>
              <w:ind w:left="142" w:right="131"/>
              <w:jc w:val="both"/>
            </w:pPr>
            <w:r/>
            <w:r/>
          </w:p>
          <w:p>
            <w:pPr>
              <w:ind w:left="142" w:right="131"/>
              <w:jc w:val="both"/>
              <w:rPr>
                <w:rFonts w:eastAsia="SimSun"/>
                <w:lang w:eastAsia="zh-CN" w:bidi="ru-RU"/>
              </w:rPr>
            </w:pPr>
            <w:r>
              <w:rPr>
                <w:rFonts w:eastAsia="SimSun"/>
                <w:lang w:eastAsia="zh-CN" w:bidi="ru-RU"/>
              </w:rPr>
              <w:t xml:space="preserve">Отмостка должна располагаться в пределах отведенного </w:t>
            </w:r>
            <w:r>
              <w:rPr>
                <w:rFonts w:eastAsia="SimSun"/>
                <w:lang w:eastAsia="zh-CN" w:bidi="ru-RU"/>
              </w:rPr>
              <w:t xml:space="preserve">(предоставленного) земельного участка. Отмостка зданий должна быть не менее 0,8 м. Уклон отмостки рекомендуется принимать не менее 10% в сторону от здания.</w:t>
            </w:r>
            <w:r/>
          </w:p>
          <w:p>
            <w:pPr>
              <w:ind w:left="142" w:right="131"/>
              <w:jc w:val="both"/>
              <w:rPr>
                <w:rFonts w:eastAsia="SimSun"/>
                <w:lang w:eastAsia="zh-CN" w:bidi="ru-RU"/>
              </w:rPr>
            </w:pPr>
            <w:r>
              <w:rPr>
                <w:rFonts w:eastAsia="SimSun"/>
                <w:lang w:eastAsia="zh-CN" w:bidi="ru-RU"/>
              </w:rPr>
            </w:r>
            <w:r/>
          </w:p>
          <w:p>
            <w:pPr>
              <w:ind w:left="142" w:right="131"/>
              <w:jc w:val="both"/>
              <w:rPr>
                <w:rFonts w:eastAsia="SimSun"/>
                <w:lang w:eastAsia="zh-CN" w:bidi="ru-RU"/>
              </w:rPr>
            </w:pPr>
            <w:r>
              <w:rPr>
                <w:rFonts w:eastAsia="SimSun"/>
                <w:lang w:eastAsia="zh-CN" w:bidi="ru-RU"/>
              </w:rPr>
              <w:t xml:space="preserve">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p>
          <w:p>
            <w:pPr>
              <w:ind w:left="142" w:right="131"/>
              <w:jc w:val="both"/>
              <w:rPr>
                <w:rFonts w:eastAsia="SimSun"/>
                <w:lang w:eastAsia="zh-CN" w:bidi="ru-RU"/>
              </w:rPr>
            </w:pPr>
            <w:r>
              <w:rPr>
                <w:rFonts w:eastAsia="SimSun"/>
                <w:lang w:eastAsia="zh-CN" w:bidi="ru-RU"/>
              </w:rPr>
            </w:r>
            <w:r/>
          </w:p>
          <w:p>
            <w:pPr>
              <w:ind w:left="142" w:right="131"/>
              <w:jc w:val="both"/>
              <w:rPr>
                <w:rFonts w:eastAsia="SimSun"/>
                <w:lang w:eastAsia="zh-CN" w:bidi="ru-RU"/>
              </w:rPr>
            </w:pPr>
            <w:r>
              <w:rPr>
                <w:rFonts w:eastAsia="SimSun"/>
                <w:lang w:eastAsia="zh-CN" w:bidi="ru-RU"/>
              </w:rPr>
              <w:t xml:space="preserve">Любые вспомогательные виды решённого использования объектов капитального строительства не могут по своим суммарным характеристикам (стр</w:t>
            </w:r>
            <w:r>
              <w:rPr>
                <w:rFonts w:eastAsia="SimSun"/>
                <w:lang w:eastAsia="zh-CN" w:bidi="ru-RU"/>
              </w:rPr>
              <w:t xml:space="preserve">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r/>
          </w:p>
          <w:p>
            <w:pPr>
              <w:ind w:left="142" w:right="131"/>
              <w:jc w:val="both"/>
            </w:pPr>
            <w:r/>
            <w:r/>
          </w:p>
        </w:tc>
      </w:tr>
      <w:tr>
        <w:trPr>
          <w:trHeight w:val="705"/>
        </w:trPr>
        <w:tc>
          <w:tcPr>
            <w:tcW w:w="3129" w:type="dxa"/>
            <w:textDirection w:val="lrTb"/>
            <w:noWrap w:val="false"/>
          </w:tcPr>
          <w:p>
            <w:pPr>
              <w:ind w:left="142" w:right="131"/>
              <w:tabs>
                <w:tab w:val="left" w:pos="4812" w:leader="none"/>
              </w:tabs>
              <w:rPr>
                <w:rFonts w:eastAsia="SimSun"/>
                <w:lang w:eastAsia="zh-CN" w:bidi="ru-RU"/>
              </w:rPr>
            </w:pPr>
            <w:r>
              <w:rPr>
                <w:rFonts w:eastAsia="SimSun"/>
                <w:lang w:eastAsia="zh-CN" w:bidi="ru-RU"/>
              </w:rPr>
              <w:t xml:space="preserve">Гостевые автостоянки для парковки легковых автомобилей посетителей.</w:t>
            </w:r>
            <w:r/>
          </w:p>
        </w:tc>
        <w:tc>
          <w:tcPr>
            <w:tcW w:w="6379" w:type="dxa"/>
            <w:textDirection w:val="lrTb"/>
            <w:noWrap w:val="false"/>
          </w:tcPr>
          <w:p>
            <w:pPr>
              <w:ind w:left="142" w:right="132"/>
              <w:jc w:val="both"/>
              <w:widowControl/>
              <w:tabs>
                <w:tab w:val="left" w:pos="4812" w:leader="none"/>
              </w:tabs>
              <w:rPr>
                <w:lang w:eastAsia="ru-RU"/>
              </w:rPr>
            </w:pPr>
            <w:r>
              <w:rPr>
                <w:lang w:eastAsia="ru-RU"/>
              </w:rPr>
              <w:t xml:space="preserve">Нормативное количество парковочных мест определяется по таблице части 8 ст. 21 Правил</w:t>
            </w:r>
            <w:r/>
          </w:p>
          <w:p>
            <w:pPr>
              <w:ind w:left="142" w:right="224"/>
              <w:jc w:val="both"/>
              <w:tabs>
                <w:tab w:val="left" w:pos="4812" w:leader="none"/>
              </w:tabs>
              <w:rPr>
                <w:rFonts w:eastAsia="SimSun"/>
                <w:lang w:eastAsia="zh-CN" w:bidi="ru-RU"/>
              </w:rPr>
            </w:pPr>
            <w:r>
              <w:rPr>
                <w:rFonts w:eastAsia="SimSun"/>
                <w:lang w:eastAsia="zh-CN" w:bidi="ru-RU"/>
              </w:rPr>
            </w:r>
            <w:r/>
          </w:p>
        </w:tc>
        <w:tc>
          <w:tcPr>
            <w:tcW w:w="5670" w:type="dxa"/>
            <w:vMerge w:val="continue"/>
            <w:textDirection w:val="lrTb"/>
            <w:noWrap w:val="false"/>
          </w:tcPr>
          <w:p>
            <w:pPr>
              <w:ind w:left="142" w:right="131"/>
              <w:jc w:val="both"/>
              <w:rPr>
                <w:rFonts w:eastAsia="SimSun"/>
                <w:lang w:eastAsia="zh-CN" w:bidi="ru-RU"/>
              </w:rPr>
            </w:pPr>
            <w:r>
              <w:rPr>
                <w:rFonts w:eastAsia="SimSun"/>
                <w:lang w:eastAsia="zh-CN" w:bidi="ru-RU"/>
              </w:rPr>
            </w:r>
            <w:r/>
          </w:p>
        </w:tc>
      </w:tr>
      <w:tr>
        <w:trPr>
          <w:trHeight w:val="936"/>
        </w:trPr>
        <w:tc>
          <w:tcPr>
            <w:tcW w:w="3129" w:type="dxa"/>
            <w:textDirection w:val="lrTb"/>
            <w:noWrap w:val="false"/>
          </w:tcPr>
          <w:p>
            <w:pPr>
              <w:ind w:left="142" w:right="132"/>
              <w:tabs>
                <w:tab w:val="left" w:pos="4812" w:leader="none"/>
              </w:tabs>
              <w:rPr>
                <w:rFonts w:eastAsia="SimSun"/>
                <w:lang w:eastAsia="zh-CN" w:bidi="ru-RU"/>
              </w:rPr>
            </w:pPr>
            <w:r>
              <w:rPr>
                <w:rFonts w:eastAsia="SimSun"/>
                <w:lang w:eastAsia="zh-CN" w:bidi="ru-RU"/>
              </w:rPr>
              <w:t xml:space="preserve">Для ИЖС:</w:t>
            </w:r>
            <w:r/>
          </w:p>
          <w:p>
            <w:pPr>
              <w:ind w:left="142" w:right="132"/>
              <w:tabs>
                <w:tab w:val="left" w:pos="4812" w:leader="none"/>
              </w:tabs>
              <w:rPr>
                <w:rFonts w:eastAsia="SimSun"/>
                <w:lang w:eastAsia="zh-CN" w:bidi="ru-RU"/>
              </w:rPr>
            </w:pPr>
            <w:r>
              <w:rPr>
                <w:rFonts w:eastAsia="SimSun"/>
                <w:lang w:eastAsia="zh-CN" w:bidi="ru-RU"/>
              </w:rPr>
              <w:t xml:space="preserve">Хозяйственные постройки для хранения кормов, инвентаря, топлива и других хозяйственных нужд.</w:t>
            </w:r>
            <w:r/>
          </w:p>
          <w:p>
            <w:pPr>
              <w:ind w:left="142" w:right="132"/>
              <w:tabs>
                <w:tab w:val="left" w:pos="4812" w:leader="none"/>
              </w:tabs>
              <w:rPr>
                <w:rFonts w:eastAsia="SimSun"/>
                <w:lang w:eastAsia="zh-CN" w:bidi="ru-RU"/>
              </w:rPr>
            </w:pPr>
            <w:r>
              <w:rPr>
                <w:rFonts w:eastAsia="SimSun"/>
                <w:lang w:eastAsia="zh-CN" w:bidi="ru-RU"/>
              </w:rPr>
            </w:r>
            <w:r/>
          </w:p>
          <w:p>
            <w:pPr>
              <w:ind w:left="142" w:right="132"/>
              <w:tabs>
                <w:tab w:val="left" w:pos="4812" w:leader="none"/>
              </w:tabs>
              <w:rPr>
                <w:rFonts w:eastAsia="SimSun"/>
                <w:lang w:eastAsia="zh-CN" w:bidi="ru-RU"/>
              </w:rPr>
            </w:pPr>
            <w:r>
              <w:rPr>
                <w:rFonts w:eastAsia="SimSun"/>
                <w:lang w:eastAsia="zh-CN" w:bidi="ru-RU"/>
              </w:rPr>
              <w:t xml:space="preserve">Хозяйственные постройки для содержания скота и птицы </w:t>
            </w:r>
            <w:r/>
          </w:p>
          <w:p>
            <w:pPr>
              <w:ind w:left="142" w:right="132"/>
              <w:tabs>
                <w:tab w:val="left" w:pos="4812" w:leader="none"/>
              </w:tabs>
              <w:rPr>
                <w:rFonts w:eastAsia="SimSun"/>
                <w:lang w:eastAsia="zh-CN" w:bidi="ru-RU"/>
              </w:rPr>
            </w:pPr>
            <w:r>
              <w:rPr>
                <w:rFonts w:eastAsia="SimSun"/>
                <w:lang w:eastAsia="zh-CN" w:bidi="ru-RU"/>
              </w:rPr>
            </w:r>
            <w:r/>
          </w:p>
          <w:p>
            <w:pPr>
              <w:ind w:left="142" w:right="132"/>
              <w:tabs>
                <w:tab w:val="left" w:pos="4812" w:leader="none"/>
              </w:tabs>
              <w:rPr>
                <w:rFonts w:eastAsia="SimSun"/>
                <w:lang w:eastAsia="zh-CN" w:bidi="ru-RU"/>
              </w:rPr>
            </w:pPr>
            <w:r>
              <w:rPr>
                <w:rFonts w:eastAsia="SimSun"/>
                <w:lang w:eastAsia="zh-CN" w:bidi="ru-RU"/>
              </w:rPr>
              <w:t xml:space="preserve">Летние кухни, кладовые, погреба, бани, бассейны, гаражи навесы.</w:t>
            </w:r>
            <w:r/>
          </w:p>
          <w:p>
            <w:pPr>
              <w:ind w:left="142" w:right="132"/>
              <w:tabs>
                <w:tab w:val="left" w:pos="4812" w:leader="none"/>
              </w:tabs>
              <w:rPr>
                <w:rFonts w:eastAsia="SimSun"/>
                <w:lang w:eastAsia="zh-CN" w:bidi="ru-RU"/>
              </w:rPr>
            </w:pPr>
            <w:r>
              <w:rPr>
                <w:rFonts w:eastAsia="SimSun"/>
                <w:lang w:eastAsia="zh-CN" w:bidi="ru-RU"/>
              </w:rPr>
            </w:r>
            <w:r/>
          </w:p>
          <w:p>
            <w:pPr>
              <w:ind w:left="142" w:right="132"/>
              <w:tabs>
                <w:tab w:val="left" w:pos="4812" w:leader="none"/>
              </w:tabs>
              <w:rPr>
                <w:rFonts w:eastAsia="SimSun"/>
                <w:lang w:eastAsia="zh-CN" w:bidi="ru-RU"/>
              </w:rPr>
            </w:pPr>
            <w:r>
              <w:rPr>
                <w:rFonts w:eastAsia="SimSun"/>
                <w:lang w:eastAsia="zh-CN" w:bidi="ru-RU"/>
              </w:rPr>
            </w:r>
            <w:r/>
          </w:p>
          <w:p>
            <w:pPr>
              <w:ind w:left="142" w:right="132"/>
              <w:tabs>
                <w:tab w:val="left" w:pos="4812" w:leader="none"/>
              </w:tabs>
              <w:rPr>
                <w:rFonts w:eastAsia="SimSun"/>
                <w:lang w:eastAsia="zh-CN" w:bidi="ru-RU"/>
              </w:rPr>
            </w:pPr>
            <w:r>
              <w:rPr>
                <w:rFonts w:eastAsia="SimSun"/>
                <w:lang w:eastAsia="zh-CN" w:bidi="ru-RU"/>
              </w:rPr>
            </w:r>
            <w:r/>
          </w:p>
          <w:p>
            <w:pPr>
              <w:ind w:left="142" w:right="132"/>
              <w:tabs>
                <w:tab w:val="left" w:pos="4812" w:leader="none"/>
              </w:tabs>
              <w:rPr>
                <w:rFonts w:eastAsia="SimSun"/>
                <w:lang w:eastAsia="zh-CN" w:bidi="ru-RU"/>
              </w:rPr>
            </w:pPr>
            <w:r>
              <w:rPr>
                <w:rFonts w:eastAsia="SimSun"/>
                <w:lang w:eastAsia="zh-CN" w:bidi="ru-RU"/>
              </w:rPr>
            </w:r>
            <w:r/>
          </w:p>
          <w:p>
            <w:pPr>
              <w:ind w:left="142" w:right="132"/>
              <w:tabs>
                <w:tab w:val="left" w:pos="4812" w:leader="none"/>
              </w:tabs>
            </w:pPr>
            <w:r>
              <w:rPr>
                <w:rFonts w:eastAsia="SimSun"/>
                <w:lang w:eastAsia="zh-CN" w:bidi="ru-RU"/>
              </w:rPr>
              <w:t xml:space="preserve">Надворные туалеты, гидронепроницаемые выгребы, септики.</w:t>
            </w:r>
            <w:r>
              <w:t xml:space="preserve"> </w:t>
            </w:r>
            <w:r/>
          </w:p>
          <w:p>
            <w:pPr>
              <w:ind w:left="142" w:right="131"/>
              <w:tabs>
                <w:tab w:val="left" w:pos="4812" w:leader="none"/>
              </w:tabs>
              <w:rPr>
                <w:rFonts w:eastAsia="SimSun"/>
                <w:lang w:eastAsia="zh-CN" w:bidi="ru-RU"/>
              </w:rPr>
            </w:pPr>
            <w:r>
              <w:rPr>
                <w:rFonts w:eastAsia="SimSun"/>
                <w:lang w:eastAsia="zh-CN" w:bidi="ru-RU"/>
              </w:rPr>
            </w:r>
            <w:r/>
          </w:p>
        </w:tc>
        <w:tc>
          <w:tcPr>
            <w:tcW w:w="6379" w:type="dxa"/>
            <w:textDirection w:val="lrTb"/>
            <w:noWrap w:val="false"/>
          </w:tcPr>
          <w:p>
            <w:pPr>
              <w:ind w:left="142" w:right="132"/>
              <w:jc w:val="both"/>
              <w:tabs>
                <w:tab w:val="left" w:pos="4812" w:leader="none"/>
              </w:tabs>
            </w:pPr>
            <w:r>
              <w:rPr>
                <w:rFonts w:eastAsia="SimSun"/>
                <w:lang w:eastAsia="zh-CN" w:bidi="ru-RU"/>
              </w:rPr>
              <w:t xml:space="preserve">Максимальное количество надземных этажей – 2 этажа (при условии обеспечения нормативной инсоляции на территории соседних участков).</w:t>
            </w:r>
            <w:r/>
          </w:p>
          <w:p>
            <w:pPr>
              <w:ind w:left="142" w:right="132"/>
              <w:jc w:val="both"/>
              <w:tabs>
                <w:tab w:val="left" w:pos="4812" w:leader="none"/>
              </w:tabs>
              <w:rPr>
                <w:rFonts w:eastAsia="SimSun"/>
                <w:lang w:eastAsia="zh-CN" w:bidi="ru-RU"/>
              </w:rPr>
            </w:pPr>
            <w:r>
              <w:rPr>
                <w:rFonts w:eastAsia="SimSun"/>
                <w:lang w:eastAsia="zh-CN" w:bidi="ru-RU"/>
              </w:rPr>
              <w:t xml:space="preserve">Максимальная высота – 6 м. </w:t>
            </w:r>
            <w:r/>
          </w:p>
          <w:p>
            <w:pPr>
              <w:ind w:left="142" w:right="132"/>
              <w:jc w:val="both"/>
              <w:tabs>
                <w:tab w:val="left" w:pos="4812" w:leader="none"/>
              </w:tabs>
              <w:rPr>
                <w:rFonts w:eastAsia="SimSun"/>
                <w:lang w:eastAsia="zh-CN" w:bidi="ru-RU"/>
              </w:rPr>
            </w:pPr>
            <w:r>
              <w:rPr>
                <w:rFonts w:eastAsia="SimSun"/>
                <w:lang w:eastAsia="zh-CN" w:bidi="ru-RU"/>
              </w:rPr>
              <w:t xml:space="preserve">Расстояние от хозяйственных построек до красных линий улиц и проездов не менее - 5 м; до иных границ – 1 м. при соблюдении требований технических регламентов.</w:t>
            </w:r>
            <w:r/>
          </w:p>
          <w:p>
            <w:pPr>
              <w:ind w:left="142" w:right="140"/>
              <w:jc w:val="both"/>
              <w:tabs>
                <w:tab w:val="left" w:pos="4812" w:leader="none"/>
              </w:tabs>
              <w:rPr>
                <w:rFonts w:eastAsia="SimSun"/>
                <w:lang w:eastAsia="zh-CN" w:bidi="ru-RU"/>
              </w:rPr>
            </w:pPr>
            <w:r>
              <w:rPr>
                <w:rFonts w:eastAsia="SimSun"/>
                <w:lang w:eastAsia="zh-CN" w:bidi="ru-RU"/>
              </w:rPr>
            </w:r>
            <w:r/>
          </w:p>
          <w:p>
            <w:pPr>
              <w:ind w:left="142" w:right="140"/>
              <w:jc w:val="both"/>
              <w:tabs>
                <w:tab w:val="left" w:pos="4812" w:leader="none"/>
              </w:tabs>
              <w:rPr>
                <w:rFonts w:eastAsia="SimSun"/>
                <w:lang w:eastAsia="zh-CN" w:bidi="ru-RU"/>
              </w:rPr>
            </w:pPr>
            <w:r>
              <w:rPr>
                <w:rFonts w:eastAsia="SimSun"/>
                <w:lang w:eastAsia="zh-CN" w:bidi="ru-RU"/>
              </w:rPr>
              <w:t xml:space="preserve">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r/>
          </w:p>
          <w:p>
            <w:pPr>
              <w:ind w:left="127" w:right="132"/>
              <w:jc w:val="both"/>
            </w:pPr>
            <w:r/>
            <w:r/>
          </w:p>
          <w:p>
            <w:pPr>
              <w:ind w:left="127" w:right="132"/>
              <w:jc w:val="both"/>
            </w:pPr>
            <w:r>
              <w:t xml:space="preserve">Максимальная площадь объектов вспомогательного назначения (за </w:t>
            </w:r>
            <w:r>
              <w:t xml:space="preserve">исключением навесов) – не более 50% от общей площади объекта ИЖС.</w:t>
            </w:r>
            <w:r/>
          </w:p>
          <w:p>
            <w:pPr>
              <w:ind w:left="142" w:right="140"/>
              <w:jc w:val="both"/>
              <w:tabs>
                <w:tab w:val="left" w:pos="4812" w:leader="none"/>
              </w:tabs>
              <w:rPr>
                <w:rFonts w:eastAsia="SimSun"/>
                <w:lang w:eastAsia="zh-CN" w:bidi="ru-RU"/>
              </w:rPr>
            </w:pPr>
            <w:r>
              <w:rPr>
                <w:rFonts w:eastAsia="SimSun"/>
                <w:lang w:eastAsia="zh-CN" w:bidi="ru-RU"/>
              </w:rPr>
            </w:r>
            <w:r/>
          </w:p>
          <w:p>
            <w:pPr>
              <w:ind w:left="142" w:right="140"/>
              <w:jc w:val="both"/>
              <w:tabs>
                <w:tab w:val="left" w:pos="4812" w:leader="none"/>
              </w:tabs>
              <w:rPr>
                <w:rFonts w:ascii="Times New Roman CYR" w:hAnsi="Times New Roman CYR" w:cs="Times New Roman CYR"/>
                <w:sz w:val="24"/>
                <w:szCs w:val="24"/>
                <w:lang w:eastAsia="ru-RU" w:bidi="ru-RU"/>
              </w:rPr>
            </w:pPr>
            <w:r>
              <w:rPr>
                <w:rFonts w:eastAsia="SimSun"/>
                <w:lang w:eastAsia="zh-CN" w:bidi="ru-RU"/>
              </w:rPr>
              <w:t xml:space="preserve">Расстояние до надворного туалета, гидронепроницаемого выгреба, септика до соседнего жилого дома не менее - 12 м; до красной линии не менее - 10 м; до границы смежного земельного участка не менее - 4 м.</w:t>
            </w:r>
            <w:r/>
          </w:p>
          <w:p>
            <w:pPr>
              <w:ind w:left="142" w:right="140"/>
              <w:jc w:val="both"/>
              <w:tabs>
                <w:tab w:val="left" w:pos="4812" w:leader="none"/>
              </w:tabs>
              <w:rPr>
                <w:rFonts w:eastAsia="SimSun"/>
                <w:lang w:eastAsia="zh-CN" w:bidi="ru-RU"/>
              </w:rPr>
            </w:pPr>
            <w:r>
              <w:rPr>
                <w:lang w:eastAsia="ru-RU" w:bidi="ru-RU"/>
              </w:rPr>
              <w:t xml:space="preserve">Водонепроницаемые септики – на расстоянии не менее 5 м от фундамента построек, фильтрующие – на расстоянии не менее 8 м от фундамента построек.</w:t>
            </w:r>
            <w:r/>
          </w:p>
        </w:tc>
        <w:tc>
          <w:tcPr>
            <w:tcW w:w="5670" w:type="dxa"/>
            <w:vMerge w:val="continue"/>
            <w:textDirection w:val="lrTb"/>
            <w:noWrap w:val="false"/>
          </w:tcPr>
          <w:p>
            <w:pPr>
              <w:ind w:left="142" w:right="131"/>
              <w:jc w:val="both"/>
              <w:rPr>
                <w:rFonts w:eastAsia="SimSun"/>
                <w:lang w:eastAsia="zh-CN" w:bidi="ru-RU"/>
              </w:rPr>
            </w:pPr>
            <w:r>
              <w:rPr>
                <w:rFonts w:eastAsia="SimSun"/>
                <w:lang w:eastAsia="zh-CN" w:bidi="ru-RU"/>
              </w:rPr>
            </w:r>
            <w:r/>
          </w:p>
        </w:tc>
      </w:tr>
      <w:tr>
        <w:trPr>
          <w:trHeight w:val="2645"/>
        </w:trPr>
        <w:tc>
          <w:tcPr>
            <w:tcW w:w="3129" w:type="dxa"/>
            <w:textDirection w:val="lrTb"/>
            <w:noWrap w:val="false"/>
          </w:tcPr>
          <w:p>
            <w:pPr>
              <w:ind w:left="142" w:right="132"/>
              <w:tabs>
                <w:tab w:val="left" w:pos="4812" w:leader="none"/>
              </w:tabs>
            </w:pPr>
            <w:r>
              <w:t xml:space="preserve">Ограждение</w:t>
            </w:r>
            <w:r/>
          </w:p>
          <w:p>
            <w:pPr>
              <w:ind w:left="142" w:right="132"/>
              <w:tabs>
                <w:tab w:val="left" w:pos="4812" w:leader="none"/>
              </w:tabs>
              <w:rPr>
                <w:rFonts w:eastAsia="SimSun"/>
                <w:lang w:eastAsia="zh-CN" w:bidi="ru-RU"/>
              </w:rPr>
            </w:pPr>
            <w:r>
              <w:rPr>
                <w:rFonts w:eastAsia="SimSun"/>
                <w:lang w:eastAsia="zh-CN" w:bidi="ru-RU"/>
              </w:rPr>
            </w:r>
            <w:r/>
          </w:p>
        </w:tc>
        <w:tc>
          <w:tcPr>
            <w:tcW w:w="6379" w:type="dxa"/>
            <w:textDirection w:val="lrTb"/>
            <w:noWrap w:val="false"/>
          </w:tcPr>
          <w:p>
            <w:pPr>
              <w:ind w:left="142" w:right="132"/>
              <w:jc w:val="both"/>
              <w:tabs>
                <w:tab w:val="left" w:pos="4812" w:leader="none"/>
              </w:tabs>
            </w:pPr>
            <w: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w:t>
            </w:r>
            <w:r>
              <w:t xml:space="preserve">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p>
          <w:p>
            <w:pPr>
              <w:ind w:left="142" w:right="132"/>
              <w:jc w:val="both"/>
              <w:tabs>
                <w:tab w:val="left" w:pos="4812" w:leader="none"/>
              </w:tabs>
              <w:rPr>
                <w:rFonts w:eastAsia="SimSun"/>
                <w:lang w:eastAsia="zh-CN" w:bidi="ru-RU"/>
              </w:rPr>
            </w:pPr>
            <w:r>
              <w:t xml:space="preserve">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r/>
          </w:p>
        </w:tc>
        <w:tc>
          <w:tcPr>
            <w:tcW w:w="5670" w:type="dxa"/>
            <w:vMerge w:val="continue"/>
            <w:textDirection w:val="lrTb"/>
            <w:noWrap w:val="false"/>
          </w:tcPr>
          <w:p>
            <w:pPr>
              <w:ind w:left="142" w:right="131"/>
              <w:jc w:val="both"/>
              <w:rPr>
                <w:rFonts w:eastAsia="SimSun"/>
                <w:lang w:eastAsia="zh-CN" w:bidi="ru-RU"/>
              </w:rPr>
            </w:pPr>
            <w:r>
              <w:rPr>
                <w:rFonts w:eastAsia="SimSun"/>
                <w:lang w:eastAsia="zh-CN" w:bidi="ru-RU"/>
              </w:rPr>
            </w:r>
            <w:r/>
          </w:p>
        </w:tc>
      </w:tr>
      <w:tr>
        <w:trPr>
          <w:trHeight w:val="1140"/>
        </w:trPr>
        <w:tc>
          <w:tcPr>
            <w:tcW w:w="3129" w:type="dxa"/>
            <w:textDirection w:val="lrTb"/>
            <w:noWrap w:val="false"/>
          </w:tcPr>
          <w:p>
            <w:pPr>
              <w:ind w:left="127" w:right="132"/>
            </w:pPr>
            <w:r>
              <w:rPr>
                <w:rFonts w:eastAsia="Calibri"/>
              </w:rPr>
              <w:t xml:space="preserve">Для объектов общественного назначения вспомогательные объекты определяются материалами проектной документации. </w:t>
            </w:r>
            <w:r/>
          </w:p>
        </w:tc>
        <w:tc>
          <w:tcPr>
            <w:tcW w:w="6379" w:type="dxa"/>
            <w:textDirection w:val="lrTb"/>
            <w:noWrap w:val="false"/>
          </w:tcPr>
          <w:p>
            <w:pPr>
              <w:ind w:left="142" w:right="132"/>
              <w:jc w:val="both"/>
              <w:tabs>
                <w:tab w:val="left" w:pos="4812" w:leader="none"/>
              </w:tabs>
            </w:pPr>
            <w:r>
              <w:rPr>
                <w:rFonts w:eastAsia="SimSun"/>
                <w:lang w:eastAsia="zh-CN" w:bidi="ru-RU"/>
              </w:rPr>
              <w:t xml:space="preserve">Максимальное количество надземных этажей – 2 этажа (при условии обеспечения нормативной инсоляции на территории соседних участков).</w:t>
            </w:r>
            <w:r/>
          </w:p>
          <w:p>
            <w:pPr>
              <w:ind w:left="142" w:right="132"/>
              <w:jc w:val="both"/>
              <w:tabs>
                <w:tab w:val="left" w:pos="4812" w:leader="none"/>
              </w:tabs>
              <w:rPr>
                <w:rFonts w:eastAsia="SimSun"/>
                <w:lang w:eastAsia="zh-CN" w:bidi="ru-RU"/>
              </w:rPr>
            </w:pPr>
            <w:r>
              <w:rPr>
                <w:rFonts w:eastAsia="SimSun"/>
                <w:lang w:eastAsia="zh-CN" w:bidi="ru-RU"/>
              </w:rPr>
              <w:t xml:space="preserve">Максимальная высота – 6 м. </w:t>
            </w:r>
            <w:r/>
          </w:p>
          <w:p>
            <w:pPr>
              <w:ind w:left="142" w:right="132"/>
              <w:jc w:val="both"/>
              <w:tabs>
                <w:tab w:val="left" w:pos="4812" w:leader="none"/>
              </w:tabs>
              <w:rPr>
                <w:rFonts w:eastAsia="SimSun"/>
                <w:lang w:eastAsia="zh-CN" w:bidi="ru-RU"/>
              </w:rPr>
            </w:pPr>
            <w:r>
              <w:rPr>
                <w:rFonts w:eastAsia="SimSun"/>
                <w:lang w:eastAsia="zh-CN" w:bidi="ru-RU"/>
              </w:rPr>
              <w:t xml:space="preserve">Расстояние до красных линий улиц и проездов не менее - 5 м; до иных границ – 1 м. при соблюдении требований технических регламентов.</w:t>
            </w:r>
            <w:r/>
          </w:p>
        </w:tc>
        <w:tc>
          <w:tcPr>
            <w:tcW w:w="5670" w:type="dxa"/>
            <w:vMerge w:val="continue"/>
            <w:textDirection w:val="lrTb"/>
            <w:noWrap w:val="false"/>
          </w:tcPr>
          <w:p>
            <w:pPr>
              <w:ind w:left="142" w:right="131"/>
              <w:jc w:val="both"/>
              <w:rPr>
                <w:rFonts w:eastAsia="SimSun"/>
                <w:lang w:eastAsia="zh-CN" w:bidi="ru-RU"/>
              </w:rPr>
            </w:pPr>
            <w:r>
              <w:rPr>
                <w:rFonts w:eastAsia="SimSun"/>
                <w:lang w:eastAsia="zh-CN" w:bidi="ru-RU"/>
              </w:rPr>
            </w:r>
            <w:r/>
          </w:p>
        </w:tc>
      </w:tr>
    </w:tbl>
    <w:p>
      <w:pPr>
        <w:ind w:firstLine="567"/>
        <w:jc w:val="center"/>
        <w:tabs>
          <w:tab w:val="left" w:pos="2520" w:leader="none"/>
        </w:tabs>
      </w:pPr>
      <w:r/>
      <w:r/>
    </w:p>
    <w:p>
      <w:pPr>
        <w:ind w:firstLine="567"/>
      </w:pPr>
      <w:r>
        <w:rPr>
          <w:shd w:val="clear" w:color="auto" w:fill="ffffff"/>
        </w:rPr>
        <w:t xml:space="preserve">Примечание:</w:t>
      </w:r>
      <w:r/>
    </w:p>
    <w:p>
      <w:pPr>
        <w:ind w:firstLine="567"/>
        <w:jc w:val="both"/>
      </w:pPr>
      <w:r>
        <w:rPr>
          <w:shd w:val="clear" w:color="auto" w:fill="ffffff"/>
        </w:rPr>
        <w:t xml:space="preserve">Предельные (минимальные и (или) максимальные) размеры земельных участков и максимальный процент застройки для вспомогательных видов не подлежат установлению.</w:t>
      </w:r>
      <w:r/>
    </w:p>
    <w:p>
      <w:pPr>
        <w:ind w:firstLine="567"/>
        <w:jc w:val="both"/>
      </w:pPr>
      <w:r>
        <w:rPr>
          <w:shd w:val="clear" w:color="auto" w:fill="ffffff"/>
        </w:rPr>
        <w:t xml:space="preserve">Общая площадь некапитального объекта принята до 25 кв.м. Этажность отдельно стоящих некапитальн</w:t>
      </w:r>
      <w:r>
        <w:rPr>
          <w:shd w:val="clear" w:color="auto" w:fill="ffffff"/>
        </w:rPr>
        <w:t xml:space="preserve">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Казанско</w:t>
      </w:r>
      <w:r>
        <w:rPr>
          <w:shd w:val="clear" w:color="auto" w:fill="ffffff"/>
        </w:rPr>
        <w:t xml:space="preserve">го сельского поселения района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w:t>
      </w:r>
      <w:r>
        <w:rPr>
          <w:shd w:val="clear" w:color="auto" w:fill="ffffff"/>
        </w:rPr>
        <w:t xml:space="preserve">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r/>
    </w:p>
    <w:p>
      <w:pPr>
        <w:ind w:firstLine="567"/>
        <w:jc w:val="both"/>
      </w:pPr>
      <w:r/>
      <w:r/>
    </w:p>
    <w:p>
      <w:pPr>
        <w:ind w:firstLine="567"/>
        <w:jc w:val="center"/>
        <w:tabs>
          <w:tab w:val="left" w:pos="1260" w:leader="none"/>
        </w:tabs>
      </w:pPr>
      <w:r/>
      <w:r/>
    </w:p>
    <w:p>
      <w:pPr>
        <w:ind w:firstLine="567"/>
        <w:jc w:val="center"/>
        <w:tabs>
          <w:tab w:val="left" w:pos="1260" w:leader="none"/>
        </w:tabs>
      </w:pPr>
      <w:r>
        <w:rPr>
          <w:b/>
          <w:bCs/>
          <w:color w:val="000000"/>
          <w:sz w:val="24"/>
          <w:szCs w:val="24"/>
        </w:rPr>
        <w:t xml:space="preserve">ЗОНА СПЕЦИАЛИЗИРОВАННОЙ ОБЩЕСТВЕННОЙ ЗАСТРОЙКИ</w:t>
      </w:r>
      <w:r/>
    </w:p>
    <w:p>
      <w:pPr>
        <w:ind w:firstLine="567"/>
        <w:jc w:val="center"/>
        <w:tabs>
          <w:tab w:val="left" w:pos="1260" w:leader="none"/>
        </w:tabs>
      </w:pPr>
      <w:r/>
      <w:r/>
    </w:p>
    <w:p>
      <w:pPr>
        <w:ind w:firstLine="567"/>
        <w:jc w:val="both"/>
        <w:tabs>
          <w:tab w:val="left" w:pos="2520" w:leader="none"/>
        </w:tabs>
      </w:pPr>
      <w:r>
        <w:rPr>
          <w:color w:val="000000" w:themeColor="text1"/>
          <w:sz w:val="24"/>
          <w:szCs w:val="24"/>
        </w:rPr>
        <w:t xml:space="preserve">Кодовое обозначение – ОД-2</w:t>
      </w:r>
      <w:r/>
    </w:p>
    <w:p>
      <w:pPr>
        <w:ind w:firstLine="567"/>
        <w:jc w:val="both"/>
        <w:tabs>
          <w:tab w:val="left" w:pos="2520" w:leader="none"/>
        </w:tabs>
      </w:pPr>
      <w:r>
        <w:rPr>
          <w:color w:val="000000"/>
          <w:sz w:val="24"/>
          <w:szCs w:val="24"/>
        </w:rPr>
        <w:t xml:space="preserve">Зоны специализированной общественной застройки предназначены для размещения объектов здравоохранения, общественного питания, </w:t>
      </w:r>
      <w:r>
        <w:rPr>
          <w:color w:val="000000"/>
          <w:sz w:val="24"/>
          <w:szCs w:val="24"/>
        </w:rPr>
        <w:t xml:space="preserve">социального и культурно-бытового назначения, предпринимательской деятельности, объектов среднего профессионального и высшего пр</w:t>
      </w:r>
      <w:r>
        <w:rPr>
          <w:color w:val="000000"/>
          <w:sz w:val="24"/>
          <w:szCs w:val="24"/>
        </w:rPr>
        <w:t xml:space="preserve">офессионального образования, административных, культуры,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r/>
    </w:p>
    <w:p>
      <w:pPr>
        <w:ind w:firstLine="567"/>
        <w:jc w:val="center"/>
        <w:tabs>
          <w:tab w:val="left" w:pos="2520" w:leader="none"/>
        </w:tabs>
      </w:pPr>
      <w:r/>
      <w:r/>
    </w:p>
    <w:p>
      <w:pPr>
        <w:ind w:firstLine="567"/>
        <w:jc w:val="center"/>
        <w:tabs>
          <w:tab w:val="left" w:pos="2520" w:leader="none"/>
        </w:tabs>
      </w:pPr>
      <w:r>
        <w:rPr>
          <w:b/>
          <w:color w:val="000000"/>
        </w:rPr>
        <w:t xml:space="preserve">ОСНОВНЫЕ ВИДЫ И ПАРАМЕТРЫ РАЗРЕШЕННОГО ИСПОЛЬЗОВАНИЯ</w:t>
      </w:r>
      <w:r/>
    </w:p>
    <w:p>
      <w:pPr>
        <w:ind w:firstLine="567"/>
        <w:jc w:val="center"/>
        <w:tabs>
          <w:tab w:val="left" w:pos="2520" w:leader="none"/>
        </w:tabs>
      </w:pPr>
      <w:r>
        <w:rPr>
          <w:b/>
          <w:color w:val="000000"/>
        </w:rPr>
        <w:t xml:space="preserve">ЗЕМЕЛЬНЫХ УЧАСТКОВ И ОБЪЕКТОВ КАПИТАЛЬНОГО СТРОИТЕЛЬСТВА</w:t>
      </w:r>
      <w:r/>
    </w:p>
    <w:p>
      <w:pPr>
        <w:ind w:firstLine="567"/>
        <w:jc w:val="center"/>
        <w:tabs>
          <w:tab w:val="left" w:pos="2520" w:leader="none"/>
        </w:tabs>
      </w:pPr>
      <w:r/>
      <w:r/>
    </w:p>
    <w:tbl>
      <w:tblPr>
        <w:tblW w:w="1503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3114"/>
        <w:gridCol w:w="4126"/>
        <w:gridCol w:w="4819"/>
        <w:gridCol w:w="2977"/>
      </w:tblGrid>
      <w:tr>
        <w:trPr>
          <w:trHeight w:val="20"/>
        </w:trPr>
        <w:tc>
          <w:tcPr>
            <w:tcW w:w="3114" w:type="dxa"/>
            <w:vAlign w:val="center"/>
            <w:textDirection w:val="lrTb"/>
            <w:noWrap w:val="false"/>
          </w:tcPr>
          <w:p>
            <w:pPr>
              <w:ind w:left="142"/>
              <w:jc w:val="center"/>
              <w:tabs>
                <w:tab w:val="left" w:pos="2520" w:leader="none"/>
              </w:tabs>
              <w:rPr>
                <w:b/>
              </w:rPr>
            </w:pPr>
            <w:r>
              <w:rPr>
                <w:rFonts w:eastAsia="SimSun"/>
                <w:lang w:eastAsia="zh-CN" w:bidi="ru-RU"/>
              </w:rPr>
              <w:t xml:space="preserve">[</w:t>
            </w:r>
            <w:r>
              <w:rPr>
                <w:b/>
              </w:rPr>
              <w:t xml:space="preserve">КОД (ЧИСЛОВОЕ ОБОЗНАЧЕНИЕ)</w:t>
            </w:r>
            <w:r>
              <w:rPr>
                <w:rFonts w:eastAsia="SimSun"/>
                <w:lang w:eastAsia="zh-CN" w:bidi="ru-RU"/>
              </w:rPr>
              <w:t xml:space="preserve">]-</w:t>
            </w:r>
            <w:r>
              <w:rPr>
                <w:b/>
              </w:rPr>
              <w:t xml:space="preserve"> НАИМЕНОВАНИЕ ВИДАРАЗРЕШЕННОГОИСПОЛЬЗОВАНИЯ ЗЕМЕЛЬНЫХ УЧАСТКОВ</w:t>
            </w:r>
            <w:r/>
          </w:p>
        </w:tc>
        <w:tc>
          <w:tcPr>
            <w:tcW w:w="4126" w:type="dxa"/>
            <w:vAlign w:val="center"/>
            <w:textDirection w:val="lrTb"/>
            <w:noWrap w:val="false"/>
          </w:tcPr>
          <w:p>
            <w:pPr>
              <w:ind w:left="142"/>
              <w:jc w:val="center"/>
              <w:tabs>
                <w:tab w:val="left" w:pos="2520" w:leader="none"/>
              </w:tabs>
              <w:rPr>
                <w:b/>
              </w:rPr>
            </w:pPr>
            <w:r>
              <w:rPr>
                <w:b/>
              </w:rPr>
              <w:t xml:space="preserve">ВИДЫ ОБЪЕКТОВ КАПИТАЛЬНОГО СТРОИТЕЛЬСТВА</w:t>
            </w:r>
            <w:r/>
          </w:p>
        </w:tc>
        <w:tc>
          <w:tcPr>
            <w:tcW w:w="4819" w:type="dxa"/>
            <w:vAlign w:val="center"/>
            <w:textDirection w:val="lrTb"/>
            <w:noWrap w:val="false"/>
          </w:tcPr>
          <w:p>
            <w:pPr>
              <w:ind w:left="142"/>
              <w:jc w:val="center"/>
              <w:tabs>
                <w:tab w:val="left" w:pos="2520" w:leader="none"/>
              </w:tabs>
              <w:rPr>
                <w:b/>
              </w:rPr>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W w:w="2977" w:type="dxa"/>
            <w:vAlign w:val="center"/>
            <w:textDirection w:val="lrTb"/>
            <w:noWrap w:val="false"/>
          </w:tcPr>
          <w:p>
            <w:pPr>
              <w:jc w:val="center"/>
              <w:tabs>
                <w:tab w:val="left" w:pos="3071" w:leader="none"/>
              </w:tabs>
              <w:rPr>
                <w:b/>
              </w:rPr>
            </w:pPr>
            <w:r>
              <w:rPr>
                <w:b/>
              </w:rPr>
              <w:t xml:space="preserve">ОСОБЫЕ УСЛОВИЯ РЕАЛИЗАЦИИ РЕГЛАМЕНТА</w:t>
            </w:r>
            <w:r/>
          </w:p>
        </w:tc>
      </w:tr>
      <w:tr>
        <w:trPr>
          <w:trHeight w:val="20"/>
        </w:trPr>
        <w:tc>
          <w:tcPr>
            <w:tcW w:w="3114" w:type="dxa"/>
            <w:textDirection w:val="lrTb"/>
            <w:noWrap w:val="false"/>
          </w:tcPr>
          <w:p>
            <w:pPr>
              <w:ind w:left="142" w:right="117"/>
              <w:tabs>
                <w:tab w:val="left" w:pos="2520" w:leader="none"/>
              </w:tabs>
              <w:rPr>
                <w:rFonts w:eastAsia="SimSun"/>
                <w:lang w:eastAsia="zh-CN" w:bidi="ru-RU"/>
              </w:rPr>
            </w:pPr>
            <w:r>
              <w:rPr>
                <w:rFonts w:eastAsia="SimSun"/>
                <w:lang w:eastAsia="zh-CN" w:bidi="ru-RU"/>
              </w:rPr>
              <w:t xml:space="preserve">[3.1.2] </w:t>
            </w:r>
            <w:r/>
          </w:p>
          <w:p>
            <w:pPr>
              <w:ind w:left="142" w:right="117"/>
              <w:tabs>
                <w:tab w:val="left" w:pos="2520" w:leader="none"/>
              </w:tabs>
              <w:rPr>
                <w:rFonts w:eastAsia="SimSun"/>
                <w:strike/>
                <w:lang w:eastAsia="zh-CN" w:bidi="ru-RU"/>
              </w:rPr>
            </w:pPr>
            <w:r>
              <w:t xml:space="preserve">Административные здания организаций, обеспечивающих предоставление коммунальных услуг</w:t>
            </w:r>
            <w:r/>
          </w:p>
        </w:tc>
        <w:tc>
          <w:tcPr>
            <w:tcW w:w="4126" w:type="dxa"/>
            <w:textDirection w:val="lrTb"/>
            <w:noWrap w:val="false"/>
          </w:tcPr>
          <w:p>
            <w:pPr>
              <w:ind w:left="142" w:right="207"/>
              <w:jc w:val="both"/>
            </w:pPr>
            <w:r>
              <w:t xml:space="preserve">Размещение зданий, предназначенных</w:t>
            </w:r>
            <w:r>
              <w:br/>
              <w:t xml:space="preserve"> для приема физических и юридических лиц в связи с предоставлением им коммунальных услуг</w:t>
            </w:r>
            <w:r/>
          </w:p>
          <w:p>
            <w:pPr>
              <w:ind w:left="142" w:right="117"/>
              <w:jc w:val="both"/>
              <w:tabs>
                <w:tab w:val="left" w:pos="2520" w:leader="none"/>
              </w:tabs>
              <w:rPr>
                <w:b/>
                <w:strike/>
              </w:rPr>
            </w:pPr>
            <w:r>
              <w:rPr>
                <w:b/>
                <w:strike/>
              </w:rPr>
            </w:r>
            <w:r/>
          </w:p>
        </w:tc>
        <w:tc>
          <w:tcPr>
            <w:tcW w:w="4819" w:type="dxa"/>
            <w:textDirection w:val="lrTb"/>
            <w:noWrap w:val="false"/>
          </w:tcPr>
          <w:p>
            <w:pPr>
              <w:ind w:left="142" w:right="207"/>
              <w:jc w:val="both"/>
            </w:pPr>
            <w:r>
              <w:t xml:space="preserve">Минимальная/максимальная площадь земельных участков – 200 /1000 кв. м</w:t>
            </w:r>
            <w:r/>
          </w:p>
          <w:p>
            <w:pPr>
              <w:ind w:left="142" w:right="207"/>
              <w:jc w:val="both"/>
            </w:pPr>
            <w:r>
              <w:t xml:space="preserve">максимальное количество надземных этажей зданий – 2;</w:t>
            </w:r>
            <w:r/>
          </w:p>
          <w:p>
            <w:pPr>
              <w:ind w:left="142" w:right="207"/>
              <w:jc w:val="both"/>
            </w:pPr>
            <w:r>
              <w:t xml:space="preserve">максимальная высота зданий, строений, сооружений от уровня земли - 15 м;</w:t>
            </w:r>
            <w:r/>
          </w:p>
          <w:p>
            <w:pPr>
              <w:ind w:left="142" w:right="207"/>
              <w:jc w:val="both"/>
            </w:pPr>
            <w:r>
              <w:t xml:space="preserve">максимальный процент застройки в границах земельного участка – 60%;  </w:t>
            </w:r>
            <w:r/>
          </w:p>
          <w:p>
            <w:pPr>
              <w:ind w:left="142" w:right="207"/>
              <w:jc w:val="both"/>
            </w:pPr>
            <w:r>
              <w:t xml:space="preserve">минимальные отступы до основного строения от красной линии – 5 м или по сложившейся линии застройки; до иных границ – 3 м.</w:t>
            </w:r>
            <w:r/>
          </w:p>
          <w:p>
            <w:pPr>
              <w:ind w:left="142" w:right="117"/>
              <w:tabs>
                <w:tab w:val="left" w:pos="2520" w:leader="none"/>
              </w:tabs>
              <w:rPr>
                <w:rFonts w:eastAsia="SimSun"/>
                <w:b/>
                <w:strike/>
                <w:lang w:eastAsia="zh-CN" w:bidi="ru-RU"/>
              </w:rPr>
            </w:pPr>
            <w:r>
              <w:t xml:space="preserve">Минимальный процент озеленения земельного участка 15%.</w:t>
            </w:r>
            <w:r/>
          </w:p>
        </w:tc>
        <w:tc>
          <w:tcPr>
            <w:tcW w:w="2977" w:type="dxa"/>
            <w:vMerge w:val="restart"/>
            <w:textDirection w:val="lrTb"/>
            <w:noWrap w:val="false"/>
          </w:tcPr>
          <w:p>
            <w:pPr>
              <w:ind w:right="65" w:firstLine="142"/>
              <w:jc w:val="both"/>
              <w:tabs>
                <w:tab w:val="left" w:pos="2761" w:leader="none"/>
                <w:tab w:val="left" w:pos="3071" w:leader="none"/>
              </w:tabs>
              <w:rPr>
                <w:shd w:val="clear" w:color="auto" w:fill="ffffff"/>
              </w:rPr>
            </w:pPr>
            <w:r>
              <w:rPr>
                <w:shd w:val="clear" w:color="auto" w:fill="ffffff"/>
              </w:rPr>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21 настоящих Правил.</w:t>
            </w:r>
            <w:r/>
          </w:p>
          <w:p>
            <w:pPr>
              <w:ind w:right="65" w:firstLine="142"/>
              <w:jc w:val="both"/>
              <w:tabs>
                <w:tab w:val="left" w:pos="2761" w:leader="none"/>
                <w:tab w:val="left" w:pos="3071" w:leader="none"/>
              </w:tabs>
            </w:pPr>
            <w:r/>
            <w:r/>
          </w:p>
          <w:p>
            <w:pPr>
              <w:ind w:right="65" w:firstLine="142"/>
              <w:jc w:val="both"/>
              <w:tabs>
                <w:tab w:val="left" w:pos="2761" w:leader="none"/>
                <w:tab w:val="left" w:pos="3071" w:leader="none"/>
              </w:tabs>
            </w:pPr>
            <w: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r/>
          </w:p>
          <w:p>
            <w:pPr>
              <w:ind w:right="65" w:firstLine="142"/>
              <w:jc w:val="both"/>
              <w:widowControl/>
              <w:tabs>
                <w:tab w:val="left" w:pos="2761" w:leader="none"/>
              </w:tabs>
              <w:rPr>
                <w:lang w:eastAsia="ru-RU"/>
              </w:rPr>
            </w:pPr>
            <w:r>
              <w:rPr>
                <w:lang w:eastAsia="ru-RU"/>
              </w:rPr>
              <w:t xml:space="preserve">Допускает</w:t>
            </w:r>
            <w:r>
              <w:rPr>
                <w:lang w:eastAsia="ru-RU"/>
              </w:rPr>
              <w:t xml:space="preserve">ся блокировка зданий, строений и сооружений, расположенных на смежных земельных участках, по письменному согласию правообладателей смежных земельных участков и (или) объектов капитального строительства, подпись которых должна быть удостоверена нотариально;</w:t>
            </w:r>
            <w:r/>
          </w:p>
          <w:p>
            <w:pPr>
              <w:ind w:right="65" w:firstLine="142"/>
              <w:jc w:val="both"/>
              <w:widowControl/>
              <w:tabs>
                <w:tab w:val="left" w:pos="2761" w:leader="none"/>
              </w:tabs>
              <w:rPr>
                <w:lang w:eastAsia="ru-RU"/>
              </w:rPr>
            </w:pPr>
            <w:r>
              <w:rPr>
                <w:lang w:eastAsia="ru-RU"/>
              </w:rPr>
              <w:t xml:space="preserve">поднятие уровня земельного участка путем отсыпки грунта </w:t>
            </w:r>
            <w:r>
              <w:rPr>
                <w:lang w:eastAsia="ru-RU"/>
              </w:rPr>
              <w:t xml:space="preserve">при наличии письменного согласия правообладателей смежных земельных участков, подпись которых должна быть удостоверена нотариально.</w:t>
            </w:r>
            <w:r/>
          </w:p>
          <w:p>
            <w:pPr>
              <w:ind w:right="65" w:firstLine="142"/>
              <w:jc w:val="both"/>
              <w:tabs>
                <w:tab w:val="left" w:pos="2761" w:leader="none"/>
                <w:tab w:val="left" w:pos="3071" w:leader="none"/>
              </w:tabs>
              <w:rPr>
                <w:rFonts w:eastAsia="Calibri"/>
                <w:lang w:eastAsia="en-US"/>
              </w:rPr>
            </w:pPr>
            <w:r>
              <w:rPr>
                <w:rFonts w:eastAsia="Calibri"/>
                <w:lang w:eastAsia="en-US"/>
              </w:rPr>
            </w:r>
            <w:r/>
          </w:p>
          <w:p>
            <w:pPr>
              <w:ind w:right="65" w:firstLine="142"/>
              <w:jc w:val="both"/>
              <w:tabs>
                <w:tab w:val="left" w:pos="2761" w:leader="none"/>
                <w:tab w:val="left" w:pos="3071" w:leader="none"/>
              </w:tabs>
            </w:pPr>
            <w:r>
              <w:rPr>
                <w:lang w:eastAsia="ru-RU"/>
              </w:rPr>
              <w:t xml:space="preserve">Для строительства объектов в зоне затопления или подтопления необходимо предусматривать мероприятия, предусмотренные частью 10 статьи 21 настоящих Правил.</w:t>
            </w:r>
            <w:r/>
          </w:p>
          <w:p>
            <w:pPr>
              <w:ind w:right="65" w:firstLine="142"/>
              <w:jc w:val="both"/>
              <w:tabs>
                <w:tab w:val="left" w:pos="2761" w:leader="none"/>
              </w:tabs>
              <w:rPr>
                <w:rFonts w:eastAsia="Calibri"/>
              </w:rPr>
            </w:pPr>
            <w:r>
              <w:rPr>
                <w:rFonts w:eastAsia="Calibri"/>
              </w:rPr>
            </w:r>
            <w:r/>
          </w:p>
          <w:p>
            <w:pPr>
              <w:ind w:right="65" w:firstLine="142"/>
              <w:jc w:val="both"/>
              <w:tabs>
                <w:tab w:val="left" w:pos="2761" w:leader="none"/>
                <w:tab w:val="left" w:pos="3071" w:leader="none"/>
              </w:tabs>
            </w:pPr>
            <w:r>
              <w:rPr>
                <w:shd w:val="clear" w:color="auto" w:fill="ffffff"/>
                <w:lang w:eastAsia="ru-RU"/>
              </w:rPr>
              <w:t xml:space="preserve">Факт наличия </w:t>
            </w:r>
            <w:r>
              <w:rPr>
                <w:lang w:eastAsia="ru-RU"/>
              </w:rPr>
              <w:t xml:space="preserve">неблагоприятных характеристик земельного участка, а также прямая зависимость таких характеристик с испрашиваемыми отклонениями от предельных параметров</w:t>
            </w:r>
            <w:r>
              <w:rPr>
                <w:shd w:val="clear" w:color="auto" w:fill="ffffff"/>
                <w:lang w:eastAsia="ru-RU"/>
              </w:rPr>
              <w:t xml:space="preserve"> должны подтверждаться </w:t>
            </w:r>
            <w:r>
              <w:rPr>
                <w:lang w:eastAsia="ru-RU"/>
              </w:rPr>
              <w:t xml:space="preserve">заключением аккредитованных экспертов.</w:t>
            </w:r>
            <w:r/>
          </w:p>
          <w:p>
            <w:pPr>
              <w:ind w:right="207" w:firstLine="142"/>
              <w:jc w:val="both"/>
              <w:tabs>
                <w:tab w:val="left" w:pos="2761" w:leader="none"/>
                <w:tab w:val="left" w:pos="3071" w:leader="none"/>
              </w:tabs>
            </w:pPr>
            <w:r/>
            <w:r/>
          </w:p>
          <w:p>
            <w:pPr>
              <w:ind w:right="207" w:firstLine="142"/>
              <w:jc w:val="both"/>
              <w:tabs>
                <w:tab w:val="left" w:pos="2761" w:leader="none"/>
                <w:tab w:val="left" w:pos="3071" w:leader="none"/>
              </w:tabs>
              <w:rPr>
                <w:rFonts w:eastAsia="SimSun"/>
                <w:lang w:eastAsia="zh-CN" w:bidi="ru-RU"/>
              </w:rPr>
            </w:pPr>
            <w:r>
              <w:rPr>
                <w:rFonts w:eastAsia="SimSun"/>
                <w:lang w:eastAsia="zh-CN" w:bidi="ru-RU"/>
              </w:rPr>
              <w:t xml:space="preserve">Наземные стоянки и парковки для обе</w:t>
            </w:r>
            <w:r>
              <w:rPr>
                <w:rFonts w:eastAsia="SimSun"/>
                <w:lang w:eastAsia="zh-CN" w:bidi="ru-RU"/>
              </w:rPr>
              <w:t xml:space="preserve">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r/>
          </w:p>
          <w:p>
            <w:pPr>
              <w:ind w:right="207" w:firstLine="142"/>
              <w:jc w:val="both"/>
              <w:tabs>
                <w:tab w:val="left" w:pos="2761" w:leader="none"/>
                <w:tab w:val="left" w:pos="3071" w:leader="none"/>
              </w:tabs>
              <w:rPr>
                <w:rFonts w:eastAsia="SimSun"/>
                <w:lang w:eastAsia="zh-CN" w:bidi="ru-RU"/>
              </w:rPr>
            </w:pPr>
            <w:r>
              <w:rPr>
                <w:rFonts w:eastAsia="SimSun"/>
                <w:lang w:eastAsia="zh-CN" w:bidi="ru-RU"/>
              </w:rPr>
            </w:r>
            <w:r/>
          </w:p>
          <w:p>
            <w:pPr>
              <w:ind w:right="207" w:firstLine="142"/>
              <w:jc w:val="both"/>
              <w:tabs>
                <w:tab w:val="left" w:pos="2761" w:leader="none"/>
                <w:tab w:val="left" w:pos="3071" w:leader="none"/>
              </w:tabs>
            </w:pPr>
            <w:r>
              <w:t xml:space="preserve">Использование земельных участков и объектов капитального строительства осуществлять с учетом режимов зон с особыми </w:t>
            </w:r>
            <w:r>
              <w:t xml:space="preserve">условиями использования территорий.</w:t>
            </w:r>
            <w:r/>
          </w:p>
          <w:p>
            <w:pPr>
              <w:ind w:right="207" w:firstLine="142"/>
              <w:jc w:val="both"/>
              <w:widowControl/>
              <w:tabs>
                <w:tab w:val="left" w:pos="2761" w:leader="none"/>
              </w:tabs>
              <w:rPr>
                <w:lang w:eastAsia="ru-RU"/>
              </w:rPr>
            </w:pPr>
            <w:r>
              <w:rPr>
                <w:lang w:eastAsia="ru-RU"/>
              </w:rPr>
            </w:r>
            <w:r/>
          </w:p>
          <w:p>
            <w:pPr>
              <w:ind w:right="207" w:firstLine="142"/>
              <w:jc w:val="both"/>
              <w:widowControl/>
              <w:tabs>
                <w:tab w:val="left" w:pos="2761" w:leader="none"/>
              </w:tabs>
              <w:rPr>
                <w:lang w:eastAsia="ru-RU"/>
              </w:rPr>
            </w:pPr>
            <w:r>
              <w:rPr>
                <w:lang w:eastAsia="ru-RU"/>
              </w:rPr>
              <w:t xml:space="preserve">Объекты по оказанию услуг и обслуживанию населения допускается размещать в отдельно стоящих, встроенных или пристроенных строениях с изолированными от жилых зданий или их частей входами с учетом следующих условий:</w:t>
            </w:r>
            <w:r/>
          </w:p>
          <w:p>
            <w:pPr>
              <w:ind w:right="207" w:firstLine="142"/>
              <w:jc w:val="both"/>
              <w:widowControl/>
              <w:tabs>
                <w:tab w:val="left" w:pos="2761" w:leader="none"/>
              </w:tabs>
              <w:rPr>
                <w:lang w:eastAsia="ru-RU"/>
              </w:rPr>
            </w:pPr>
            <w:r>
              <w:rPr>
                <w:lang w:eastAsia="ru-RU"/>
              </w:rPr>
              <w:t xml:space="preserve">обустройство входа с созданием условий для беспрепятственного доступа маломобильных граждан к месту получения услуги (обслуживания);</w:t>
            </w:r>
            <w:r/>
          </w:p>
          <w:p>
            <w:pPr>
              <w:ind w:right="207" w:firstLine="142"/>
              <w:jc w:val="both"/>
              <w:widowControl/>
              <w:tabs>
                <w:tab w:val="left" w:pos="2761" w:leader="none"/>
              </w:tabs>
              <w:rPr>
                <w:lang w:eastAsia="ru-RU"/>
              </w:rPr>
            </w:pPr>
            <w:r>
              <w:rPr>
                <w:lang w:eastAsia="ru-RU"/>
              </w:rPr>
              <w:t xml:space="preserve">оборудование площадок для стоянки автомобилей посетителей;</w:t>
            </w:r>
            <w:r/>
          </w:p>
          <w:p>
            <w:pPr>
              <w:ind w:right="207" w:firstLine="142"/>
              <w:jc w:val="both"/>
              <w:widowControl/>
              <w:tabs>
                <w:tab w:val="left" w:pos="416" w:leader="none"/>
                <w:tab w:val="left" w:pos="1266" w:leader="none"/>
                <w:tab w:val="left" w:pos="2761" w:leader="none"/>
              </w:tabs>
              <w:rPr>
                <w:lang w:eastAsia="ru-RU"/>
              </w:rPr>
            </w:pPr>
            <w:r>
              <w:rPr>
                <w:lang w:eastAsia="ru-RU"/>
              </w:rPr>
              <w:t xml:space="preserve">соблюдение норм благоустройства, установленных соответствующими муниципальными правовыми актами.</w:t>
            </w:r>
            <w:r/>
          </w:p>
          <w:p>
            <w:pPr>
              <w:ind w:right="207" w:firstLine="142"/>
              <w:jc w:val="both"/>
              <w:widowControl/>
              <w:tabs>
                <w:tab w:val="left" w:pos="416" w:leader="none"/>
                <w:tab w:val="left" w:pos="1266" w:leader="none"/>
                <w:tab w:val="left" w:pos="2761" w:leader="none"/>
              </w:tabs>
              <w:rPr>
                <w:lang w:eastAsia="ru-RU"/>
              </w:rPr>
            </w:pPr>
            <w:r>
              <w:rPr>
                <w:lang w:eastAsia="ru-RU"/>
              </w:rPr>
            </w:r>
            <w:r/>
          </w:p>
          <w:p>
            <w:pPr>
              <w:ind w:right="207" w:firstLine="142"/>
              <w:jc w:val="both"/>
              <w:tabs>
                <w:tab w:val="left" w:pos="2761" w:leader="none"/>
              </w:tabs>
              <w:rPr>
                <w:rFonts w:eastAsia="Calibri"/>
              </w:rPr>
            </w:pPr>
            <w:r>
              <w:rPr>
                <w:rFonts w:eastAsia="Calibri"/>
              </w:rPr>
              <w:t xml:space="preserve">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r/>
          </w:p>
          <w:p>
            <w:pPr>
              <w:ind w:right="207" w:firstLine="142"/>
              <w:jc w:val="both"/>
              <w:tabs>
                <w:tab w:val="left" w:pos="2761" w:leader="none"/>
              </w:tabs>
              <w:rPr>
                <w:rFonts w:eastAsia="Calibri"/>
              </w:rPr>
            </w:pPr>
            <w:r>
              <w:rPr>
                <w:lang w:eastAsia="ru-RU"/>
              </w:rPr>
              <w:t xml:space="preserve">Расчетное количество машино-мест (парковочных мест) на автостоянках для парковки автомобилей в границах отведенного земельного участка для объектов общественного </w:t>
            </w:r>
            <w:r>
              <w:rPr>
                <w:lang w:eastAsia="ru-RU"/>
              </w:rPr>
              <w:t xml:space="preserve">назначения следует принимать в значениях, указанных в части 8 статьи 21 настоящих Правил.</w:t>
            </w:r>
            <w:r/>
          </w:p>
          <w:p>
            <w:pPr>
              <w:ind w:right="207" w:firstLine="142"/>
              <w:jc w:val="both"/>
              <w:tabs>
                <w:tab w:val="left" w:pos="2761" w:leader="none"/>
              </w:tabs>
              <w:rPr>
                <w:rFonts w:eastAsia="Calibri"/>
              </w:rPr>
            </w:pPr>
            <w:r>
              <w:rPr>
                <w:rFonts w:eastAsia="Calibri"/>
              </w:rPr>
            </w:r>
            <w:r/>
          </w:p>
          <w:p>
            <w:pPr>
              <w:ind w:right="207" w:firstLine="142"/>
              <w:jc w:val="both"/>
              <w:tabs>
                <w:tab w:val="left" w:pos="2761" w:leader="none"/>
              </w:tabs>
              <w:rPr>
                <w:rFonts w:eastAsia="Calibri"/>
              </w:rPr>
            </w:pPr>
            <w:r>
              <w:rPr>
                <w:rFonts w:eastAsia="Calibri"/>
              </w:rPr>
              <w:t xml:space="preserve">Допус</w:t>
            </w:r>
            <w:r>
              <w:rPr>
                <w:rFonts w:eastAsia="Calibri"/>
              </w:rPr>
              <w:t xml:space="preserve">кается размещение парковок на землях общего пользования при наличии таких парковок с необходимым количеством парковочных мест по письменному согласованию с органами местного самоуправления сельского поселения в соответствии с действующим законодательством.</w:t>
            </w:r>
            <w:r/>
          </w:p>
          <w:p>
            <w:pPr>
              <w:ind w:right="207" w:firstLine="142"/>
              <w:jc w:val="both"/>
              <w:tabs>
                <w:tab w:val="left" w:pos="2761" w:leader="none"/>
              </w:tabs>
              <w:rPr>
                <w:rFonts w:eastAsia="Calibri"/>
              </w:rPr>
            </w:pPr>
            <w:r>
              <w:rPr>
                <w:rFonts w:eastAsia="Calibri"/>
              </w:rPr>
            </w:r>
            <w:r/>
          </w:p>
          <w:p>
            <w:pPr>
              <w:ind w:right="207" w:firstLine="142"/>
              <w:jc w:val="both"/>
              <w:tabs>
                <w:tab w:val="left" w:pos="2761" w:leader="none"/>
              </w:tabs>
              <w:rPr>
                <w:shd w:val="clear" w:color="auto" w:fill="ffffff"/>
              </w:rPr>
            </w:pPr>
            <w:r>
              <w:rPr>
                <w:rFonts w:eastAsia="Calibri"/>
              </w:rPr>
              <w:t xml:space="preserve">При отсутствии в материалах проектной документации расчета СЗЗ, СЗЗ принимать в соответствии с СанПиН</w:t>
            </w:r>
            <w:r>
              <w:rPr>
                <w:shd w:val="clear" w:color="auto" w:fill="ffffff"/>
              </w:rPr>
              <w:t xml:space="preserve">2.2.1/2.1.1.1200-03"</w:t>
            </w:r>
            <w:r>
              <w:rPr>
                <w:bCs/>
                <w:shd w:val="clear" w:color="auto" w:fill="ffffff"/>
              </w:rPr>
              <w:t xml:space="preserve">Санитарно-защитные</w:t>
            </w:r>
            <w:r>
              <w:rPr>
                <w:shd w:val="clear" w:color="auto" w:fill="ffffff"/>
              </w:rPr>
              <w:t xml:space="preserve"> </w:t>
            </w:r>
            <w:r>
              <w:rPr>
                <w:bCs/>
                <w:shd w:val="clear" w:color="auto" w:fill="ffffff"/>
              </w:rPr>
              <w:t xml:space="preserve">зоны</w:t>
            </w:r>
            <w:r>
              <w:rPr>
                <w:shd w:val="clear" w:color="auto" w:fill="ffffff"/>
              </w:rPr>
              <w:t xml:space="preserve"> и </w:t>
            </w:r>
            <w:r>
              <w:rPr>
                <w:bCs/>
                <w:shd w:val="clear" w:color="auto" w:fill="ffffff"/>
              </w:rPr>
              <w:t xml:space="preserve">санитарная</w:t>
            </w:r>
            <w:r>
              <w:rPr>
                <w:shd w:val="clear" w:color="auto" w:fill="ffffff"/>
              </w:rPr>
              <w:t xml:space="preserve"> </w:t>
            </w:r>
            <w:r>
              <w:rPr>
                <w:bCs/>
                <w:shd w:val="clear" w:color="auto" w:fill="ffffff"/>
              </w:rPr>
              <w:t xml:space="preserve">классификация</w:t>
            </w:r>
            <w:r>
              <w:rPr>
                <w:shd w:val="clear" w:color="auto" w:fill="ffffff"/>
              </w:rPr>
              <w:t xml:space="preserve"> </w:t>
            </w:r>
            <w:r>
              <w:rPr>
                <w:bCs/>
                <w:shd w:val="clear" w:color="auto" w:fill="ffffff"/>
              </w:rPr>
              <w:t xml:space="preserve">предприятий</w:t>
            </w:r>
            <w:r>
              <w:rPr>
                <w:shd w:val="clear" w:color="auto" w:fill="ffffff"/>
              </w:rPr>
              <w:t xml:space="preserve">, </w:t>
            </w:r>
            <w:r>
              <w:rPr>
                <w:bCs/>
                <w:shd w:val="clear" w:color="auto" w:fill="ffffff"/>
              </w:rPr>
              <w:t xml:space="preserve">сооружений</w:t>
            </w:r>
            <w:r>
              <w:rPr>
                <w:shd w:val="clear" w:color="auto" w:fill="ffffff"/>
              </w:rPr>
              <w:t xml:space="preserve"> и иных объектов".</w:t>
            </w:r>
            <w:r/>
          </w:p>
          <w:p>
            <w:pPr>
              <w:ind w:right="207" w:firstLine="142"/>
              <w:jc w:val="both"/>
              <w:tabs>
                <w:tab w:val="left" w:pos="2761" w:leader="none"/>
                <w:tab w:val="left" w:pos="3071" w:leader="none"/>
              </w:tabs>
              <w:rPr>
                <w:rFonts w:eastAsia="SimSun"/>
                <w:lang w:eastAsia="zh-CN" w:bidi="ru-RU"/>
              </w:rPr>
            </w:pPr>
            <w:r>
              <w:rPr>
                <w:rFonts w:eastAsia="SimSun"/>
                <w:lang w:eastAsia="zh-CN" w:bidi="ru-RU"/>
              </w:rPr>
            </w:r>
            <w:r/>
          </w:p>
          <w:p>
            <w:pPr>
              <w:ind w:right="207" w:firstLine="142"/>
              <w:jc w:val="both"/>
              <w:tabs>
                <w:tab w:val="left" w:pos="2761" w:leader="none"/>
              </w:tabs>
              <w:rPr>
                <w:rFonts w:eastAsia="Calibri"/>
              </w:rPr>
            </w:pPr>
            <w:r>
              <w:rPr>
                <w:shd w:val="clear" w:color="auto" w:fill="ffffff"/>
              </w:rPr>
              <w:t xml:space="preserve">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w:t>
            </w:r>
            <w:r/>
          </w:p>
          <w:p>
            <w:pPr>
              <w:ind w:right="207" w:firstLine="142"/>
              <w:jc w:val="both"/>
              <w:tabs>
                <w:tab w:val="left" w:pos="2761" w:leader="none"/>
              </w:tabs>
              <w:rPr>
                <w:rFonts w:cs="Arial"/>
                <w:lang w:eastAsia="ru-RU"/>
              </w:rPr>
            </w:pPr>
            <w:r>
              <w:rPr>
                <w:rFonts w:cs="Arial"/>
                <w:lang w:eastAsia="ru-RU"/>
              </w:rPr>
              <w:t xml:space="preserve">Режимы использования земель и требования к градостроительным регламентам в границах зон охраны объекта культурного наследия не применяются к </w:t>
            </w:r>
            <w:r>
              <w:rPr>
                <w:rFonts w:cs="Arial"/>
                <w:lang w:eastAsia="ru-RU"/>
              </w:rPr>
              <w:t xml:space="preserve">правоотношениям, связанны</w:t>
            </w:r>
            <w:r>
              <w:rPr>
                <w:rFonts w:cs="Arial"/>
                <w:lang w:eastAsia="ru-RU"/>
              </w:rPr>
              <w:t xml:space="preserve">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 до вступления в силу правового акта об утверждении зон охраны объекта культурного наследия.</w:t>
            </w:r>
            <w:r/>
          </w:p>
          <w:p>
            <w:pPr>
              <w:ind w:right="207" w:firstLine="142"/>
              <w:jc w:val="both"/>
              <w:tabs>
                <w:tab w:val="left" w:pos="2761" w:leader="none"/>
              </w:tabs>
              <w:rPr>
                <w:rFonts w:cs="Arial"/>
                <w:lang w:eastAsia="ru-RU"/>
              </w:rPr>
            </w:pPr>
            <w:r>
              <w:rPr>
                <w:rFonts w:cs="Arial"/>
                <w:lang w:eastAsia="ru-RU"/>
              </w:rPr>
              <w:t xml:space="preserve">Реконструкция объектов капитального строительства и их частей может осуществляться только путем приведения таких объе</w:t>
            </w:r>
            <w:r>
              <w:rPr>
                <w:rFonts w:cs="Arial"/>
                <w:lang w:eastAsia="ru-RU"/>
              </w:rPr>
              <w:t xml:space="preserve">ктов в соответствие с режимами использования земель и градостроительными регламентами, установленными в границах зон охраны объекта культурного наследия, или путем уменьшения их несоответствия установленным предельным параметрам разрешенного строительства.</w:t>
            </w:r>
            <w:r/>
          </w:p>
          <w:p>
            <w:pPr>
              <w:ind w:right="207" w:firstLine="142"/>
              <w:jc w:val="both"/>
              <w:tabs>
                <w:tab w:val="left" w:pos="2761" w:leader="none"/>
              </w:tabs>
              <w:rPr>
                <w:rFonts w:cs="Arial"/>
                <w:lang w:eastAsia="ru-RU"/>
              </w:rPr>
            </w:pPr>
            <w:r>
              <w:rPr>
                <w:rFonts w:cs="Arial"/>
                <w:lang w:eastAsia="ru-RU"/>
              </w:rPr>
              <w:t xml:space="preserve">На территориях общего пользования не раз</w:t>
            </w:r>
            <w:r>
              <w:rPr>
                <w:rFonts w:cs="Arial"/>
                <w:lang w:eastAsia="ru-RU"/>
              </w:rPr>
              <w:t xml:space="preserve">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w:t>
            </w:r>
            <w:r>
              <w:rPr>
                <w:rFonts w:cs="Arial"/>
                <w:lang w:eastAsia="ru-RU"/>
              </w:rPr>
              <w:t xml:space="preserve">для обеспечения дорожного движения и т.п.).</w:t>
            </w:r>
            <w:r/>
          </w:p>
          <w:p>
            <w:pPr>
              <w:ind w:right="207" w:firstLine="142"/>
              <w:jc w:val="both"/>
              <w:tabs>
                <w:tab w:val="left" w:pos="2761" w:leader="none"/>
              </w:tabs>
            </w:pPr>
            <w:r>
              <w:rPr>
                <w:rFonts w:cs="Arial"/>
                <w:lang w:eastAsia="ru-RU"/>
              </w:rPr>
              <w:t xml:space="preserve">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r/>
          </w:p>
          <w:p>
            <w:pPr>
              <w:ind w:right="207" w:firstLine="142"/>
              <w:jc w:val="both"/>
              <w:tabs>
                <w:tab w:val="left" w:pos="2761" w:leader="none"/>
              </w:tabs>
            </w:pPr>
            <w:r/>
            <w:r/>
          </w:p>
          <w:p>
            <w:pPr>
              <w:ind w:right="165" w:firstLine="142"/>
              <w:jc w:val="both"/>
              <w:tabs>
                <w:tab w:val="left" w:pos="2761" w:leader="none"/>
              </w:tabs>
              <w:rPr>
                <w:rFonts w:eastAsia="Calibri"/>
              </w:rPr>
            </w:pPr>
            <w:r>
              <w:rPr>
                <w:rFonts w:eastAsia="Calibri"/>
              </w:rPr>
              <w:t xml:space="preserve">Рекомендуемые размеры земельного участка для дошкольных учреждений, кв.м  на 1 место:</w:t>
            </w:r>
            <w:r/>
          </w:p>
          <w:p>
            <w:pPr>
              <w:ind w:right="165" w:firstLine="142"/>
              <w:jc w:val="both"/>
              <w:tabs>
                <w:tab w:val="left" w:pos="2761" w:leader="none"/>
              </w:tabs>
              <w:rPr>
                <w:rFonts w:eastAsia="Calibri"/>
              </w:rPr>
            </w:pPr>
            <w:r>
              <w:rPr>
                <w:rFonts w:eastAsia="Calibri"/>
              </w:rPr>
              <w:t xml:space="preserve">для отдельно стоящих зданий при вместимости до 100 мест - 40, свыше 100 мест - 35, в комплексе яслей - садов свыше 500 мест - 30, для встроенных при вместимости более 100 мест - не менее 29.</w:t>
            </w:r>
            <w:r/>
          </w:p>
          <w:p>
            <w:pPr>
              <w:ind w:right="165" w:firstLine="142"/>
              <w:jc w:val="both"/>
              <w:tabs>
                <w:tab w:val="left" w:pos="2761" w:leader="none"/>
              </w:tabs>
              <w:rPr>
                <w:rFonts w:eastAsia="Calibri"/>
              </w:rPr>
            </w:pPr>
            <w:r>
              <w:rPr>
                <w:rFonts w:eastAsia="Calibri"/>
              </w:rPr>
              <w:t xml:space="preserve">Размеры земельных участков могут быть уменьшены: на 25% - в условиях реконструкции; на 15% - при размещении на рельефе с уклоном более 20%; на 10% - в поселениях - новостройках (за счет сокращения площади озеленения).</w:t>
            </w:r>
            <w:r/>
          </w:p>
          <w:p>
            <w:pPr>
              <w:ind w:right="165" w:firstLine="142"/>
              <w:jc w:val="both"/>
              <w:tabs>
                <w:tab w:val="left" w:pos="2761" w:leader="none"/>
              </w:tabs>
              <w:rPr>
                <w:rFonts w:eastAsia="Calibri"/>
              </w:rPr>
            </w:pPr>
            <w:r>
              <w:rPr>
                <w:rFonts w:eastAsia="Calibri"/>
              </w:rPr>
            </w:r>
            <w:r/>
          </w:p>
          <w:p>
            <w:pPr>
              <w:ind w:right="165" w:firstLine="142"/>
              <w:jc w:val="both"/>
              <w:tabs>
                <w:tab w:val="left" w:pos="2761" w:leader="none"/>
              </w:tabs>
              <w:rPr>
                <w:rFonts w:eastAsia="Calibri"/>
              </w:rPr>
            </w:pPr>
            <w:r>
              <w:rPr>
                <w:rFonts w:eastAsia="Calibri"/>
              </w:rPr>
              <w:t xml:space="preserve">Для среднеобразовательных учреждений, кв. м на 1 место:</w:t>
            </w:r>
            <w:r/>
          </w:p>
          <w:p>
            <w:pPr>
              <w:ind w:right="165" w:firstLine="142"/>
              <w:jc w:val="both"/>
              <w:tabs>
                <w:tab w:val="left" w:pos="2761" w:leader="none"/>
              </w:tabs>
              <w:rPr>
                <w:rFonts w:eastAsia="Calibri"/>
              </w:rPr>
            </w:pPr>
            <w:r>
              <w:rPr>
                <w:rFonts w:eastAsia="Calibri"/>
              </w:rPr>
              <w:t xml:space="preserve">при вместимости: до 400 мест – 50;  400 - 500 мест – 60; 500 - 600 мест – 50; 600 - 800 мест – 40; 800 - 1100 мест – 33; 1100 - 1500 мест – 21; 1500 - 2000 мест – 17; 2000 и более - 16, с учетом площади спортивной зоны и здания </w:t>
            </w:r>
            <w:r>
              <w:rPr>
                <w:rFonts w:eastAsia="Calibri"/>
              </w:rPr>
              <w:t xml:space="preserve">школы.</w:t>
            </w:r>
            <w:r/>
          </w:p>
          <w:p>
            <w:pPr>
              <w:ind w:right="165" w:firstLine="142"/>
              <w:jc w:val="both"/>
              <w:tabs>
                <w:tab w:val="left" w:pos="2761" w:leader="none"/>
              </w:tabs>
              <w:rPr>
                <w:rFonts w:eastAsia="Calibri"/>
              </w:rPr>
            </w:pPr>
            <w:r>
              <w:rPr>
                <w:rFonts w:eastAsia="Calibri"/>
              </w:rPr>
            </w:r>
            <w:r/>
          </w:p>
          <w:p>
            <w:pPr>
              <w:ind w:right="165" w:firstLine="142"/>
              <w:jc w:val="both"/>
              <w:tabs>
                <w:tab w:val="left" w:pos="2761" w:leader="none"/>
              </w:tabs>
              <w:rPr>
                <w:rFonts w:eastAsia="Calibri"/>
              </w:rPr>
            </w:pPr>
            <w:r>
              <w:rPr>
                <w:rFonts w:eastAsia="Calibri"/>
              </w:rPr>
              <w:t xml:space="preserve">В условиях реконструкции возможно уменьшение на 20 % или увеличение на 30 % - в сельских поселениях, если для организации учебно-опытной работы не предусмотрены специальные участки на землях сельскохозяйственного использования.</w:t>
            </w:r>
            <w:r/>
          </w:p>
          <w:p>
            <w:pPr>
              <w:ind w:right="165" w:firstLine="142"/>
              <w:jc w:val="both"/>
              <w:tabs>
                <w:tab w:val="left" w:pos="2761" w:leader="none"/>
              </w:tabs>
              <w:rPr>
                <w:rFonts w:eastAsia="Calibri"/>
              </w:rPr>
            </w:pPr>
            <w:r>
              <w:rPr>
                <w:rFonts w:eastAsia="Calibri"/>
              </w:rPr>
            </w:r>
            <w:r/>
          </w:p>
          <w:p>
            <w:pPr>
              <w:ind w:right="165" w:firstLine="142"/>
              <w:jc w:val="both"/>
              <w:tabs>
                <w:tab w:val="left" w:pos="2761" w:leader="none"/>
              </w:tabs>
              <w:rPr>
                <w:rFonts w:eastAsia="Calibri"/>
              </w:rPr>
            </w:pPr>
            <w:r>
              <w:rPr>
                <w:rFonts w:eastAsia="Calibri"/>
              </w:rPr>
              <w:t xml:space="preserve">В сложившейся плотной застройке, при дефиците уч</w:t>
            </w:r>
            <w:r>
              <w:rPr>
                <w:rFonts w:eastAsia="Calibri"/>
              </w:rPr>
              <w:t xml:space="preserve">астка территории, допускается располагать отдельные зоны территории общеобразовательной организации (физкультурно-оздоровительную, учебно-опытную и т.д.) на автономных участках, находящихся в пешеходной доступности от здания общеобразовательной организации</w:t>
            </w:r>
            <w:r/>
          </w:p>
          <w:p>
            <w:pPr>
              <w:ind w:left="118" w:right="165"/>
              <w:jc w:val="both"/>
              <w:rPr>
                <w:rFonts w:eastAsia="Calibri"/>
              </w:rPr>
            </w:pPr>
            <w:r>
              <w:rPr>
                <w:rFonts w:eastAsia="Calibri"/>
              </w:rPr>
            </w:r>
            <w:r/>
          </w:p>
          <w:p>
            <w:pPr>
              <w:ind w:left="118" w:right="132"/>
              <w:jc w:val="both"/>
              <w:rPr>
                <w:shd w:val="clear" w:color="auto" w:fill="ffffff"/>
              </w:rPr>
            </w:pPr>
            <w:r>
              <w:rPr>
                <w:shd w:val="clear" w:color="auto" w:fill="ffffff"/>
              </w:rPr>
            </w:r>
            <w:r/>
          </w:p>
        </w:tc>
      </w:tr>
      <w:tr>
        <w:trPr>
          <w:trHeight w:val="20"/>
        </w:trPr>
        <w:tc>
          <w:tcPr>
            <w:tcW w:w="3114" w:type="dxa"/>
            <w:textDirection w:val="lrTb"/>
            <w:noWrap w:val="false"/>
          </w:tcPr>
          <w:p>
            <w:pPr>
              <w:ind w:left="142" w:right="117"/>
              <w:tabs>
                <w:tab w:val="left" w:pos="2520" w:leader="none"/>
              </w:tabs>
              <w:rPr>
                <w:rFonts w:eastAsia="SimSun"/>
                <w:lang w:eastAsia="zh-CN" w:bidi="ru-RU"/>
              </w:rPr>
            </w:pPr>
            <w:r>
              <w:rPr>
                <w:rFonts w:eastAsia="SimSun"/>
                <w:lang w:eastAsia="zh-CN" w:bidi="ru-RU"/>
              </w:rPr>
              <w:t xml:space="preserve">[3.1.1] </w:t>
            </w:r>
            <w:r/>
          </w:p>
          <w:p>
            <w:pPr>
              <w:ind w:left="142" w:right="117"/>
              <w:tabs>
                <w:tab w:val="left" w:pos="2520" w:leader="none"/>
              </w:tabs>
              <w:rPr>
                <w:shd w:val="clear" w:color="auto" w:fill="ffffff"/>
              </w:rPr>
            </w:pPr>
            <w:r>
              <w:rPr>
                <w:shd w:val="clear" w:color="auto" w:fill="ffffff"/>
              </w:rPr>
              <w:t xml:space="preserve">Предоставление коммунальных услуг</w:t>
            </w:r>
            <w:r/>
          </w:p>
        </w:tc>
        <w:tc>
          <w:tcPr>
            <w:tcW w:w="4126" w:type="dxa"/>
            <w:textDirection w:val="lrTb"/>
            <w:noWrap w:val="false"/>
          </w:tcPr>
          <w:p>
            <w:pPr>
              <w:ind w:left="142" w:right="117"/>
              <w:jc w:val="both"/>
              <w:tabs>
                <w:tab w:val="left" w:pos="2520" w:leader="none"/>
              </w:tabs>
            </w:pPr>
            <w: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w:t>
            </w:r>
            <w:r>
              <w:t xml:space="preserve">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r/>
          </w:p>
          <w:p>
            <w:pPr>
              <w:ind w:left="142" w:right="117"/>
              <w:jc w:val="both"/>
              <w:tabs>
                <w:tab w:val="left" w:pos="2520" w:leader="none"/>
              </w:tabs>
            </w:pPr>
            <w:r/>
            <w:r/>
          </w:p>
        </w:tc>
        <w:tc>
          <w:tcPr>
            <w:tcW w:w="4819" w:type="dxa"/>
            <w:textDirection w:val="lrTb"/>
            <w:noWrap w:val="false"/>
          </w:tcPr>
          <w:p>
            <w:pPr>
              <w:ind w:left="142" w:right="117"/>
              <w:jc w:val="both"/>
            </w:pPr>
            <w:r>
              <w:t xml:space="preserve">Минимальная/максимальная площадь земельных участков –10 /1000 кв. м</w:t>
            </w:r>
            <w:r/>
          </w:p>
          <w:p>
            <w:pPr>
              <w:ind w:left="142" w:right="117"/>
              <w:jc w:val="both"/>
            </w:pPr>
            <w:r>
              <w:t xml:space="preserve">максимальное количество надземных этажей зданий – 2;</w:t>
            </w:r>
            <w:r/>
          </w:p>
          <w:p>
            <w:pPr>
              <w:ind w:left="142" w:right="117"/>
              <w:jc w:val="both"/>
            </w:pPr>
            <w:r>
              <w:t xml:space="preserve">максимальная высота зданий, строений, сооружений от уровня земли - 15 м;</w:t>
            </w:r>
            <w:r/>
          </w:p>
          <w:p>
            <w:pPr>
              <w:ind w:left="142" w:right="117"/>
              <w:jc w:val="both"/>
            </w:pPr>
            <w:r>
              <w:t xml:space="preserve">максимальный процент застройки в границах земельного участка – 60%;  </w:t>
            </w:r>
            <w:r/>
          </w:p>
          <w:p>
            <w:pPr>
              <w:ind w:left="142" w:right="117"/>
              <w:jc w:val="both"/>
            </w:pPr>
            <w:r>
              <w:t xml:space="preserve">минимальные отступы до основного строения от красной линии – 5 м или по сложившейся линии застройки, до иных границ – 3 м.Для линейных объектов минимальные отступы – не регламентируются.</w:t>
            </w:r>
            <w:r/>
          </w:p>
          <w:p>
            <w:pPr>
              <w:ind w:left="142" w:right="117"/>
              <w:jc w:val="both"/>
            </w:pPr>
            <w:r>
              <w:t xml:space="preserve">Минимальный процент озеленения земельного участка 15% (за исключением линейных объектов).</w:t>
            </w:r>
            <w:r/>
          </w:p>
        </w:tc>
        <w:tc>
          <w:tcPr>
            <w:tcW w:w="2977" w:type="dxa"/>
            <w:vMerge w:val="continue"/>
            <w:textDirection w:val="lrTb"/>
            <w:noWrap w:val="false"/>
          </w:tcPr>
          <w:p>
            <w:pPr>
              <w:ind w:left="142" w:right="117"/>
              <w:jc w:val="both"/>
              <w:tabs>
                <w:tab w:val="left" w:pos="3071" w:leader="none"/>
              </w:tabs>
              <w:rPr>
                <w:shd w:val="clear" w:color="auto" w:fill="ffffff"/>
              </w:rPr>
            </w:pPr>
            <w:r>
              <w:rPr>
                <w:shd w:val="clear" w:color="auto" w:fill="ffffff"/>
              </w:rPr>
            </w:r>
            <w:r/>
          </w:p>
        </w:tc>
      </w:tr>
      <w:tr>
        <w:trPr>
          <w:trHeight w:val="20"/>
        </w:trPr>
        <w:tc>
          <w:tcPr>
            <w:tcW w:w="3114" w:type="dxa"/>
            <w:textDirection w:val="lrTb"/>
            <w:noWrap w:val="false"/>
          </w:tcPr>
          <w:p>
            <w:pPr>
              <w:ind w:left="142" w:right="117"/>
              <w:tabs>
                <w:tab w:val="left" w:pos="2520" w:leader="none"/>
              </w:tabs>
              <w:rPr>
                <w:rFonts w:eastAsia="SimSun"/>
                <w:lang w:eastAsia="zh-CN" w:bidi="ru-RU"/>
              </w:rPr>
            </w:pPr>
            <w:r>
              <w:rPr>
                <w:rFonts w:eastAsia="SimSun"/>
                <w:lang w:val="en-US" w:eastAsia="zh-CN" w:bidi="ru-RU"/>
              </w:rPr>
              <w:t xml:space="preserve">[</w:t>
            </w:r>
            <w:r>
              <w:rPr>
                <w:rFonts w:eastAsia="SimSun"/>
                <w:lang w:eastAsia="zh-CN" w:bidi="ru-RU"/>
              </w:rPr>
              <w:t xml:space="preserve">3.2.1</w:t>
            </w:r>
            <w:r>
              <w:rPr>
                <w:rFonts w:eastAsia="SimSun"/>
                <w:lang w:val="en-US" w:eastAsia="zh-CN" w:bidi="ru-RU"/>
              </w:rPr>
              <w:t xml:space="preserve">]</w:t>
            </w:r>
            <w:r/>
          </w:p>
          <w:p>
            <w:pPr>
              <w:ind w:left="142" w:right="117"/>
              <w:tabs>
                <w:tab w:val="left" w:pos="2520" w:leader="none"/>
              </w:tabs>
              <w:rPr>
                <w:rFonts w:eastAsia="SimSun"/>
                <w:lang w:eastAsia="zh-CN" w:bidi="ru-RU"/>
              </w:rPr>
            </w:pPr>
            <w:r>
              <w:rPr>
                <w:rFonts w:eastAsia="SimSun"/>
                <w:lang w:eastAsia="zh-CN" w:bidi="ru-RU"/>
              </w:rPr>
              <w:t xml:space="preserve">Дома социального обслуживания</w:t>
            </w:r>
            <w:r/>
          </w:p>
        </w:tc>
        <w:tc>
          <w:tcPr>
            <w:tcW w:w="4126" w:type="dxa"/>
            <w:textDirection w:val="lrTb"/>
            <w:noWrap w:val="false"/>
          </w:tcPr>
          <w:p>
            <w:pPr>
              <w:ind w:left="147" w:right="117" w:hanging="5"/>
              <w:jc w:val="both"/>
              <w:tabs>
                <w:tab w:val="left" w:pos="2520" w:leader="none"/>
              </w:tabs>
            </w:pPr>
            <w:r>
              <w:t xml:space="preserve">Размещение зданий, предназначенных для </w:t>
            </w:r>
            <w:r>
              <w:t xml:space="preserve">размещения домов престарелых, домов ребенка, детских домов, пунктов ночлега для бездомных граждан;</w:t>
            </w:r>
            <w:r/>
          </w:p>
          <w:p>
            <w:pPr>
              <w:ind w:left="147" w:right="117" w:hanging="5"/>
              <w:jc w:val="both"/>
              <w:tabs>
                <w:tab w:val="left" w:pos="2520" w:leader="none"/>
              </w:tabs>
            </w:pPr>
            <w:r>
              <w:t xml:space="preserve">размещение объектов капитального строительства для временного размещения вынужденных переселенцев, лиц, признанных беженцами</w:t>
            </w:r>
            <w:r/>
          </w:p>
          <w:p>
            <w:pPr>
              <w:ind w:right="117"/>
              <w:jc w:val="both"/>
              <w:tabs>
                <w:tab w:val="left" w:pos="2520" w:leader="none"/>
              </w:tabs>
            </w:pPr>
            <w:r/>
            <w:r/>
          </w:p>
        </w:tc>
        <w:tc>
          <w:tcPr>
            <w:tcW w:w="4819" w:type="dxa"/>
            <w:textDirection w:val="lrTb"/>
            <w:noWrap w:val="false"/>
          </w:tcPr>
          <w:p>
            <w:pPr>
              <w:ind w:left="142" w:right="117"/>
              <w:jc w:val="both"/>
            </w:pPr>
            <w:r>
              <w:t xml:space="preserve">Минимальная/максимальная площадь земельных </w:t>
            </w:r>
            <w:r>
              <w:t xml:space="preserve">участков – 400/5000 кв. м; </w:t>
            </w:r>
            <w:r/>
          </w:p>
          <w:p>
            <w:pPr>
              <w:ind w:left="142" w:right="117"/>
              <w:jc w:val="both"/>
            </w:pPr>
            <w:r>
              <w:t xml:space="preserve">ма</w:t>
            </w:r>
            <w:r>
              <w:t xml:space="preserve">ксимальное количество надземных этажей зданий – 3 (включая мансардный этаж);                                                                                                               максимальный процент застройки в границах земельного участка – 60%;  </w:t>
            </w:r>
            <w:r/>
          </w:p>
          <w:p>
            <w:pPr>
              <w:ind w:left="142" w:right="117"/>
              <w:jc w:val="both"/>
            </w:pPr>
            <w:r>
              <w:t xml:space="preserve">минимальные отступы от красной линии – 5 м; от иных границ – 3 м;</w:t>
            </w:r>
            <w:r/>
          </w:p>
          <w:p>
            <w:pPr>
              <w:ind w:left="142" w:right="117"/>
              <w:tabs>
                <w:tab w:val="left" w:pos="2520" w:leader="none"/>
              </w:tabs>
            </w:pPr>
            <w:r>
              <w:t xml:space="preserve">минимальный процент озеленения земельного участка 15%.</w:t>
            </w:r>
            <w:r/>
          </w:p>
        </w:tc>
        <w:tc>
          <w:tcPr>
            <w:tcW w:w="2977" w:type="dxa"/>
            <w:vMerge w:val="continue"/>
            <w:textDirection w:val="lrTb"/>
            <w:noWrap w:val="false"/>
          </w:tcPr>
          <w:p>
            <w:pPr>
              <w:ind w:left="142" w:right="117"/>
              <w:jc w:val="both"/>
              <w:tabs>
                <w:tab w:val="left" w:pos="3071" w:leader="none"/>
              </w:tabs>
              <w:rPr>
                <w:shd w:val="clear" w:color="auto" w:fill="ffffff"/>
              </w:rPr>
            </w:pPr>
            <w:r>
              <w:rPr>
                <w:shd w:val="clear" w:color="auto" w:fill="ffffff"/>
              </w:rPr>
            </w:r>
            <w:r/>
          </w:p>
        </w:tc>
      </w:tr>
      <w:tr>
        <w:trPr>
          <w:trHeight w:val="20"/>
        </w:trPr>
        <w:tc>
          <w:tcPr>
            <w:tcW w:w="3114" w:type="dxa"/>
            <w:textDirection w:val="lrTb"/>
            <w:noWrap w:val="false"/>
          </w:tcPr>
          <w:p>
            <w:pPr>
              <w:ind w:left="142" w:right="117"/>
              <w:tabs>
                <w:tab w:val="left" w:pos="2520" w:leader="none"/>
              </w:tabs>
              <w:rPr>
                <w:rFonts w:eastAsia="SimSun"/>
                <w:lang w:eastAsia="zh-CN" w:bidi="ru-RU"/>
              </w:rPr>
            </w:pPr>
            <w:r>
              <w:rPr>
                <w:rFonts w:eastAsia="SimSun"/>
                <w:lang w:eastAsia="zh-CN" w:bidi="ru-RU"/>
              </w:rPr>
              <w:t xml:space="preserve">[3.2.3]Оказание услуг связи</w:t>
            </w:r>
            <w:r/>
          </w:p>
        </w:tc>
        <w:tc>
          <w:tcPr>
            <w:tcW w:w="4126" w:type="dxa"/>
            <w:textDirection w:val="lrTb"/>
            <w:noWrap w:val="false"/>
          </w:tcPr>
          <w:p>
            <w:pPr>
              <w:ind w:left="142" w:right="117"/>
              <w:jc w:val="both"/>
              <w:tabs>
                <w:tab w:val="left" w:pos="2520" w:leader="none"/>
              </w:tabs>
            </w:pPr>
            <w:r>
              <w:t xml:space="preserve">Размещение зданий, предназначенных для размещения пунктов оказания услуг почтовой, телеграфной, междугородней и международной телефонной связи</w:t>
            </w:r>
            <w:r/>
          </w:p>
          <w:p>
            <w:pPr>
              <w:ind w:left="142" w:right="117"/>
              <w:jc w:val="both"/>
              <w:tabs>
                <w:tab w:val="left" w:pos="2520" w:leader="none"/>
              </w:tabs>
            </w:pPr>
            <w:r/>
            <w:r/>
          </w:p>
          <w:p>
            <w:pPr>
              <w:ind w:left="142" w:right="117"/>
              <w:jc w:val="both"/>
              <w:tabs>
                <w:tab w:val="left" w:pos="2520" w:leader="none"/>
              </w:tabs>
            </w:pPr>
            <w:r/>
            <w:r/>
          </w:p>
        </w:tc>
        <w:tc>
          <w:tcPr>
            <w:tcW w:w="4819" w:type="dxa"/>
            <w:textDirection w:val="lrTb"/>
            <w:noWrap w:val="false"/>
          </w:tcPr>
          <w:p>
            <w:pPr>
              <w:ind w:left="142" w:right="117" w:firstLine="4"/>
              <w:jc w:val="both"/>
            </w:pPr>
            <w:r>
              <w:t xml:space="preserve">Минимальная/максимальная площадь земельных участков –200/5000 кв. м; </w:t>
            </w:r>
            <w:r/>
          </w:p>
          <w:p>
            <w:pPr>
              <w:ind w:left="142" w:right="117" w:firstLine="4"/>
              <w:jc w:val="both"/>
            </w:pPr>
            <w:r>
              <w:t xml:space="preserve">максимальное количество надземных этажей зданий – 2 этажа (включая мансардный этаж);</w:t>
            </w:r>
            <w:r/>
          </w:p>
          <w:p>
            <w:pPr>
              <w:ind w:left="142" w:right="117" w:firstLine="4"/>
              <w:jc w:val="both"/>
            </w:pPr>
            <w:r>
              <w:t xml:space="preserve">максимальный процент застройки в границах земельного участка – 60%;</w:t>
            </w:r>
            <w:r/>
          </w:p>
          <w:p>
            <w:pPr>
              <w:ind w:left="142" w:right="117" w:firstLine="4"/>
              <w:jc w:val="both"/>
            </w:pPr>
            <w:r>
              <w:t xml:space="preserve">минимальный процент озеленения земельного участка 15%.</w:t>
            </w:r>
            <w:r/>
          </w:p>
        </w:tc>
        <w:tc>
          <w:tcPr>
            <w:tcW w:w="2977" w:type="dxa"/>
            <w:vMerge w:val="continue"/>
            <w:textDirection w:val="lrTb"/>
            <w:noWrap w:val="false"/>
          </w:tcPr>
          <w:p>
            <w:pPr>
              <w:ind w:left="142" w:right="117"/>
              <w:jc w:val="both"/>
              <w:tabs>
                <w:tab w:val="left" w:pos="3071" w:leader="none"/>
              </w:tabs>
              <w:rPr>
                <w:shd w:val="clear" w:color="auto" w:fill="ffffff"/>
              </w:rPr>
            </w:pPr>
            <w:r>
              <w:rPr>
                <w:shd w:val="clear" w:color="auto" w:fill="ffffff"/>
              </w:rPr>
            </w:r>
            <w:r/>
          </w:p>
        </w:tc>
      </w:tr>
      <w:tr>
        <w:trPr>
          <w:trHeight w:val="20"/>
        </w:trPr>
        <w:tc>
          <w:tcPr>
            <w:tcW w:w="3114" w:type="dxa"/>
            <w:textDirection w:val="lrTb"/>
            <w:noWrap w:val="false"/>
          </w:tcPr>
          <w:p>
            <w:pPr>
              <w:ind w:left="142" w:right="117"/>
              <w:tabs>
                <w:tab w:val="left" w:pos="2520" w:leader="none"/>
              </w:tabs>
              <w:rPr>
                <w:rFonts w:eastAsia="SimSun"/>
                <w:lang w:eastAsia="zh-CN" w:bidi="ru-RU"/>
              </w:rPr>
            </w:pPr>
            <w:r>
              <w:rPr>
                <w:rFonts w:eastAsia="SimSun"/>
                <w:lang w:eastAsia="zh-CN" w:bidi="ru-RU"/>
              </w:rPr>
              <w:t xml:space="preserve">[3.3]Бытовое обслуживание</w:t>
            </w:r>
            <w:r/>
          </w:p>
        </w:tc>
        <w:tc>
          <w:tcPr>
            <w:tcW w:w="4126" w:type="dxa"/>
            <w:textDirection w:val="lrTb"/>
            <w:noWrap w:val="false"/>
          </w:tcPr>
          <w:p>
            <w:pPr>
              <w:ind w:left="147" w:right="117"/>
              <w:jc w:val="both"/>
              <w:tabs>
                <w:tab w:val="left" w:pos="2520" w:leader="none"/>
              </w:tabs>
            </w:pPr>
            <w: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 </w:t>
            </w:r>
            <w:r/>
          </w:p>
          <w:p>
            <w:pPr>
              <w:ind w:left="142" w:right="117"/>
              <w:jc w:val="both"/>
              <w:tabs>
                <w:tab w:val="left" w:pos="2520" w:leader="none"/>
              </w:tabs>
            </w:pPr>
            <w:r/>
            <w:r/>
          </w:p>
          <w:p>
            <w:pPr>
              <w:ind w:left="142" w:right="117"/>
              <w:jc w:val="both"/>
              <w:tabs>
                <w:tab w:val="left" w:pos="2520" w:leader="none"/>
              </w:tabs>
            </w:pPr>
            <w:r/>
            <w:r/>
          </w:p>
        </w:tc>
        <w:tc>
          <w:tcPr>
            <w:tcW w:w="4819" w:type="dxa"/>
            <w:textDirection w:val="lrTb"/>
            <w:noWrap w:val="false"/>
          </w:tcPr>
          <w:p>
            <w:pPr>
              <w:ind w:left="131" w:right="117"/>
              <w:jc w:val="both"/>
              <w:tabs>
                <w:tab w:val="left" w:pos="1134" w:leader="none"/>
              </w:tabs>
              <w:rPr>
                <w:rFonts w:eastAsia="Calibri"/>
              </w:rPr>
            </w:pPr>
            <w:r>
              <w:rPr>
                <w:rFonts w:eastAsia="Calibri"/>
              </w:rPr>
              <w:t xml:space="preserve">Минимальная/максимальная площадь земельных участков –100/2000 кв. м;</w:t>
            </w:r>
            <w:r/>
          </w:p>
          <w:p>
            <w:pPr>
              <w:ind w:left="142" w:right="117"/>
              <w:jc w:val="both"/>
              <w:tabs>
                <w:tab w:val="left" w:pos="1134" w:leader="none"/>
              </w:tabs>
              <w:rPr>
                <w:rFonts w:eastAsia="Calibri"/>
              </w:rPr>
            </w:pPr>
            <w:r>
              <w:rPr>
                <w:rFonts w:eastAsia="Calibri"/>
              </w:rPr>
              <w:t xml:space="preserve">максимальный процент застройки в границах земельного участка – 60%;</w:t>
            </w:r>
            <w:r/>
          </w:p>
          <w:p>
            <w:pPr>
              <w:ind w:left="142" w:right="117"/>
              <w:jc w:val="both"/>
              <w:tabs>
                <w:tab w:val="left" w:pos="1134" w:leader="none"/>
              </w:tabs>
              <w:rPr>
                <w:rFonts w:eastAsia="Calibri"/>
              </w:rPr>
            </w:pPr>
            <w:r>
              <w:rPr>
                <w:rFonts w:eastAsia="Calibri"/>
              </w:rPr>
              <w:t xml:space="preserve">максимальное количество надземных этажей зданий – 2;</w:t>
            </w:r>
            <w:r/>
          </w:p>
          <w:p>
            <w:pPr>
              <w:ind w:left="142" w:right="117"/>
              <w:jc w:val="both"/>
              <w:tabs>
                <w:tab w:val="left" w:pos="1134" w:leader="none"/>
              </w:tabs>
              <w:rPr>
                <w:rFonts w:eastAsia="Calibri"/>
              </w:rPr>
            </w:pPr>
            <w:r>
              <w:rPr>
                <w:rFonts w:eastAsia="Calibri"/>
              </w:rPr>
              <w:t xml:space="preserve">максимальная высота зданий, строений, сооружений от уровня земли - 10 м;</w:t>
            </w:r>
            <w:r/>
          </w:p>
          <w:p>
            <w:pPr>
              <w:ind w:left="142" w:right="117"/>
              <w:jc w:val="both"/>
              <w:tabs>
                <w:tab w:val="left" w:pos="1134" w:leader="none"/>
              </w:tabs>
            </w:pPr>
            <w:r>
              <w:t xml:space="preserve">минимальные отступы от красной линии – 5 м, от иных границ – 3 м.</w:t>
            </w:r>
            <w:r/>
          </w:p>
          <w:p>
            <w:pPr>
              <w:ind w:left="142" w:right="117"/>
              <w:jc w:val="both"/>
              <w:tabs>
                <w:tab w:val="left" w:pos="1134" w:leader="none"/>
              </w:tabs>
            </w:pPr>
            <w:r>
              <w:t xml:space="preserve">минимальный процент озеленения земельного участка 15%.</w:t>
            </w:r>
            <w:r/>
          </w:p>
        </w:tc>
        <w:tc>
          <w:tcPr>
            <w:tcW w:w="2977" w:type="dxa"/>
            <w:vMerge w:val="continue"/>
            <w:textDirection w:val="lrTb"/>
            <w:noWrap w:val="false"/>
          </w:tcPr>
          <w:p>
            <w:pPr>
              <w:ind w:left="142" w:right="117"/>
              <w:jc w:val="both"/>
              <w:tabs>
                <w:tab w:val="left" w:pos="3071" w:leader="none"/>
              </w:tabs>
              <w:rPr>
                <w:shd w:val="clear" w:color="auto" w:fill="ffffff"/>
              </w:rPr>
            </w:pPr>
            <w:r>
              <w:rPr>
                <w:shd w:val="clear" w:color="auto" w:fill="ffffff"/>
              </w:rPr>
            </w:r>
            <w:r/>
          </w:p>
        </w:tc>
      </w:tr>
      <w:tr>
        <w:trPr>
          <w:trHeight w:val="20"/>
        </w:trPr>
        <w:tc>
          <w:tcPr>
            <w:tcW w:w="3114" w:type="dxa"/>
            <w:textDirection w:val="lrTb"/>
            <w:noWrap w:val="false"/>
          </w:tcPr>
          <w:p>
            <w:pPr>
              <w:ind w:left="142" w:right="117"/>
              <w:tabs>
                <w:tab w:val="left" w:pos="2520" w:leader="none"/>
              </w:tabs>
            </w:pPr>
            <w:r/>
            <w:bookmarkStart w:id="6" w:name="sub_103411"/>
            <w:r>
              <w:t xml:space="preserve">[3.4.1] </w:t>
            </w:r>
            <w:r/>
          </w:p>
          <w:p>
            <w:pPr>
              <w:ind w:left="142" w:right="117"/>
              <w:tabs>
                <w:tab w:val="left" w:pos="2520" w:leader="none"/>
              </w:tabs>
              <w:rPr>
                <w:rFonts w:eastAsia="SimSun"/>
                <w:lang w:val="en-US" w:eastAsia="zh-CN" w:bidi="ru-RU"/>
              </w:rPr>
            </w:pPr>
            <w:r>
              <w:t xml:space="preserve">Амбулаторно-поликлиническое обслуживание</w:t>
            </w:r>
            <w:bookmarkEnd w:id="6"/>
            <w:r/>
            <w:r/>
          </w:p>
        </w:tc>
        <w:tc>
          <w:tcPr>
            <w:tcW w:w="4126" w:type="dxa"/>
            <w:textDirection w:val="lrTb"/>
            <w:noWrap w:val="false"/>
          </w:tcPr>
          <w:p>
            <w:pPr>
              <w:ind w:left="142" w:right="117"/>
              <w:jc w:val="both"/>
              <w:tabs>
                <w:tab w:val="left" w:pos="2520" w:leader="none"/>
              </w:tabs>
            </w:pPr>
            <w:r>
              <w:t xml:space="preserve">Размещение объектов капитального строительства, пре</w:t>
            </w:r>
            <w:r>
              <w:t xml:space="preserve">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r/>
          </w:p>
        </w:tc>
        <w:tc>
          <w:tcPr>
            <w:tcW w:w="4819" w:type="dxa"/>
            <w:textDirection w:val="lrTb"/>
            <w:noWrap w:val="false"/>
          </w:tcPr>
          <w:p>
            <w:pPr>
              <w:ind w:left="142" w:right="117"/>
              <w:jc w:val="both"/>
            </w:pPr>
            <w:r>
              <w:t xml:space="preserve">Минимальная/максимальная площадь земельных участков – 200/15000 кв. м;</w:t>
            </w:r>
            <w:r/>
          </w:p>
          <w:p>
            <w:pPr>
              <w:ind w:left="142" w:right="117"/>
              <w:jc w:val="both"/>
            </w:pPr>
            <w:r>
              <w:t xml:space="preserve">максимальный процент застройки в границах земельного участка – 60%;</w:t>
            </w:r>
            <w:r/>
          </w:p>
          <w:p>
            <w:pPr>
              <w:ind w:left="142" w:right="117"/>
              <w:jc w:val="both"/>
            </w:pPr>
            <w:r>
              <w:t xml:space="preserve">максимальное количество надземных этажей зданий – 3;</w:t>
            </w:r>
            <w:r/>
          </w:p>
          <w:p>
            <w:pPr>
              <w:ind w:left="142" w:right="117"/>
              <w:jc w:val="both"/>
            </w:pPr>
            <w:r>
              <w:t xml:space="preserve">максимальная высота зданий, строений, сооружений от уровня земли - 15 м;</w:t>
            </w:r>
            <w:r/>
          </w:p>
          <w:p>
            <w:pPr>
              <w:ind w:left="142" w:right="117"/>
              <w:jc w:val="both"/>
            </w:pPr>
            <w:r>
              <w:t xml:space="preserve">минимальные отступы от красной линии – 5 м; от иных границ – 3 м;  </w:t>
            </w:r>
            <w:r/>
          </w:p>
          <w:p>
            <w:pPr>
              <w:ind w:left="142" w:right="117"/>
              <w:jc w:val="both"/>
              <w:tabs>
                <w:tab w:val="left" w:pos="1134" w:leader="none"/>
              </w:tabs>
              <w:rPr>
                <w:rFonts w:eastAsia="Calibri"/>
              </w:rPr>
            </w:pPr>
            <w:r>
              <w:t xml:space="preserve">минимальный процент озеленения – 15%</w:t>
            </w:r>
            <w:r/>
          </w:p>
        </w:tc>
        <w:tc>
          <w:tcPr>
            <w:tcW w:w="2977" w:type="dxa"/>
            <w:vMerge w:val="continue"/>
            <w:textDirection w:val="lrTb"/>
            <w:noWrap w:val="false"/>
          </w:tcPr>
          <w:p>
            <w:pPr>
              <w:ind w:left="142" w:right="117"/>
              <w:jc w:val="both"/>
              <w:tabs>
                <w:tab w:val="left" w:pos="3071" w:leader="none"/>
              </w:tabs>
              <w:rPr>
                <w:shd w:val="clear" w:color="auto" w:fill="ffffff"/>
              </w:rPr>
            </w:pPr>
            <w:r>
              <w:rPr>
                <w:shd w:val="clear" w:color="auto" w:fill="ffffff"/>
              </w:rPr>
            </w:r>
            <w:r/>
          </w:p>
        </w:tc>
      </w:tr>
      <w:tr>
        <w:trPr>
          <w:trHeight w:val="20"/>
        </w:trPr>
        <w:tc>
          <w:tcPr>
            <w:tcW w:w="3114" w:type="dxa"/>
            <w:textDirection w:val="lrTb"/>
            <w:noWrap w:val="false"/>
          </w:tcPr>
          <w:p>
            <w:pPr>
              <w:ind w:left="142" w:right="117"/>
            </w:pPr>
            <w:r/>
            <w:bookmarkStart w:id="7" w:name="sub_103421"/>
            <w:r>
              <w:t xml:space="preserve">[3.4.2] </w:t>
            </w:r>
            <w:r/>
          </w:p>
          <w:p>
            <w:pPr>
              <w:ind w:left="142" w:right="117"/>
            </w:pPr>
            <w:r>
              <w:t xml:space="preserve">Стационарное медицинское обслуживание</w:t>
            </w:r>
            <w:bookmarkEnd w:id="7"/>
            <w:r/>
            <w:r/>
          </w:p>
        </w:tc>
        <w:tc>
          <w:tcPr>
            <w:tcW w:w="4126" w:type="dxa"/>
            <w:textDirection w:val="lrTb"/>
            <w:noWrap w:val="false"/>
          </w:tcPr>
          <w:p>
            <w:pPr>
              <w:ind w:left="142" w:right="117"/>
              <w:jc w:val="both"/>
              <w:widowControl/>
            </w:pPr>
            <w:r>
              <w:t xml:space="preserve">Размещение объектов капитального строительства, предназначенных для оказания гражданам медицинской помощи в стационарах (больницы, </w:t>
            </w:r>
            <w:r>
              <w:t xml:space="preserve">родильные дома, диспансеры, научно-медицинские учреждения и прочие объекты, обеспечивающие оказание услуги по лечению в стационаре);</w:t>
            </w:r>
            <w:r/>
          </w:p>
          <w:p>
            <w:pPr>
              <w:ind w:left="142" w:right="117"/>
              <w:jc w:val="both"/>
              <w:widowControl/>
            </w:pPr>
            <w:r>
              <w:t xml:space="preserve">размещение станций скорой помощи;</w:t>
            </w:r>
            <w:r/>
          </w:p>
          <w:p>
            <w:pPr>
              <w:ind w:left="142" w:right="117"/>
              <w:jc w:val="both"/>
            </w:pPr>
            <w:r>
              <w:t xml:space="preserve">размещение площадок санитарной авиации</w:t>
            </w:r>
            <w:r/>
          </w:p>
        </w:tc>
        <w:tc>
          <w:tcPr>
            <w:tcW w:w="4819" w:type="dxa"/>
            <w:textDirection w:val="lrTb"/>
            <w:noWrap w:val="false"/>
          </w:tcPr>
          <w:p>
            <w:pPr>
              <w:ind w:left="142" w:right="117"/>
              <w:jc w:val="both"/>
            </w:pPr>
            <w:r>
              <w:t xml:space="preserve">Минимальная/максимальная площадь земельных участков – 500/15000 кв. м;</w:t>
            </w:r>
            <w:r/>
          </w:p>
          <w:p>
            <w:pPr>
              <w:ind w:left="142" w:right="117"/>
              <w:jc w:val="both"/>
            </w:pPr>
            <w:r>
              <w:t xml:space="preserve">максимальный процент застройки в границах земельного участка – 60%;</w:t>
            </w:r>
            <w:r/>
          </w:p>
          <w:p>
            <w:pPr>
              <w:ind w:left="142" w:right="117"/>
              <w:jc w:val="both"/>
            </w:pPr>
            <w:r>
              <w:t xml:space="preserve">максимальное количество надземных этажей зданий – 3;</w:t>
            </w:r>
            <w:r/>
          </w:p>
          <w:p>
            <w:pPr>
              <w:ind w:left="142" w:right="117"/>
              <w:jc w:val="both"/>
            </w:pPr>
            <w:r>
              <w:t xml:space="preserve">максимальная высота зданий, строений, сооружений от уровня земли - 20 м;</w:t>
            </w:r>
            <w:r/>
          </w:p>
          <w:p>
            <w:pPr>
              <w:ind w:left="142" w:right="117"/>
              <w:jc w:val="both"/>
            </w:pPr>
            <w:r>
              <w:t xml:space="preserve">минимальные отступы от красной линии -5 м; от иных границ – 3 м;  </w:t>
            </w:r>
            <w:r/>
          </w:p>
          <w:p>
            <w:pPr>
              <w:ind w:left="142" w:right="117"/>
              <w:jc w:val="both"/>
            </w:pPr>
            <w:r>
              <w:t xml:space="preserve">минимальный процент озеленения – 15%.</w:t>
            </w:r>
            <w:r/>
          </w:p>
        </w:tc>
        <w:tc>
          <w:tcPr>
            <w:tcW w:w="2977" w:type="dxa"/>
            <w:vMerge w:val="continue"/>
            <w:textDirection w:val="lrTb"/>
            <w:noWrap w:val="false"/>
          </w:tcPr>
          <w:p>
            <w:pPr>
              <w:ind w:firstLine="567"/>
              <w:jc w:val="both"/>
            </w:pPr>
            <w:r/>
            <w:r/>
          </w:p>
        </w:tc>
      </w:tr>
      <w:tr>
        <w:trPr>
          <w:trHeight w:val="20"/>
        </w:trPr>
        <w:tc>
          <w:tcPr>
            <w:tcW w:w="3114" w:type="dxa"/>
            <w:textDirection w:val="lrTb"/>
            <w:noWrap w:val="false"/>
          </w:tcPr>
          <w:p>
            <w:pPr>
              <w:ind w:left="142" w:right="117"/>
            </w:pPr>
            <w:r>
              <w:t xml:space="preserve">[3.5.1] </w:t>
            </w:r>
            <w:r/>
          </w:p>
          <w:p>
            <w:pPr>
              <w:ind w:left="142" w:right="117"/>
            </w:pPr>
            <w:r>
              <w:t xml:space="preserve">Дошкольное, начальное и среднее общее образование</w:t>
            </w:r>
            <w:r/>
          </w:p>
        </w:tc>
        <w:tc>
          <w:tcPr>
            <w:tcW w:w="4126" w:type="dxa"/>
            <w:textDirection w:val="lrTb"/>
            <w:noWrap w:val="false"/>
          </w:tcPr>
          <w:p>
            <w:pPr>
              <w:ind w:left="142" w:right="117"/>
              <w:jc w:val="both"/>
              <w:widowControl/>
            </w:pPr>
            <w: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w:t>
            </w:r>
            <w:r>
              <w:t xml:space="preserve">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r/>
          </w:p>
        </w:tc>
        <w:tc>
          <w:tcPr>
            <w:tcW w:w="4819" w:type="dxa"/>
            <w:textDirection w:val="lrTb"/>
            <w:noWrap w:val="false"/>
          </w:tcPr>
          <w:p>
            <w:pPr>
              <w:ind w:left="142" w:right="117"/>
              <w:jc w:val="both"/>
              <w:rPr>
                <w:rFonts w:eastAsia="Calibri"/>
              </w:rPr>
            </w:pPr>
            <w:r>
              <w:rPr>
                <w:rFonts w:eastAsia="Calibri"/>
              </w:rPr>
              <w:t xml:space="preserve">Минимальная/максимальная площадь земельных участков   – 700/10000 кв. м;</w:t>
            </w:r>
            <w:r/>
          </w:p>
          <w:p>
            <w:pPr>
              <w:ind w:left="142" w:right="117"/>
              <w:jc w:val="both"/>
              <w:rPr>
                <w:rFonts w:eastAsia="Calibri"/>
              </w:rPr>
            </w:pPr>
            <w:r>
              <w:rPr>
                <w:rFonts w:eastAsia="Calibri"/>
              </w:rPr>
              <w:t xml:space="preserve">максимальное количество надземных этажей зданий – 3; </w:t>
            </w:r>
            <w:r/>
          </w:p>
          <w:p>
            <w:pPr>
              <w:ind w:left="142" w:right="117"/>
              <w:jc w:val="both"/>
              <w:rPr>
                <w:rFonts w:eastAsia="Calibri"/>
              </w:rPr>
            </w:pPr>
            <w:r>
              <w:rPr>
                <w:rFonts w:eastAsia="Calibri"/>
              </w:rPr>
              <w:t xml:space="preserve">максимальная высота зданий от уровня земли до верха перекрытия последнего этажа (или конька кровли) - 20 м;</w:t>
            </w:r>
            <w:r/>
          </w:p>
          <w:p>
            <w:pPr>
              <w:ind w:left="142" w:right="117"/>
              <w:jc w:val="both"/>
              <w:rPr>
                <w:rFonts w:eastAsia="Calibri"/>
              </w:rPr>
            </w:pPr>
            <w:r>
              <w:rPr>
                <w:rFonts w:eastAsia="Calibri"/>
              </w:rPr>
              <w:t xml:space="preserve">максимальный процент застройки – 50%;</w:t>
            </w:r>
            <w:r/>
          </w:p>
          <w:p>
            <w:pPr>
              <w:ind w:left="142" w:right="117"/>
              <w:jc w:val="both"/>
              <w:rPr>
                <w:rFonts w:eastAsia="Calibri"/>
              </w:rPr>
            </w:pPr>
            <w:r>
              <w:rPr>
                <w:rFonts w:eastAsia="Calibri"/>
              </w:rPr>
              <w:t xml:space="preserve">коэффициент использования территории не более - 2,4;</w:t>
            </w:r>
            <w:r/>
          </w:p>
          <w:p>
            <w:pPr>
              <w:ind w:left="142" w:right="117"/>
              <w:jc w:val="both"/>
              <w:rPr>
                <w:rFonts w:eastAsia="Calibri"/>
              </w:rPr>
            </w:pPr>
            <w:r>
              <w:rPr>
                <w:rFonts w:eastAsia="Calibri"/>
              </w:rPr>
              <w:t xml:space="preserve">минимальные отступы от красной линии до дошкольных    образовательных учреждений и общеобразовательных школ (от стены здания) -10 м; </w:t>
            </w:r>
            <w:r/>
          </w:p>
          <w:p>
            <w:pPr>
              <w:ind w:left="142" w:right="117"/>
              <w:jc w:val="both"/>
              <w:rPr>
                <w:rFonts w:eastAsia="Calibri"/>
              </w:rPr>
            </w:pPr>
            <w:r>
              <w:rPr>
                <w:rFonts w:eastAsia="Calibri"/>
              </w:rPr>
              <w:t xml:space="preserve">минимальные отступы от границ земельных участков до зданий, строений, сооружений – 3 м;  </w:t>
            </w:r>
            <w:r/>
          </w:p>
          <w:p>
            <w:pPr>
              <w:ind w:left="142" w:right="117"/>
              <w:jc w:val="both"/>
              <w:rPr>
                <w:rFonts w:eastAsia="Calibri"/>
              </w:rPr>
            </w:pPr>
            <w:r>
              <w:rPr>
                <w:rFonts w:eastAsia="Calibri"/>
              </w:rPr>
              <w:t xml:space="preserve">Минимальный процент озеленения земельного участка 30%.</w:t>
            </w:r>
            <w:r/>
          </w:p>
        </w:tc>
        <w:tc>
          <w:tcPr>
            <w:tcW w:w="2977" w:type="dxa"/>
            <w:vMerge w:val="continue"/>
            <w:textDirection w:val="lrTb"/>
            <w:noWrap w:val="false"/>
          </w:tcPr>
          <w:p>
            <w:pPr>
              <w:ind w:firstLine="567"/>
              <w:jc w:val="both"/>
            </w:pPr>
            <w:r/>
            <w:r/>
          </w:p>
        </w:tc>
      </w:tr>
      <w:tr>
        <w:trPr>
          <w:trHeight w:val="20"/>
        </w:trPr>
        <w:tc>
          <w:tcPr>
            <w:tcW w:w="3114" w:type="dxa"/>
            <w:textDirection w:val="lrTb"/>
            <w:noWrap w:val="false"/>
          </w:tcPr>
          <w:p>
            <w:pPr>
              <w:ind w:left="142" w:right="117"/>
            </w:pPr>
            <w:r>
              <w:t xml:space="preserve">[3.5.2] </w:t>
            </w:r>
            <w:r/>
          </w:p>
          <w:p>
            <w:pPr>
              <w:ind w:left="142" w:right="117"/>
            </w:pPr>
            <w:r>
              <w:t xml:space="preserve">Среднее и высшее профессиональное образование</w:t>
            </w:r>
            <w:r/>
          </w:p>
        </w:tc>
        <w:tc>
          <w:tcPr>
            <w:tcW w:w="4126" w:type="dxa"/>
            <w:textDirection w:val="lrTb"/>
            <w:noWrap w:val="false"/>
          </w:tcPr>
          <w:p>
            <w:pPr>
              <w:ind w:left="142" w:right="117"/>
              <w:jc w:val="both"/>
              <w:widowControl/>
            </w:pPr>
            <w: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w:t>
            </w:r>
            <w:r>
              <w:t xml:space="preserve">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r/>
          </w:p>
        </w:tc>
        <w:tc>
          <w:tcPr>
            <w:tcW w:w="4819" w:type="dxa"/>
            <w:textDirection w:val="lrTb"/>
            <w:noWrap w:val="false"/>
          </w:tcPr>
          <w:p>
            <w:pPr>
              <w:ind w:left="142" w:right="117"/>
              <w:jc w:val="both"/>
              <w:rPr>
                <w:rFonts w:eastAsia="Calibri"/>
              </w:rPr>
            </w:pPr>
            <w:r>
              <w:rPr>
                <w:rFonts w:eastAsia="Calibri"/>
              </w:rPr>
              <w:t xml:space="preserve">Минимальная/максимальная площадь земельных участков –1000/15000 кв. м;</w:t>
            </w:r>
            <w:r/>
          </w:p>
          <w:p>
            <w:pPr>
              <w:ind w:left="142" w:right="117"/>
              <w:jc w:val="both"/>
              <w:rPr>
                <w:rFonts w:eastAsia="Calibri"/>
              </w:rPr>
            </w:pPr>
            <w:r>
              <w:rPr>
                <w:rFonts w:eastAsia="Calibri"/>
              </w:rPr>
              <w:t xml:space="preserve">максимальный процент застройки в границах земельного участка –50%;</w:t>
            </w:r>
            <w:r/>
          </w:p>
          <w:p>
            <w:pPr>
              <w:ind w:left="142" w:right="117"/>
              <w:jc w:val="both"/>
              <w:rPr>
                <w:rFonts w:eastAsia="Calibri"/>
              </w:rPr>
            </w:pPr>
            <w:r>
              <w:rPr>
                <w:rFonts w:eastAsia="Calibri"/>
              </w:rPr>
              <w:t xml:space="preserve">максимальное количество надземных этажей зданий – 3;</w:t>
            </w:r>
            <w:r/>
          </w:p>
          <w:p>
            <w:pPr>
              <w:ind w:left="142" w:right="117"/>
              <w:jc w:val="both"/>
              <w:rPr>
                <w:rFonts w:eastAsia="Calibri"/>
              </w:rPr>
            </w:pPr>
            <w:r>
              <w:rPr>
                <w:rFonts w:eastAsia="Calibri"/>
              </w:rPr>
              <w:t xml:space="preserve">максимальная высота зданий, строений, сооружений от уровня земли - 20 м;</w:t>
            </w:r>
            <w:r/>
          </w:p>
          <w:p>
            <w:pPr>
              <w:ind w:left="142" w:right="117"/>
              <w:jc w:val="both"/>
              <w:rPr>
                <w:rFonts w:eastAsia="Calibri"/>
              </w:rPr>
            </w:pPr>
            <w:r>
              <w:rPr>
                <w:rFonts w:eastAsia="Calibri"/>
              </w:rPr>
              <w:t xml:space="preserve">минимальные отступы от красной линии – 5 м; от иных границ – 3 м;</w:t>
            </w:r>
            <w:r/>
          </w:p>
          <w:p>
            <w:pPr>
              <w:ind w:left="142" w:right="117"/>
              <w:jc w:val="both"/>
            </w:pPr>
            <w:r>
              <w:rPr>
                <w:rFonts w:eastAsia="Calibri"/>
              </w:rPr>
              <w:t xml:space="preserve">минимальный процент озеленения земельного участка 30%.</w:t>
            </w:r>
            <w:r/>
          </w:p>
        </w:tc>
        <w:tc>
          <w:tcPr>
            <w:tcW w:w="2977" w:type="dxa"/>
            <w:vMerge w:val="continue"/>
            <w:textDirection w:val="lrTb"/>
            <w:noWrap w:val="false"/>
          </w:tcPr>
          <w:p>
            <w:pPr>
              <w:ind w:firstLine="567"/>
              <w:jc w:val="both"/>
            </w:pPr>
            <w:r/>
            <w:r/>
          </w:p>
        </w:tc>
      </w:tr>
      <w:tr>
        <w:trPr>
          <w:trHeight w:val="20"/>
        </w:trPr>
        <w:tc>
          <w:tcPr>
            <w:tcW w:w="3114" w:type="dxa"/>
            <w:textDirection w:val="lrTb"/>
            <w:noWrap w:val="false"/>
          </w:tcPr>
          <w:p>
            <w:pPr>
              <w:ind w:left="142" w:right="139"/>
            </w:pPr>
            <w:r>
              <w:rPr>
                <w:lang w:val="en-US"/>
              </w:rPr>
              <w:t xml:space="preserve">[</w:t>
            </w:r>
            <w:r>
              <w:t xml:space="preserve">3.6.1</w:t>
            </w:r>
            <w:r>
              <w:rPr>
                <w:lang w:val="en-US"/>
              </w:rPr>
              <w:t xml:space="preserve">]</w:t>
            </w:r>
            <w:r/>
          </w:p>
          <w:p>
            <w:pPr>
              <w:ind w:left="142" w:right="139"/>
            </w:pPr>
            <w:r>
              <w:t xml:space="preserve">Объекты культурно-</w:t>
            </w:r>
            <w:r>
              <w:t xml:space="preserve">досуговой деятельности</w:t>
            </w:r>
            <w:r/>
          </w:p>
        </w:tc>
        <w:tc>
          <w:tcPr>
            <w:tcW w:w="4126" w:type="dxa"/>
            <w:textDirection w:val="lrTb"/>
            <w:noWrap w:val="false"/>
          </w:tcPr>
          <w:p>
            <w:pPr>
              <w:ind w:left="142" w:right="117"/>
              <w:jc w:val="both"/>
              <w:widowControl/>
            </w:pPr>
            <w:r>
              <w:t xml:space="preserve">Размещение зданий, предназначенных для размещения музеев, выставочных залов, </w:t>
            </w:r>
            <w:r>
              <w:t xml:space="preserve">художественных галерей, домов культуры, библиотек, кинотеатров и кинозалов, театров, филармоний, концертных залов, планетариев</w:t>
            </w:r>
            <w:r/>
          </w:p>
        </w:tc>
        <w:tc>
          <w:tcPr>
            <w:tcW w:w="4819" w:type="dxa"/>
            <w:textDirection w:val="lrTb"/>
            <w:noWrap w:val="false"/>
          </w:tcPr>
          <w:p>
            <w:pPr>
              <w:ind w:left="142" w:right="139"/>
              <w:jc w:val="both"/>
              <w:rPr>
                <w:rFonts w:eastAsia="Calibri"/>
              </w:rPr>
            </w:pPr>
            <w:r>
              <w:rPr>
                <w:rFonts w:eastAsia="Calibri"/>
              </w:rPr>
              <w:t xml:space="preserve">Минимальная/максимальная площадь земельных участков –300/10000 кв. м;</w:t>
            </w:r>
            <w:r/>
          </w:p>
          <w:p>
            <w:pPr>
              <w:ind w:left="142" w:right="139"/>
              <w:jc w:val="both"/>
              <w:rPr>
                <w:rFonts w:eastAsia="Calibri"/>
              </w:rPr>
            </w:pPr>
            <w:r>
              <w:rPr>
                <w:rFonts w:eastAsia="Calibri"/>
              </w:rPr>
              <w:t xml:space="preserve">максимальное количество надземных этажей зданий – 2;</w:t>
            </w:r>
            <w:r/>
          </w:p>
          <w:p>
            <w:pPr>
              <w:ind w:left="142" w:right="139"/>
              <w:jc w:val="both"/>
              <w:rPr>
                <w:rFonts w:eastAsia="Calibri"/>
              </w:rPr>
            </w:pPr>
            <w:r>
              <w:rPr>
                <w:rFonts w:eastAsia="Calibri"/>
              </w:rPr>
              <w:t xml:space="preserve">максимальная высота зданий, строений, сооружений от уровня земли - 15 м;</w:t>
            </w:r>
            <w:r/>
          </w:p>
          <w:p>
            <w:pPr>
              <w:ind w:left="142" w:right="139"/>
              <w:jc w:val="both"/>
              <w:rPr>
                <w:rFonts w:eastAsia="Calibri"/>
              </w:rPr>
            </w:pPr>
            <w:r>
              <w:rPr>
                <w:rFonts w:eastAsia="Calibri"/>
              </w:rPr>
              <w:t xml:space="preserve">максимальный процент застройки в границах земельного участка – 60%;</w:t>
            </w:r>
            <w:r/>
          </w:p>
          <w:p>
            <w:pPr>
              <w:ind w:left="142" w:right="139"/>
              <w:jc w:val="both"/>
              <w:rPr>
                <w:rFonts w:eastAsia="Calibri"/>
              </w:rPr>
            </w:pPr>
            <w:r>
              <w:rPr>
                <w:rFonts w:eastAsia="Calibri"/>
              </w:rPr>
              <w:t xml:space="preserve">минимальные отступы от красной линии – 5 м; от иных границ – 3 м;</w:t>
            </w:r>
            <w:r/>
          </w:p>
          <w:p>
            <w:pPr>
              <w:ind w:left="142" w:right="139"/>
              <w:jc w:val="both"/>
            </w:pPr>
            <w:r>
              <w:rPr>
                <w:rFonts w:eastAsia="Calibri"/>
              </w:rPr>
              <w:t xml:space="preserve">минимальный процент озеленения земельного участка 15%.</w:t>
            </w:r>
            <w:r/>
          </w:p>
        </w:tc>
        <w:tc>
          <w:tcPr>
            <w:tcW w:w="2977" w:type="dxa"/>
            <w:vMerge w:val="continue"/>
            <w:textDirection w:val="lrTb"/>
            <w:noWrap w:val="false"/>
          </w:tcPr>
          <w:p>
            <w:pPr>
              <w:ind w:firstLine="567"/>
              <w:jc w:val="both"/>
            </w:pPr>
            <w:r/>
            <w:r/>
          </w:p>
        </w:tc>
      </w:tr>
      <w:tr>
        <w:trPr>
          <w:trHeight w:val="20"/>
        </w:trPr>
        <w:tc>
          <w:tcPr>
            <w:tcW w:w="3114" w:type="dxa"/>
            <w:textDirection w:val="lrTb"/>
            <w:noWrap w:val="false"/>
          </w:tcPr>
          <w:p>
            <w:pPr>
              <w:ind w:left="142" w:right="139"/>
            </w:pPr>
            <w:r>
              <w:rPr>
                <w:lang w:val="en-US"/>
              </w:rPr>
              <w:t xml:space="preserve">[</w:t>
            </w:r>
            <w:r>
              <w:t xml:space="preserve">3.6.2</w:t>
            </w:r>
            <w:r>
              <w:rPr>
                <w:lang w:val="en-US"/>
              </w:rPr>
              <w:t xml:space="preserve">]</w:t>
            </w:r>
            <w:r/>
          </w:p>
          <w:p>
            <w:pPr>
              <w:ind w:left="142" w:right="139"/>
            </w:pPr>
            <w:r>
              <w:t xml:space="preserve">Парки культуры и отдыха</w:t>
            </w:r>
            <w:r/>
          </w:p>
        </w:tc>
        <w:tc>
          <w:tcPr>
            <w:tcW w:w="4126" w:type="dxa"/>
            <w:textDirection w:val="lrTb"/>
            <w:noWrap w:val="false"/>
          </w:tcPr>
          <w:p>
            <w:pPr>
              <w:ind w:left="142" w:right="117"/>
              <w:jc w:val="both"/>
              <w:widowControl/>
            </w:pPr>
            <w:r>
              <w:t xml:space="preserve">Размещение парков культуры и отдыха</w:t>
            </w:r>
            <w:r/>
          </w:p>
        </w:tc>
        <w:tc>
          <w:tcPr>
            <w:tcW w:w="4819" w:type="dxa"/>
            <w:textDirection w:val="lrTb"/>
            <w:noWrap w:val="false"/>
          </w:tcPr>
          <w:p>
            <w:pPr>
              <w:ind w:left="142" w:right="139"/>
              <w:jc w:val="both"/>
              <w:rPr>
                <w:rFonts w:eastAsia="Calibri"/>
              </w:rPr>
            </w:pPr>
            <w:r>
              <w:rPr>
                <w:rFonts w:eastAsia="Calibri"/>
              </w:rPr>
              <w:t xml:space="preserve">Минимальная/максимальная площадь земельных участков –1000/10000 кв. м;</w:t>
            </w:r>
            <w:r/>
          </w:p>
          <w:p>
            <w:pPr>
              <w:ind w:left="142" w:right="139"/>
              <w:jc w:val="both"/>
            </w:pPr>
            <w:r>
              <w:rPr>
                <w:rFonts w:eastAsia="Calibri"/>
              </w:rPr>
              <w:t xml:space="preserve">минимальный процент озеленения земельного участка 75%.</w:t>
            </w:r>
            <w:r/>
          </w:p>
        </w:tc>
        <w:tc>
          <w:tcPr>
            <w:tcW w:w="2977" w:type="dxa"/>
            <w:vMerge w:val="continue"/>
            <w:textDirection w:val="lrTb"/>
            <w:noWrap w:val="false"/>
          </w:tcPr>
          <w:p>
            <w:pPr>
              <w:ind w:firstLine="567"/>
              <w:jc w:val="both"/>
            </w:pPr>
            <w:r/>
            <w:r/>
          </w:p>
        </w:tc>
      </w:tr>
      <w:tr>
        <w:trPr>
          <w:trHeight w:val="20"/>
        </w:trPr>
        <w:tc>
          <w:tcPr>
            <w:tcW w:w="3114" w:type="dxa"/>
            <w:textDirection w:val="lrTb"/>
            <w:noWrap w:val="false"/>
          </w:tcPr>
          <w:p>
            <w:pPr>
              <w:ind w:left="142" w:right="400"/>
            </w:pPr>
            <w:r>
              <w:rPr>
                <w:lang w:val="en-US"/>
              </w:rPr>
              <w:t xml:space="preserve">[</w:t>
            </w:r>
            <w:r>
              <w:t xml:space="preserve">3.7.1</w:t>
            </w:r>
            <w:r>
              <w:rPr>
                <w:lang w:val="en-US"/>
              </w:rPr>
              <w:t xml:space="preserve">]</w:t>
            </w:r>
            <w:r/>
          </w:p>
          <w:p>
            <w:pPr>
              <w:ind w:left="142" w:right="139"/>
              <w:rPr>
                <w:strike/>
              </w:rPr>
            </w:pPr>
            <w:r>
              <w:t xml:space="preserve">Осуществление религиозных обрядов</w:t>
            </w:r>
            <w:r/>
          </w:p>
        </w:tc>
        <w:tc>
          <w:tcPr>
            <w:tcW w:w="4126" w:type="dxa"/>
            <w:textDirection w:val="lrTb"/>
            <w:noWrap w:val="false"/>
          </w:tcPr>
          <w:p>
            <w:pPr>
              <w:ind w:left="142" w:right="117"/>
              <w:jc w:val="both"/>
              <w:widowControl/>
              <w:rPr>
                <w:strike/>
              </w:rPr>
            </w:pPr>
            <w:r>
              <w:t xml:space="preserve">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r/>
          </w:p>
        </w:tc>
        <w:tc>
          <w:tcPr>
            <w:tcW w:w="4819" w:type="dxa"/>
            <w:textDirection w:val="lrTb"/>
            <w:noWrap w:val="false"/>
          </w:tcPr>
          <w:p>
            <w:pPr>
              <w:ind w:left="142" w:right="400"/>
              <w:jc w:val="both"/>
              <w:tabs>
                <w:tab w:val="left" w:pos="2520" w:leader="none"/>
              </w:tabs>
            </w:pPr>
            <w:r>
              <w:t xml:space="preserve">Минимальная/максимальная площадь земельных участков –500/5000 кв. м;</w:t>
            </w:r>
            <w:r/>
          </w:p>
          <w:p>
            <w:pPr>
              <w:ind w:left="142" w:right="400"/>
              <w:jc w:val="both"/>
              <w:tabs>
                <w:tab w:val="left" w:pos="2520" w:leader="none"/>
              </w:tabs>
            </w:pPr>
            <w:r>
              <w:t xml:space="preserve">максимальная высота зданий, строений, сооружений от уровня земли - 30 м;</w:t>
            </w:r>
            <w:r/>
          </w:p>
          <w:p>
            <w:pPr>
              <w:ind w:left="142" w:right="400"/>
              <w:jc w:val="both"/>
              <w:tabs>
                <w:tab w:val="left" w:pos="2520" w:leader="none"/>
              </w:tabs>
            </w:pPr>
            <w:r>
              <w:t xml:space="preserve">максимальный процент застройки в границах земельного участка – 60%;</w:t>
            </w:r>
            <w:r/>
          </w:p>
          <w:p>
            <w:pPr>
              <w:ind w:left="142" w:right="400"/>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42" w:right="139"/>
              <w:jc w:val="both"/>
              <w:rPr>
                <w:strike/>
              </w:rPr>
            </w:pPr>
            <w:r>
              <w:rPr>
                <w:rFonts w:eastAsia="SimSun"/>
                <w:lang w:eastAsia="zh-CN" w:bidi="ru-RU"/>
              </w:rPr>
              <w:t xml:space="preserve">минимальный процент озеленения земельного участка 15%.</w:t>
            </w:r>
            <w:r/>
          </w:p>
        </w:tc>
        <w:tc>
          <w:tcPr>
            <w:tcW w:w="2977" w:type="dxa"/>
            <w:vMerge w:val="continue"/>
            <w:textDirection w:val="lrTb"/>
            <w:noWrap w:val="false"/>
          </w:tcPr>
          <w:p>
            <w:pPr>
              <w:ind w:firstLine="567"/>
              <w:jc w:val="both"/>
            </w:pPr>
            <w:r/>
            <w:r/>
          </w:p>
        </w:tc>
      </w:tr>
      <w:tr>
        <w:trPr>
          <w:trHeight w:val="20"/>
        </w:trPr>
        <w:tc>
          <w:tcPr>
            <w:tcW w:w="3114" w:type="dxa"/>
            <w:textDirection w:val="lrTb"/>
            <w:noWrap w:val="false"/>
          </w:tcPr>
          <w:p>
            <w:pPr>
              <w:ind w:left="142" w:right="400"/>
            </w:pPr>
            <w:r>
              <w:rPr>
                <w:lang w:val="en-US"/>
              </w:rPr>
              <w:t xml:space="preserve">[</w:t>
            </w:r>
            <w:r>
              <w:t xml:space="preserve">3.7.2</w:t>
            </w:r>
            <w:r>
              <w:rPr>
                <w:lang w:val="en-US"/>
              </w:rPr>
              <w:t xml:space="preserve">]</w:t>
            </w:r>
            <w:r/>
          </w:p>
          <w:p>
            <w:pPr>
              <w:ind w:left="142" w:right="400"/>
            </w:pPr>
            <w:r>
              <w:t xml:space="preserve">Религиозное управление и образование</w:t>
            </w:r>
            <w:r/>
          </w:p>
        </w:tc>
        <w:tc>
          <w:tcPr>
            <w:tcW w:w="4126" w:type="dxa"/>
            <w:textDirection w:val="lrTb"/>
            <w:noWrap w:val="false"/>
          </w:tcPr>
          <w:p>
            <w:pPr>
              <w:ind w:left="142" w:right="117"/>
              <w:jc w:val="both"/>
              <w:widowControl/>
            </w:pPr>
            <w:r>
              <w:t xml:space="preserve">Размещение зданий, предназначенных для постоянного местонахождения духовных лиц, паломнико</w:t>
            </w:r>
            <w:r>
              <w:t xml:space="preserve">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r/>
          </w:p>
        </w:tc>
        <w:tc>
          <w:tcPr>
            <w:tcW w:w="4819" w:type="dxa"/>
            <w:textDirection w:val="lrTb"/>
            <w:noWrap w:val="false"/>
          </w:tcPr>
          <w:p>
            <w:pPr>
              <w:ind w:left="142" w:right="400"/>
              <w:jc w:val="both"/>
              <w:tabs>
                <w:tab w:val="left" w:pos="2520" w:leader="none"/>
              </w:tabs>
            </w:pPr>
            <w:r>
              <w:t xml:space="preserve">Минимальная/максимальная площадь земельных участков –500/5000 кв. м;</w:t>
            </w:r>
            <w:r/>
          </w:p>
          <w:p>
            <w:pPr>
              <w:ind w:left="142" w:right="139"/>
              <w:jc w:val="both"/>
              <w:rPr>
                <w:rFonts w:eastAsia="Calibri"/>
              </w:rPr>
            </w:pPr>
            <w:r>
              <w:rPr>
                <w:rFonts w:eastAsia="Calibri"/>
              </w:rPr>
              <w:t xml:space="preserve">максимальное количество надземных этажей зданий – 2;</w:t>
            </w:r>
            <w:r/>
          </w:p>
          <w:p>
            <w:pPr>
              <w:ind w:left="142" w:right="400"/>
              <w:jc w:val="both"/>
              <w:tabs>
                <w:tab w:val="left" w:pos="2520" w:leader="none"/>
              </w:tabs>
            </w:pPr>
            <w:r>
              <w:t xml:space="preserve">максимальная высота зданий, строений, сооружений от уровня земли - 15 м;</w:t>
            </w:r>
            <w:r/>
          </w:p>
          <w:p>
            <w:pPr>
              <w:ind w:left="142" w:right="400"/>
              <w:jc w:val="both"/>
              <w:tabs>
                <w:tab w:val="left" w:pos="2520" w:leader="none"/>
              </w:tabs>
            </w:pPr>
            <w:r>
              <w:t xml:space="preserve">максимальный процент застройки в границах земельного участка – 60%;</w:t>
            </w:r>
            <w:r/>
          </w:p>
          <w:p>
            <w:pPr>
              <w:ind w:left="142" w:right="400"/>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42" w:right="400"/>
              <w:jc w:val="both"/>
            </w:pPr>
            <w:r>
              <w:rPr>
                <w:rFonts w:eastAsia="SimSun"/>
                <w:lang w:eastAsia="zh-CN" w:bidi="ru-RU"/>
              </w:rPr>
              <w:t xml:space="preserve">минимальный процент озеленения земельного участка 15%.</w:t>
            </w:r>
            <w:r/>
          </w:p>
        </w:tc>
        <w:tc>
          <w:tcPr>
            <w:tcW w:w="2977" w:type="dxa"/>
            <w:vMerge w:val="continue"/>
            <w:textDirection w:val="lrTb"/>
            <w:noWrap w:val="false"/>
          </w:tcPr>
          <w:p>
            <w:pPr>
              <w:ind w:firstLine="567"/>
              <w:jc w:val="both"/>
            </w:pPr>
            <w:r/>
            <w:r/>
          </w:p>
        </w:tc>
      </w:tr>
      <w:tr>
        <w:trPr>
          <w:trHeight w:val="20"/>
        </w:trPr>
        <w:tc>
          <w:tcPr>
            <w:tcW w:w="3114" w:type="dxa"/>
            <w:textDirection w:val="lrTb"/>
            <w:noWrap w:val="false"/>
          </w:tcPr>
          <w:p>
            <w:pPr>
              <w:ind w:left="142" w:right="400"/>
            </w:pPr>
            <w:r>
              <w:rPr>
                <w:lang w:val="en-US"/>
              </w:rPr>
              <w:t xml:space="preserve">[</w:t>
            </w:r>
            <w:r>
              <w:t xml:space="preserve">3.8.1</w:t>
            </w:r>
            <w:r>
              <w:rPr>
                <w:lang w:val="en-US"/>
              </w:rPr>
              <w:t xml:space="preserve">]</w:t>
            </w:r>
            <w:r/>
          </w:p>
          <w:p>
            <w:pPr>
              <w:ind w:left="142" w:right="400"/>
            </w:pPr>
            <w:r>
              <w:t xml:space="preserve">Государственное управление</w:t>
            </w:r>
            <w:r/>
          </w:p>
        </w:tc>
        <w:tc>
          <w:tcPr>
            <w:tcW w:w="4126" w:type="dxa"/>
            <w:textDirection w:val="lrTb"/>
            <w:noWrap w:val="false"/>
          </w:tcPr>
          <w:p>
            <w:pPr>
              <w:ind w:left="142" w:right="117"/>
              <w:jc w:val="both"/>
              <w:widowControl/>
            </w:pPr>
            <w:r>
              <w:t xml:space="preserve">Размещение зданий, пред</w:t>
            </w:r>
            <w:r>
              <w:t xml:space="preserve">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r/>
          </w:p>
        </w:tc>
        <w:tc>
          <w:tcPr>
            <w:tcW w:w="4819" w:type="dxa"/>
            <w:textDirection w:val="lrTb"/>
            <w:noWrap w:val="false"/>
          </w:tcPr>
          <w:p>
            <w:pPr>
              <w:ind w:left="142" w:right="400"/>
              <w:jc w:val="both"/>
              <w:rPr>
                <w:rFonts w:eastAsia="Calibri"/>
              </w:rPr>
            </w:pPr>
            <w:r>
              <w:rPr>
                <w:rFonts w:eastAsia="Calibri"/>
              </w:rPr>
              <w:t xml:space="preserve">Минимальная/максимальная площадь земельных участков – 200/15000 кв.м.;</w:t>
            </w:r>
            <w:r/>
          </w:p>
          <w:p>
            <w:pPr>
              <w:ind w:left="142" w:right="400"/>
              <w:jc w:val="both"/>
              <w:rPr>
                <w:rFonts w:eastAsia="Calibri"/>
              </w:rPr>
            </w:pPr>
            <w:r>
              <w:rPr>
                <w:rFonts w:eastAsia="Calibri"/>
              </w:rPr>
              <w:t xml:space="preserve">максимальное количество надземных этажей зданий – 3 (включая    мансардный этаж);</w:t>
            </w:r>
            <w:r/>
          </w:p>
          <w:p>
            <w:pPr>
              <w:ind w:left="142" w:right="400"/>
              <w:jc w:val="both"/>
              <w:rPr>
                <w:rFonts w:eastAsia="Calibri"/>
              </w:rPr>
            </w:pPr>
            <w:r>
              <w:rPr>
                <w:rFonts w:eastAsia="Calibri"/>
              </w:rPr>
              <w:t xml:space="preserve">максимальный процент застройки в границах земельного участка – 60%;</w:t>
            </w:r>
            <w:r/>
          </w:p>
          <w:p>
            <w:pPr>
              <w:ind w:left="142" w:right="400"/>
              <w:jc w:val="both"/>
              <w:rPr>
                <w:rFonts w:eastAsia="Calibri"/>
              </w:rPr>
            </w:pPr>
            <w:r>
              <w:rPr>
                <w:rFonts w:eastAsia="Calibri"/>
              </w:rPr>
              <w:t xml:space="preserve">минимальные отступы от красной линии – 5 м; от иных границ – 3 м;</w:t>
            </w:r>
            <w:r/>
          </w:p>
          <w:p>
            <w:pPr>
              <w:ind w:left="142" w:right="400"/>
              <w:jc w:val="both"/>
            </w:pPr>
            <w:r>
              <w:rPr>
                <w:rFonts w:eastAsia="Calibri"/>
              </w:rPr>
              <w:t xml:space="preserve">минимальный процент озеленения земельного участка 15%.</w:t>
            </w:r>
            <w:r/>
          </w:p>
        </w:tc>
        <w:tc>
          <w:tcPr>
            <w:tcW w:w="2977" w:type="dxa"/>
            <w:vMerge w:val="continue"/>
            <w:textDirection w:val="lrTb"/>
            <w:noWrap w:val="false"/>
          </w:tcPr>
          <w:p>
            <w:pPr>
              <w:ind w:firstLine="567"/>
              <w:jc w:val="both"/>
            </w:pPr>
            <w:r/>
            <w:r/>
          </w:p>
        </w:tc>
      </w:tr>
      <w:tr>
        <w:trPr>
          <w:trHeight w:val="20"/>
        </w:trPr>
        <w:tc>
          <w:tcPr>
            <w:tcW w:w="3114" w:type="dxa"/>
            <w:textDirection w:val="lrTb"/>
            <w:noWrap w:val="false"/>
          </w:tcPr>
          <w:p>
            <w:pPr>
              <w:ind w:left="142" w:right="400"/>
            </w:pPr>
            <w:r>
              <w:t xml:space="preserve">[3.9.1] </w:t>
            </w:r>
            <w:r/>
          </w:p>
          <w:p>
            <w:pPr>
              <w:ind w:left="142" w:right="400"/>
            </w:pPr>
            <w:r>
              <w:t xml:space="preserve">Обеспечение деятельности в области гидрометеорологии и смежных с ней областях</w:t>
            </w:r>
            <w:r/>
          </w:p>
        </w:tc>
        <w:tc>
          <w:tcPr>
            <w:tcW w:w="4126" w:type="dxa"/>
            <w:textDirection w:val="lrTb"/>
            <w:noWrap w:val="false"/>
          </w:tcPr>
          <w:p>
            <w:pPr>
              <w:ind w:left="142" w:right="117"/>
              <w:jc w:val="both"/>
              <w:widowControl/>
            </w:pPr>
            <w:r>
              <w:t xml:space="preserve">Размещение объектов капитального строительства, предназначе</w:t>
            </w:r>
            <w:r>
              <w:t xml:space="preserve">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w:t>
            </w:r>
            <w:r>
              <w:t xml:space="preserve">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r/>
          </w:p>
        </w:tc>
        <w:tc>
          <w:tcPr>
            <w:tcW w:w="4819" w:type="dxa"/>
            <w:textDirection w:val="lrTb"/>
            <w:noWrap w:val="false"/>
          </w:tcPr>
          <w:p>
            <w:pPr>
              <w:ind w:left="142" w:right="400"/>
              <w:jc w:val="both"/>
            </w:pPr>
            <w:r>
              <w:rPr>
                <w:rFonts w:eastAsia="Calibri"/>
              </w:rPr>
              <w:t xml:space="preserve">М</w:t>
            </w:r>
            <w:r>
              <w:t xml:space="preserve">инимальная/максимальная площадь земельных участков – 1000/15000 кв. м;</w:t>
            </w:r>
            <w:r/>
          </w:p>
          <w:p>
            <w:pPr>
              <w:ind w:left="142" w:right="400"/>
              <w:jc w:val="both"/>
            </w:pPr>
            <w:r>
              <w:t xml:space="preserve">максимальный процент застройки в границах земельного участка –60%;</w:t>
            </w:r>
            <w:r/>
          </w:p>
          <w:p>
            <w:pPr>
              <w:ind w:left="142" w:right="400"/>
              <w:jc w:val="both"/>
            </w:pPr>
            <w:r>
              <w:t xml:space="preserve">максимальное количество надземных этажей зданий – 3;</w:t>
            </w:r>
            <w:r/>
          </w:p>
          <w:p>
            <w:pPr>
              <w:ind w:left="142" w:right="400"/>
              <w:jc w:val="both"/>
            </w:pPr>
            <w:r>
              <w:t xml:space="preserve">максимальная высота зданий, строений, сооружений от уровня земли - 20 м;</w:t>
            </w:r>
            <w:r/>
          </w:p>
          <w:p>
            <w:pPr>
              <w:ind w:left="142" w:right="400"/>
              <w:jc w:val="both"/>
            </w:pPr>
            <w:r>
              <w:t xml:space="preserve">минимальные отступы от красной линии – 5 м; от иных границ – 3 м;  </w:t>
            </w:r>
            <w:r/>
          </w:p>
          <w:p>
            <w:pPr>
              <w:ind w:left="142" w:right="400"/>
              <w:jc w:val="both"/>
            </w:pPr>
            <w:r>
              <w:t xml:space="preserve">минимальный процент озеленения – 15%</w:t>
            </w:r>
            <w:r/>
          </w:p>
          <w:p>
            <w:pPr>
              <w:ind w:left="142" w:right="400"/>
              <w:jc w:val="both"/>
            </w:pPr>
            <w:r/>
            <w:r/>
          </w:p>
        </w:tc>
        <w:tc>
          <w:tcPr>
            <w:tcW w:w="2977" w:type="dxa"/>
            <w:vMerge w:val="continue"/>
            <w:textDirection w:val="lrTb"/>
            <w:noWrap w:val="false"/>
          </w:tcPr>
          <w:p>
            <w:pPr>
              <w:ind w:firstLine="567"/>
              <w:jc w:val="both"/>
            </w:pPr>
            <w:r/>
            <w:r/>
          </w:p>
        </w:tc>
      </w:tr>
      <w:tr>
        <w:trPr>
          <w:trHeight w:val="20"/>
        </w:trPr>
        <w:tc>
          <w:tcPr>
            <w:tcW w:w="3114" w:type="dxa"/>
            <w:textDirection w:val="lrTb"/>
            <w:noWrap w:val="false"/>
          </w:tcPr>
          <w:p>
            <w:pPr>
              <w:ind w:left="142" w:right="400"/>
            </w:pPr>
            <w:r>
              <w:t xml:space="preserve">[3.9.2] </w:t>
            </w:r>
            <w:r/>
          </w:p>
          <w:p>
            <w:pPr>
              <w:ind w:left="142" w:right="400"/>
              <w:rPr>
                <w:highlight w:val="yellow"/>
              </w:rPr>
            </w:pPr>
            <w:r>
              <w:t xml:space="preserve">Проведение научных исследований</w:t>
            </w:r>
            <w:r/>
          </w:p>
        </w:tc>
        <w:tc>
          <w:tcPr>
            <w:tcW w:w="4126" w:type="dxa"/>
            <w:textDirection w:val="lrTb"/>
            <w:noWrap w:val="false"/>
          </w:tcPr>
          <w:p>
            <w:pPr>
              <w:ind w:left="142" w:right="117"/>
              <w:jc w:val="both"/>
              <w:rPr>
                <w:rFonts w:eastAsia="Calibri"/>
              </w:rPr>
            </w:pPr>
            <w:r>
              <w:t xml:space="preserve">Размещение зданий и соор</w:t>
            </w:r>
            <w:r>
              <w:t xml:space="preserve">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r/>
          </w:p>
        </w:tc>
        <w:tc>
          <w:tcPr>
            <w:tcW w:w="4819" w:type="dxa"/>
            <w:textDirection w:val="lrTb"/>
            <w:noWrap w:val="false"/>
          </w:tcPr>
          <w:p>
            <w:pPr>
              <w:ind w:left="142" w:right="400"/>
              <w:jc w:val="both"/>
            </w:pPr>
            <w:r>
              <w:rPr>
                <w:rFonts w:eastAsia="Calibri"/>
              </w:rPr>
              <w:t xml:space="preserve">М</w:t>
            </w:r>
            <w:r>
              <w:t xml:space="preserve">инимальная/максимальная площадь земельных участков – 1000/15000 кв. м;</w:t>
            </w:r>
            <w:r/>
          </w:p>
          <w:p>
            <w:pPr>
              <w:ind w:left="142" w:right="400"/>
              <w:jc w:val="both"/>
            </w:pPr>
            <w:r>
              <w:t xml:space="preserve">максимальный процент застройки в границах земельного участка –60%;</w:t>
            </w:r>
            <w:r/>
          </w:p>
          <w:p>
            <w:pPr>
              <w:ind w:left="142" w:right="400"/>
              <w:jc w:val="both"/>
            </w:pPr>
            <w:r>
              <w:t xml:space="preserve">максимальное количество надземных этажей зданий – 3;</w:t>
            </w:r>
            <w:r/>
          </w:p>
          <w:p>
            <w:pPr>
              <w:ind w:left="142" w:right="400"/>
              <w:jc w:val="both"/>
            </w:pPr>
            <w:r>
              <w:t xml:space="preserve">максимальная высота зданий, строений, сооружений от уровня земли - 20 м;</w:t>
            </w:r>
            <w:r/>
          </w:p>
          <w:p>
            <w:pPr>
              <w:ind w:left="142" w:right="400"/>
              <w:jc w:val="both"/>
            </w:pPr>
            <w:r>
              <w:t xml:space="preserve">минимальные отступы от красной линии – 5 м; от иных границ – 3 м;  </w:t>
            </w:r>
            <w:r/>
          </w:p>
          <w:p>
            <w:pPr>
              <w:ind w:left="142" w:right="400"/>
              <w:jc w:val="both"/>
            </w:pPr>
            <w:r>
              <w:t xml:space="preserve">минимальный процент озеленения – 15%</w:t>
            </w:r>
            <w:r/>
          </w:p>
        </w:tc>
        <w:tc>
          <w:tcPr>
            <w:tcW w:w="2977" w:type="dxa"/>
            <w:vMerge w:val="continue"/>
            <w:textDirection w:val="lrTb"/>
            <w:noWrap w:val="false"/>
          </w:tcPr>
          <w:p>
            <w:pPr>
              <w:ind w:firstLine="567"/>
              <w:jc w:val="both"/>
            </w:pPr>
            <w:r/>
            <w:r/>
          </w:p>
        </w:tc>
      </w:tr>
      <w:tr>
        <w:trPr>
          <w:trHeight w:val="20"/>
        </w:trPr>
        <w:tc>
          <w:tcPr>
            <w:tcW w:w="3114" w:type="dxa"/>
            <w:textDirection w:val="lrTb"/>
            <w:noWrap w:val="false"/>
          </w:tcPr>
          <w:p>
            <w:pPr>
              <w:ind w:left="142" w:right="400"/>
            </w:pPr>
            <w:r>
              <w:t xml:space="preserve">[3.9.3] </w:t>
            </w:r>
            <w:r/>
          </w:p>
          <w:p>
            <w:pPr>
              <w:ind w:left="142" w:right="400"/>
            </w:pPr>
            <w:r>
              <w:t xml:space="preserve">Проведение научных испытаний</w:t>
            </w:r>
            <w:r/>
          </w:p>
        </w:tc>
        <w:tc>
          <w:tcPr>
            <w:tcW w:w="4126" w:type="dxa"/>
            <w:textDirection w:val="lrTb"/>
            <w:noWrap w:val="false"/>
          </w:tcPr>
          <w:p>
            <w:pPr>
              <w:ind w:left="142" w:right="117"/>
              <w:jc w:val="both"/>
            </w:pPr>
            <w:r>
              <w:t xml:space="preserve">Размещение зданий и сооружений для проведения изысканий, испытаний опытных промышле</w:t>
            </w:r>
            <w:r>
              <w:t xml:space="preserve">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r/>
          </w:p>
          <w:p>
            <w:pPr>
              <w:ind w:left="142" w:right="117"/>
              <w:jc w:val="both"/>
            </w:pPr>
            <w:r/>
            <w:r/>
          </w:p>
        </w:tc>
        <w:tc>
          <w:tcPr>
            <w:tcW w:w="4819" w:type="dxa"/>
            <w:textDirection w:val="lrTb"/>
            <w:noWrap w:val="false"/>
          </w:tcPr>
          <w:p>
            <w:pPr>
              <w:ind w:left="142" w:right="400"/>
              <w:jc w:val="both"/>
            </w:pPr>
            <w:r>
              <w:rPr>
                <w:rFonts w:eastAsia="Calibri"/>
              </w:rPr>
              <w:t xml:space="preserve">М</w:t>
            </w:r>
            <w:r>
              <w:t xml:space="preserve">инимальная/максимальная площадь земельных участков – 1000/15000 кв. м;</w:t>
            </w:r>
            <w:r/>
          </w:p>
          <w:p>
            <w:pPr>
              <w:ind w:left="142" w:right="400"/>
              <w:jc w:val="both"/>
            </w:pPr>
            <w:r>
              <w:t xml:space="preserve">максимальный процент застройки в границах земельного участка –60%;</w:t>
            </w:r>
            <w:r/>
          </w:p>
          <w:p>
            <w:pPr>
              <w:ind w:left="142" w:right="400"/>
              <w:jc w:val="both"/>
            </w:pPr>
            <w:r>
              <w:t xml:space="preserve">максимальное количество надземных этажей зданий – 3;</w:t>
            </w:r>
            <w:r/>
          </w:p>
          <w:p>
            <w:pPr>
              <w:ind w:left="142" w:right="400"/>
              <w:jc w:val="both"/>
            </w:pPr>
            <w:r>
              <w:t xml:space="preserve"> максимальная высота зданий, строений, сооружений от уровня земли - 25 м;</w:t>
            </w:r>
            <w:r/>
          </w:p>
          <w:p>
            <w:pPr>
              <w:ind w:left="142" w:right="400"/>
              <w:jc w:val="both"/>
            </w:pPr>
            <w:r>
              <w:t xml:space="preserve">минимальные отступы от красной линии – 5 м; от иных границ – 3 м.</w:t>
            </w:r>
            <w:r/>
          </w:p>
          <w:p>
            <w:pPr>
              <w:ind w:left="142" w:right="400"/>
              <w:jc w:val="both"/>
            </w:pPr>
            <w:r>
              <w:rPr>
                <w:rFonts w:eastAsia="Calibri"/>
              </w:rPr>
              <w:t xml:space="preserve">минимальный процент озеленения земельного участка 15%.</w:t>
            </w:r>
            <w:r/>
          </w:p>
        </w:tc>
        <w:tc>
          <w:tcPr>
            <w:tcW w:w="2977" w:type="dxa"/>
            <w:vMerge w:val="continue"/>
            <w:textDirection w:val="lrTb"/>
            <w:noWrap w:val="false"/>
          </w:tcPr>
          <w:p>
            <w:pPr>
              <w:ind w:firstLine="567"/>
              <w:jc w:val="both"/>
            </w:pPr>
            <w:r/>
            <w:r/>
          </w:p>
        </w:tc>
      </w:tr>
      <w:tr>
        <w:trPr>
          <w:trHeight w:val="20"/>
        </w:trPr>
        <w:tc>
          <w:tcPr>
            <w:tcW w:w="3114" w:type="dxa"/>
            <w:textDirection w:val="lrTb"/>
            <w:noWrap w:val="false"/>
          </w:tcPr>
          <w:p>
            <w:pPr>
              <w:ind w:left="142" w:right="117"/>
            </w:pPr>
            <w:r>
              <w:rPr>
                <w:lang w:val="en-US"/>
              </w:rPr>
              <w:t xml:space="preserve">[</w:t>
            </w:r>
            <w:r>
              <w:t xml:space="preserve">4.8.1</w:t>
            </w:r>
            <w:r>
              <w:rPr>
                <w:lang w:val="en-US"/>
              </w:rPr>
              <w:t xml:space="preserve">]</w:t>
            </w:r>
            <w:r>
              <w:tab/>
            </w:r>
            <w:r/>
          </w:p>
          <w:p>
            <w:pPr>
              <w:ind w:left="142" w:right="117"/>
            </w:pPr>
            <w:r>
              <w:t xml:space="preserve">Развлекательные мероприятия</w:t>
            </w:r>
            <w:r/>
          </w:p>
        </w:tc>
        <w:tc>
          <w:tcPr>
            <w:tcW w:w="4126" w:type="dxa"/>
            <w:textDirection w:val="lrTb"/>
            <w:noWrap w:val="false"/>
          </w:tcPr>
          <w:p>
            <w:pPr>
              <w:ind w:left="142" w:right="117"/>
              <w:jc w:val="both"/>
              <w:tabs>
                <w:tab w:val="left" w:pos="3965" w:leader="none"/>
              </w:tabs>
            </w:pPr>
            <w:r>
              <w:t xml:space="preserve">Размещение зданий и сооружений, </w:t>
            </w:r>
            <w:r>
              <w:t xml:space="preserve">предназначенных для организации ра</w:t>
            </w:r>
            <w:r>
              <w:t xml:space="preserve">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r/>
          </w:p>
        </w:tc>
        <w:tc>
          <w:tcPr>
            <w:tcW w:w="4819" w:type="dxa"/>
            <w:textDirection w:val="lrTb"/>
            <w:noWrap w:val="false"/>
          </w:tcPr>
          <w:p>
            <w:pPr>
              <w:ind w:left="142" w:right="117"/>
              <w:jc w:val="both"/>
              <w:rPr>
                <w:rFonts w:eastAsia="Calibri"/>
              </w:rPr>
            </w:pPr>
            <w:r>
              <w:rPr>
                <w:rFonts w:eastAsia="Calibri"/>
              </w:rPr>
              <w:t xml:space="preserve">Минимальная/максимальная площадь земельных </w:t>
            </w:r>
            <w:r>
              <w:rPr>
                <w:rFonts w:eastAsia="Calibri"/>
              </w:rPr>
              <w:t xml:space="preserve">участков – 500/15000 кв. м;</w:t>
            </w:r>
            <w:r/>
          </w:p>
          <w:p>
            <w:pPr>
              <w:ind w:left="142" w:right="117"/>
              <w:jc w:val="both"/>
              <w:rPr>
                <w:rFonts w:eastAsia="Calibri"/>
              </w:rPr>
            </w:pPr>
            <w:r>
              <w:rPr>
                <w:rFonts w:eastAsia="Calibri"/>
              </w:rPr>
              <w:t xml:space="preserve">максимальный процент застройки в границах земельного участка –60%;</w:t>
            </w:r>
            <w:r/>
          </w:p>
          <w:p>
            <w:pPr>
              <w:ind w:left="142" w:right="117"/>
              <w:jc w:val="both"/>
              <w:rPr>
                <w:rFonts w:eastAsia="Calibri"/>
              </w:rPr>
            </w:pPr>
            <w:r>
              <w:rPr>
                <w:rFonts w:eastAsia="Calibri"/>
              </w:rPr>
              <w:t xml:space="preserve">максимальное количество надземных этажей зданий –   2;</w:t>
            </w:r>
            <w:r/>
          </w:p>
          <w:p>
            <w:pPr>
              <w:ind w:left="142" w:right="117"/>
              <w:jc w:val="both"/>
              <w:rPr>
                <w:rFonts w:eastAsia="Calibri"/>
              </w:rPr>
            </w:pPr>
            <w:r>
              <w:rPr>
                <w:rFonts w:eastAsia="Calibri"/>
              </w:rPr>
              <w:t xml:space="preserve">максимальная высота зданий, строений, сооружений от уровня земли - 12 м;</w:t>
            </w:r>
            <w:r/>
          </w:p>
          <w:p>
            <w:pPr>
              <w:ind w:left="142" w:right="117"/>
              <w:jc w:val="both"/>
              <w:rPr>
                <w:rFonts w:eastAsia="Calibri"/>
              </w:rPr>
            </w:pPr>
            <w:r>
              <w:rPr>
                <w:rFonts w:eastAsia="Calibri"/>
              </w:rPr>
              <w:t xml:space="preserve">минимальные отступы от красной линии – 5 м; от иных границ – 3 м;</w:t>
            </w:r>
            <w:r/>
          </w:p>
          <w:p>
            <w:pPr>
              <w:ind w:left="142" w:right="117"/>
              <w:jc w:val="both"/>
            </w:pPr>
            <w:r>
              <w:rPr>
                <w:rFonts w:eastAsia="Calibri"/>
              </w:rPr>
              <w:t xml:space="preserve">минимальный процент озеленения земельного участка 15%.</w:t>
            </w:r>
            <w:r/>
          </w:p>
        </w:tc>
        <w:tc>
          <w:tcPr>
            <w:tcW w:w="2977" w:type="dxa"/>
            <w:vMerge w:val="continue"/>
            <w:textDirection w:val="lrTb"/>
            <w:noWrap w:val="false"/>
          </w:tcPr>
          <w:p>
            <w:pPr>
              <w:ind w:firstLine="567"/>
              <w:jc w:val="both"/>
            </w:pPr>
            <w:r/>
            <w:r/>
          </w:p>
        </w:tc>
      </w:tr>
      <w:tr>
        <w:trPr>
          <w:trHeight w:val="20"/>
        </w:trPr>
        <w:tc>
          <w:tcPr>
            <w:tcW w:w="3114" w:type="dxa"/>
            <w:textDirection w:val="lrTb"/>
            <w:noWrap w:val="false"/>
          </w:tcPr>
          <w:p>
            <w:pPr>
              <w:ind w:left="142" w:right="117"/>
            </w:pPr>
            <w:r>
              <w:rPr>
                <w:lang w:val="en-US"/>
              </w:rPr>
              <w:t xml:space="preserve">[</w:t>
            </w:r>
            <w:r>
              <w:t xml:space="preserve">5.1.1</w:t>
            </w:r>
            <w:r>
              <w:rPr>
                <w:lang w:val="en-US"/>
              </w:rPr>
              <w:t xml:space="preserve">]</w:t>
            </w:r>
            <w:r>
              <w:tab/>
            </w:r>
            <w:r/>
          </w:p>
          <w:p>
            <w:pPr>
              <w:ind w:left="142" w:right="117"/>
            </w:pPr>
            <w:r>
              <w:t xml:space="preserve">Обеспечение спортивно-зрелищных мероприятий</w:t>
            </w:r>
            <w:r/>
          </w:p>
        </w:tc>
        <w:tc>
          <w:tcPr>
            <w:tcW w:w="4126" w:type="dxa"/>
            <w:textDirection w:val="lrTb"/>
            <w:noWrap w:val="false"/>
          </w:tcPr>
          <w:p>
            <w:pPr>
              <w:ind w:left="142" w:right="117"/>
              <w:jc w:val="both"/>
              <w:tabs>
                <w:tab w:val="left" w:pos="3965" w:leader="none"/>
              </w:tabs>
            </w:pPr>
            <w:r>
              <w:t xml:space="preserve">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r/>
          </w:p>
        </w:tc>
        <w:tc>
          <w:tcPr>
            <w:tcW w:w="4819" w:type="dxa"/>
            <w:textDirection w:val="lrTb"/>
            <w:noWrap w:val="false"/>
          </w:tcPr>
          <w:p>
            <w:pPr>
              <w:ind w:left="142" w:right="117"/>
              <w:jc w:val="both"/>
              <w:rPr>
                <w:rFonts w:eastAsia="Calibri"/>
              </w:rPr>
            </w:pPr>
            <w:r>
              <w:rPr>
                <w:rFonts w:eastAsia="Calibri"/>
              </w:rPr>
              <w:t xml:space="preserve">Минимальная/максимальная площадь земельных участков – 1000/10000 кв. м;</w:t>
            </w:r>
            <w:r/>
          </w:p>
          <w:p>
            <w:pPr>
              <w:ind w:left="142" w:right="117"/>
              <w:jc w:val="both"/>
              <w:rPr>
                <w:rFonts w:eastAsia="Calibri"/>
              </w:rPr>
            </w:pPr>
            <w:r>
              <w:rPr>
                <w:rFonts w:eastAsia="Calibri"/>
              </w:rPr>
              <w:t xml:space="preserve">максимальный процент застройки в границах земельного участка – 60%;</w:t>
            </w:r>
            <w:r/>
          </w:p>
          <w:p>
            <w:pPr>
              <w:ind w:left="142" w:right="117"/>
              <w:jc w:val="both"/>
              <w:rPr>
                <w:rFonts w:eastAsia="Calibri"/>
              </w:rPr>
            </w:pPr>
            <w:r>
              <w:rPr>
                <w:rFonts w:eastAsia="Calibri"/>
              </w:rPr>
              <w:t xml:space="preserve">максимальное количество надземных этажей зданий – 2;</w:t>
            </w:r>
            <w:r/>
          </w:p>
          <w:p>
            <w:pPr>
              <w:ind w:left="142" w:right="117"/>
              <w:jc w:val="both"/>
              <w:rPr>
                <w:rFonts w:eastAsia="Calibri"/>
              </w:rPr>
            </w:pPr>
            <w:r>
              <w:rPr>
                <w:rFonts w:eastAsia="Calibri"/>
              </w:rPr>
              <w:t xml:space="preserve">максимальная высота зданий, строений, сооружений от уровня земли -  15 м;</w:t>
            </w:r>
            <w:r/>
          </w:p>
          <w:p>
            <w:pPr>
              <w:ind w:left="142" w:right="117"/>
              <w:jc w:val="both"/>
              <w:rPr>
                <w:rFonts w:eastAsia="Calibri"/>
              </w:rPr>
            </w:pPr>
            <w:r>
              <w:rPr>
                <w:rFonts w:eastAsia="Calibri"/>
              </w:rPr>
              <w:t xml:space="preserve">минимальные отступы от красной линии – 5 м; от иных границ – 3 м;</w:t>
            </w:r>
            <w:r/>
          </w:p>
          <w:p>
            <w:pPr>
              <w:ind w:left="142" w:right="117"/>
              <w:jc w:val="both"/>
            </w:pPr>
            <w:r>
              <w:rPr>
                <w:rFonts w:eastAsia="Calibri"/>
              </w:rPr>
              <w:t xml:space="preserve">минимальный процент озеленения земельного участка 15%.</w:t>
            </w:r>
            <w:r/>
          </w:p>
        </w:tc>
        <w:tc>
          <w:tcPr>
            <w:tcW w:w="2977" w:type="dxa"/>
            <w:vMerge w:val="continue"/>
            <w:textDirection w:val="lrTb"/>
            <w:noWrap w:val="false"/>
          </w:tcPr>
          <w:p>
            <w:pPr>
              <w:ind w:firstLine="567"/>
              <w:jc w:val="both"/>
            </w:pPr>
            <w:r/>
            <w:r/>
          </w:p>
        </w:tc>
      </w:tr>
      <w:tr>
        <w:trPr>
          <w:trHeight w:val="20"/>
        </w:trPr>
        <w:tc>
          <w:tcPr>
            <w:tcW w:w="3114" w:type="dxa"/>
            <w:textDirection w:val="lrTb"/>
            <w:noWrap w:val="false"/>
          </w:tcPr>
          <w:p>
            <w:pPr>
              <w:ind w:left="142" w:right="117"/>
            </w:pPr>
            <w:r>
              <w:t xml:space="preserve">[5.1.2]</w:t>
            </w:r>
            <w:r>
              <w:tab/>
            </w:r>
            <w:r/>
          </w:p>
          <w:p>
            <w:pPr>
              <w:ind w:left="142" w:right="117"/>
            </w:pPr>
            <w:r>
              <w:t xml:space="preserve">Обеспечение занятий спортом в помещениях</w:t>
            </w:r>
            <w:r/>
          </w:p>
        </w:tc>
        <w:tc>
          <w:tcPr>
            <w:tcW w:w="4126" w:type="dxa"/>
            <w:textDirection w:val="lrTb"/>
            <w:noWrap w:val="false"/>
          </w:tcPr>
          <w:p>
            <w:pPr>
              <w:ind w:left="142" w:right="117"/>
              <w:jc w:val="both"/>
              <w:tabs>
                <w:tab w:val="left" w:pos="3965" w:leader="none"/>
              </w:tabs>
            </w:pPr>
            <w:r>
              <w:t xml:space="preserve">Размещение спортивных клубов, спортивных залов, бассейнов, физкультурно-оздоровительных комплексов в зданиях и сооружениях</w:t>
            </w:r>
            <w:r/>
          </w:p>
        </w:tc>
        <w:tc>
          <w:tcPr>
            <w:tcW w:w="4819" w:type="dxa"/>
            <w:textDirection w:val="lrTb"/>
            <w:noWrap w:val="false"/>
          </w:tcPr>
          <w:p>
            <w:pPr>
              <w:ind w:left="142" w:right="117"/>
              <w:jc w:val="both"/>
              <w:rPr>
                <w:rFonts w:eastAsia="Calibri"/>
              </w:rPr>
            </w:pPr>
            <w:r>
              <w:rPr>
                <w:rFonts w:eastAsia="Calibri"/>
              </w:rPr>
              <w:t xml:space="preserve">Минимальная/максимальная площадь земельных участков –1000/10000 кв. м;</w:t>
            </w:r>
            <w:r/>
          </w:p>
          <w:p>
            <w:pPr>
              <w:ind w:left="142" w:right="117"/>
              <w:jc w:val="both"/>
              <w:rPr>
                <w:rFonts w:eastAsia="Calibri"/>
              </w:rPr>
            </w:pPr>
            <w:r>
              <w:rPr>
                <w:rFonts w:eastAsia="Calibri"/>
              </w:rPr>
              <w:t xml:space="preserve">максимальное количество надземных этажей зданий – 2;</w:t>
            </w:r>
            <w:r/>
          </w:p>
          <w:p>
            <w:pPr>
              <w:ind w:left="142" w:right="117"/>
              <w:jc w:val="both"/>
              <w:rPr>
                <w:rFonts w:eastAsia="Calibri"/>
              </w:rPr>
            </w:pPr>
            <w:r>
              <w:rPr>
                <w:rFonts w:eastAsia="Calibri"/>
              </w:rPr>
              <w:t xml:space="preserve">максимальная высота зданий, строений, сооружений от уровня земли – 15 м.;</w:t>
            </w:r>
            <w:r/>
          </w:p>
          <w:p>
            <w:pPr>
              <w:ind w:left="142" w:right="117"/>
              <w:jc w:val="both"/>
              <w:rPr>
                <w:rFonts w:eastAsia="Calibri"/>
              </w:rPr>
            </w:pPr>
            <w:r>
              <w:rPr>
                <w:rFonts w:eastAsia="Calibri"/>
              </w:rPr>
              <w:t xml:space="preserve">максимальный процент застройки в границах земельного участка – 60 %;</w:t>
            </w:r>
            <w:r/>
          </w:p>
          <w:p>
            <w:pPr>
              <w:ind w:left="142" w:right="117"/>
              <w:jc w:val="both"/>
              <w:rPr>
                <w:rFonts w:eastAsia="Calibri"/>
              </w:rPr>
            </w:pPr>
            <w:r>
              <w:rPr>
                <w:rFonts w:eastAsia="Calibri"/>
              </w:rPr>
              <w:t xml:space="preserve">минимальные отступы от красной линии – 5 м; от иных границ – 3 м.</w:t>
            </w:r>
            <w:r/>
          </w:p>
          <w:p>
            <w:pPr>
              <w:ind w:left="142" w:right="117"/>
              <w:jc w:val="both"/>
            </w:pPr>
            <w:r>
              <w:rPr>
                <w:rFonts w:eastAsia="Calibri"/>
              </w:rPr>
              <w:t xml:space="preserve">минимальный процент озеленения земельного участка15%.</w:t>
            </w:r>
            <w:r/>
          </w:p>
        </w:tc>
        <w:tc>
          <w:tcPr>
            <w:tcW w:w="2977" w:type="dxa"/>
            <w:vMerge w:val="continue"/>
            <w:textDirection w:val="lrTb"/>
            <w:noWrap w:val="false"/>
          </w:tcPr>
          <w:p>
            <w:pPr>
              <w:ind w:firstLine="567"/>
              <w:jc w:val="both"/>
            </w:pPr>
            <w:r/>
            <w:r/>
          </w:p>
        </w:tc>
      </w:tr>
      <w:tr>
        <w:trPr>
          <w:trHeight w:val="20"/>
        </w:trPr>
        <w:tc>
          <w:tcPr>
            <w:tcW w:w="3114" w:type="dxa"/>
            <w:textDirection w:val="lrTb"/>
            <w:noWrap w:val="false"/>
          </w:tcPr>
          <w:p>
            <w:pPr>
              <w:ind w:left="142" w:right="117"/>
            </w:pPr>
            <w:r>
              <w:rPr>
                <w:lang w:val="en-US"/>
              </w:rPr>
              <w:t xml:space="preserve">[</w:t>
            </w:r>
            <w:r>
              <w:t xml:space="preserve">5.1.3</w:t>
            </w:r>
            <w:r>
              <w:rPr>
                <w:lang w:val="en-US"/>
              </w:rPr>
              <w:t xml:space="preserve">]</w:t>
            </w:r>
            <w:r>
              <w:tab/>
            </w:r>
            <w:r/>
          </w:p>
          <w:p>
            <w:pPr>
              <w:ind w:left="142" w:right="117"/>
            </w:pPr>
            <w:r>
              <w:t xml:space="preserve">Площадки для занятий спортом</w:t>
            </w:r>
            <w:r/>
          </w:p>
          <w:p>
            <w:pPr>
              <w:ind w:left="142" w:right="117"/>
            </w:pPr>
            <w:r/>
            <w:r/>
          </w:p>
        </w:tc>
        <w:tc>
          <w:tcPr>
            <w:tcW w:w="4126" w:type="dxa"/>
            <w:textDirection w:val="lrTb"/>
            <w:noWrap w:val="false"/>
          </w:tcPr>
          <w:p>
            <w:pPr>
              <w:ind w:left="142" w:right="117"/>
              <w:jc w:val="both"/>
              <w:tabs>
                <w:tab w:val="left" w:pos="3965" w:leader="none"/>
              </w:tabs>
            </w:pPr>
            <w:r>
              <w:t xml:space="preserve">Размещение площадок для занятия спортом и физкультурой на открытом воздухе (физкультурные площадки, беговые дорожки, поля для спортивной игры)</w:t>
            </w:r>
            <w:r/>
          </w:p>
        </w:tc>
        <w:tc>
          <w:tcPr>
            <w:tcW w:w="4819" w:type="dxa"/>
            <w:textDirection w:val="lrTb"/>
            <w:noWrap w:val="false"/>
          </w:tcPr>
          <w:p>
            <w:pPr>
              <w:ind w:left="142" w:right="117"/>
              <w:jc w:val="both"/>
              <w:rPr>
                <w:rFonts w:eastAsia="Calibri"/>
              </w:rPr>
            </w:pPr>
            <w:r>
              <w:rPr>
                <w:rFonts w:eastAsia="Calibri"/>
              </w:rPr>
              <w:t xml:space="preserve">Минимальная/максимальная площадь земельных участков –400/10000 кв. м;</w:t>
            </w:r>
            <w:r/>
          </w:p>
          <w:p>
            <w:pPr>
              <w:ind w:left="142" w:right="117"/>
              <w:jc w:val="both"/>
              <w:rPr>
                <w:rFonts w:eastAsia="Calibri"/>
              </w:rPr>
            </w:pPr>
            <w:r>
              <w:rPr>
                <w:rFonts w:eastAsia="Calibri"/>
              </w:rPr>
              <w:t xml:space="preserve">минимальный процент озеленения земельного участка 15%.</w:t>
            </w:r>
            <w:r/>
          </w:p>
        </w:tc>
        <w:tc>
          <w:tcPr>
            <w:tcW w:w="2977" w:type="dxa"/>
            <w:vMerge w:val="continue"/>
            <w:textDirection w:val="lrTb"/>
            <w:noWrap w:val="false"/>
          </w:tcPr>
          <w:p>
            <w:pPr>
              <w:ind w:firstLine="567"/>
              <w:jc w:val="both"/>
            </w:pPr>
            <w:r/>
            <w:r/>
          </w:p>
        </w:tc>
      </w:tr>
      <w:tr>
        <w:trPr>
          <w:trHeight w:val="20"/>
        </w:trPr>
        <w:tc>
          <w:tcPr>
            <w:tcW w:w="3114" w:type="dxa"/>
            <w:textDirection w:val="lrTb"/>
            <w:noWrap w:val="false"/>
          </w:tcPr>
          <w:p>
            <w:pPr>
              <w:pStyle w:val="1308"/>
              <w:ind w:left="172"/>
              <w:rPr>
                <w:spacing w:val="-4"/>
                <w:sz w:val="20"/>
                <w:lang w:val="ru-RU"/>
              </w:rPr>
            </w:pPr>
            <w:r>
              <w:rPr>
                <w:sz w:val="20"/>
              </w:rPr>
              <w:t xml:space="preserve">[8.3]</w:t>
            </w:r>
            <w:r>
              <w:rPr>
                <w:spacing w:val="-4"/>
                <w:sz w:val="20"/>
              </w:rPr>
              <w:t xml:space="preserve"> </w:t>
            </w:r>
            <w:r/>
          </w:p>
          <w:p>
            <w:pPr>
              <w:pStyle w:val="1308"/>
              <w:ind w:left="172"/>
              <w:jc w:val="both"/>
              <w:rPr>
                <w:sz w:val="20"/>
              </w:rPr>
            </w:pPr>
            <w:r>
              <w:rPr>
                <w:sz w:val="20"/>
                <w:szCs w:val="20"/>
                <w:lang w:val="ru-RU" w:eastAsia="ar-SA"/>
              </w:rPr>
              <w:t xml:space="preserve">Обеспечение внутреннего правопорядка</w:t>
            </w:r>
            <w:r/>
          </w:p>
        </w:tc>
        <w:tc>
          <w:tcPr>
            <w:tcW w:w="4126" w:type="dxa"/>
            <w:textDirection w:val="lrTb"/>
            <w:noWrap w:val="false"/>
          </w:tcPr>
          <w:p>
            <w:pPr>
              <w:pStyle w:val="1308"/>
              <w:ind w:firstLine="175"/>
              <w:jc w:val="both"/>
              <w:rPr>
                <w:sz w:val="20"/>
                <w:lang w:val="ru-RU"/>
              </w:rPr>
            </w:pPr>
            <w:r>
              <w:rPr>
                <w:sz w:val="20"/>
                <w:lang w:val="ru-RU"/>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w:t>
            </w:r>
            <w:r>
              <w:rPr>
                <w:sz w:val="20"/>
                <w:lang w:val="ru-RU"/>
              </w:rPr>
              <w:t xml:space="preserve">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r/>
          </w:p>
        </w:tc>
        <w:tc>
          <w:tcPr>
            <w:tcW w:w="4819" w:type="dxa"/>
            <w:textDirection w:val="lrTb"/>
            <w:noWrap w:val="false"/>
          </w:tcPr>
          <w:p>
            <w:pPr>
              <w:ind w:left="34"/>
              <w:jc w:val="both"/>
            </w:pPr>
            <w:r>
              <w:t xml:space="preserve">Минимальная/максимальная</w:t>
            </w:r>
            <w:r>
              <w:tab/>
              <w:t xml:space="preserve">площадь</w:t>
            </w:r>
            <w:r/>
          </w:p>
          <w:p>
            <w:pPr>
              <w:ind w:left="34"/>
              <w:jc w:val="both"/>
            </w:pPr>
            <w:r>
              <w:t xml:space="preserve">земельных участков –200/15000 кв. м; максимальный процент застройки в границах земельного участка –60%;</w:t>
            </w:r>
            <w:r/>
          </w:p>
          <w:p>
            <w:pPr>
              <w:ind w:left="34"/>
              <w:jc w:val="both"/>
            </w:pPr>
            <w:r>
              <w:t xml:space="preserve">максимальное количество надземных этажей зданий – 4 этажа;</w:t>
            </w:r>
            <w:r/>
          </w:p>
          <w:p>
            <w:pPr>
              <w:ind w:left="34"/>
              <w:jc w:val="both"/>
            </w:pPr>
            <w:r>
              <w:t xml:space="preserve">максимальная</w:t>
            </w:r>
            <w:r>
              <w:tab/>
              <w:t xml:space="preserve">высота</w:t>
            </w:r>
            <w:r>
              <w:tab/>
              <w:t xml:space="preserve">зданий,</w:t>
            </w:r>
            <w:r>
              <w:tab/>
              <w:t xml:space="preserve">строений, сооружений от уровня земли - 20 м;</w:t>
            </w:r>
            <w:r/>
          </w:p>
          <w:p>
            <w:pPr>
              <w:ind w:left="34"/>
              <w:jc w:val="both"/>
            </w:pPr>
            <w:r>
              <w:t xml:space="preserve">минимальные отступы от красной линии – 5 м; от иных границ – 3 м.</w:t>
            </w:r>
            <w:r/>
          </w:p>
        </w:tc>
        <w:tc>
          <w:tcPr>
            <w:tcW w:w="2977" w:type="dxa"/>
            <w:vMerge w:val="continue"/>
            <w:textDirection w:val="lrTb"/>
            <w:noWrap w:val="false"/>
          </w:tcPr>
          <w:p>
            <w:pPr>
              <w:ind w:firstLine="567"/>
              <w:jc w:val="both"/>
            </w:pPr>
            <w:r/>
            <w:r/>
          </w:p>
        </w:tc>
      </w:tr>
      <w:tr>
        <w:trPr>
          <w:trHeight w:val="20"/>
        </w:trPr>
        <w:tc>
          <w:tcPr>
            <w:tcW w:w="3114" w:type="dxa"/>
            <w:textDirection w:val="lrTb"/>
            <w:noWrap w:val="false"/>
          </w:tcPr>
          <w:p>
            <w:pPr>
              <w:ind w:left="142" w:right="117"/>
            </w:pPr>
            <w:r>
              <w:t xml:space="preserve">[9.3] </w:t>
            </w:r>
            <w:r/>
          </w:p>
          <w:p>
            <w:pPr>
              <w:ind w:left="142" w:right="117"/>
              <w:rPr>
                <w:lang w:val="en-US"/>
              </w:rPr>
            </w:pPr>
            <w:r>
              <w:t xml:space="preserve">Историко-культурная деятельность</w:t>
            </w:r>
            <w:r/>
          </w:p>
        </w:tc>
        <w:tc>
          <w:tcPr>
            <w:tcW w:w="4126" w:type="dxa"/>
            <w:textDirection w:val="lrTb"/>
            <w:noWrap w:val="false"/>
          </w:tcPr>
          <w:p>
            <w:pPr>
              <w:ind w:left="142" w:right="117"/>
              <w:jc w:val="both"/>
              <w:tabs>
                <w:tab w:val="left" w:pos="3965" w:leader="none"/>
              </w:tabs>
            </w:pPr>
            <w:r>
              <w:t xml:space="preserve">Сохранение и изучение объектов к</w:t>
            </w:r>
            <w:r>
              <w:t xml:space="preserve">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w:t>
            </w:r>
            <w:r>
              <w:br/>
              <w:t xml:space="preserve">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r/>
          </w:p>
        </w:tc>
        <w:tc>
          <w:tcPr>
            <w:tcW w:w="4819" w:type="dxa"/>
            <w:textDirection w:val="lrTb"/>
            <w:noWrap w:val="false"/>
          </w:tcPr>
          <w:p>
            <w:pPr>
              <w:ind w:left="142" w:right="117"/>
              <w:jc w:val="center"/>
              <w:tabs>
                <w:tab w:val="left" w:pos="1134" w:leader="none"/>
              </w:tabs>
            </w:pPr>
            <w:r>
              <w:t xml:space="preserve">Регламенты не распространяются</w:t>
            </w:r>
            <w:r/>
          </w:p>
          <w:p>
            <w:pPr>
              <w:ind w:left="142" w:right="117"/>
              <w:jc w:val="center"/>
              <w:rPr>
                <w:rFonts w:eastAsia="Calibri"/>
              </w:rPr>
            </w:pPr>
            <w:r>
              <w:t xml:space="preserve">(не подлежат установлению)</w:t>
            </w:r>
            <w:r/>
          </w:p>
        </w:tc>
        <w:tc>
          <w:tcPr>
            <w:tcW w:w="2977" w:type="dxa"/>
            <w:vMerge w:val="continue"/>
            <w:textDirection w:val="lrTb"/>
            <w:noWrap w:val="false"/>
          </w:tcPr>
          <w:p>
            <w:pPr>
              <w:ind w:firstLine="567"/>
              <w:jc w:val="both"/>
            </w:pPr>
            <w:r/>
            <w:r/>
          </w:p>
        </w:tc>
      </w:tr>
      <w:tr>
        <w:trPr>
          <w:trHeight w:val="20"/>
        </w:trPr>
        <w:tc>
          <w:tcPr>
            <w:tcW w:w="3114" w:type="dxa"/>
            <w:textDirection w:val="lrTb"/>
            <w:noWrap w:val="false"/>
          </w:tcPr>
          <w:p>
            <w:pPr>
              <w:ind w:left="142" w:right="117"/>
              <w:tabs>
                <w:tab w:val="left" w:pos="2520" w:leader="none"/>
              </w:tabs>
            </w:pPr>
            <w:r>
              <w:t xml:space="preserve">[12.0.2] </w:t>
            </w:r>
            <w:r/>
          </w:p>
          <w:p>
            <w:pPr>
              <w:ind w:left="142" w:right="117"/>
            </w:pPr>
            <w:r>
              <w:t xml:space="preserve">Благоустройство территории</w:t>
            </w:r>
            <w:r/>
          </w:p>
        </w:tc>
        <w:tc>
          <w:tcPr>
            <w:tcW w:w="4126" w:type="dxa"/>
            <w:textDirection w:val="lrTb"/>
            <w:noWrap w:val="false"/>
          </w:tcPr>
          <w:p>
            <w:pPr>
              <w:ind w:left="142" w:right="117"/>
              <w:jc w:val="both"/>
              <w:tabs>
                <w:tab w:val="left" w:pos="3965" w:leader="none"/>
              </w:tabs>
            </w:pPr>
            <w:r>
              <w:t xml:space="preserve">Размещение декоративных, технических, планировочных, конструктивных устройств, эле</w:t>
            </w:r>
            <w:r>
              <w:t xml:space="preserve">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r/>
          </w:p>
        </w:tc>
        <w:tc>
          <w:tcPr>
            <w:tcW w:w="4819" w:type="dxa"/>
            <w:textDirection w:val="lrTb"/>
            <w:noWrap w:val="false"/>
          </w:tcPr>
          <w:p>
            <w:pPr>
              <w:ind w:left="142" w:right="207"/>
              <w:jc w:val="center"/>
              <w:tabs>
                <w:tab w:val="left" w:pos="1134" w:leader="none"/>
              </w:tabs>
            </w:pPr>
            <w:r>
              <w:t xml:space="preserve">Регламенты не распространяются</w:t>
            </w:r>
            <w:r/>
          </w:p>
          <w:p>
            <w:pPr>
              <w:ind w:left="142" w:right="207"/>
              <w:jc w:val="center"/>
              <w:tabs>
                <w:tab w:val="left" w:pos="1134" w:leader="none"/>
              </w:tabs>
            </w:pPr>
            <w:r>
              <w:t xml:space="preserve">(не подлежат установлению)</w:t>
            </w:r>
            <w:r/>
          </w:p>
          <w:p>
            <w:pPr>
              <w:ind w:left="142" w:right="117"/>
              <w:jc w:val="center"/>
              <w:rPr>
                <w:rFonts w:eastAsia="Calibri"/>
              </w:rPr>
            </w:pPr>
            <w:r>
              <w:rPr>
                <w:rFonts w:eastAsia="Calibri"/>
              </w:rPr>
            </w:r>
            <w:r/>
          </w:p>
        </w:tc>
        <w:tc>
          <w:tcPr>
            <w:tcW w:w="2977" w:type="dxa"/>
            <w:vMerge w:val="continue"/>
            <w:textDirection w:val="lrTb"/>
            <w:noWrap w:val="false"/>
          </w:tcPr>
          <w:p>
            <w:pPr>
              <w:ind w:firstLine="567"/>
              <w:jc w:val="both"/>
            </w:pPr>
            <w:r/>
            <w:r/>
          </w:p>
        </w:tc>
      </w:tr>
      <w:tr>
        <w:trPr>
          <w:trHeight w:val="20"/>
        </w:trPr>
        <w:tc>
          <w:tcPr>
            <w:tcW w:w="3114" w:type="dxa"/>
            <w:textDirection w:val="lrTb"/>
            <w:noWrap w:val="false"/>
          </w:tcPr>
          <w:p>
            <w:pPr>
              <w:ind w:left="142" w:right="117"/>
              <w:tabs>
                <w:tab w:val="left" w:pos="2520" w:leader="none"/>
              </w:tabs>
            </w:pPr>
            <w:r>
              <w:t xml:space="preserve">[12.0.1] </w:t>
            </w:r>
            <w:r/>
          </w:p>
          <w:p>
            <w:pPr>
              <w:ind w:left="142" w:right="117"/>
            </w:pPr>
            <w:r>
              <w:t xml:space="preserve">Улично-дорожная сеть</w:t>
            </w:r>
            <w:r/>
          </w:p>
        </w:tc>
        <w:tc>
          <w:tcPr>
            <w:tcW w:w="4126" w:type="dxa"/>
            <w:textDirection w:val="lrTb"/>
            <w:noWrap w:val="false"/>
          </w:tcPr>
          <w:p>
            <w:pPr>
              <w:ind w:left="142" w:right="117"/>
              <w:jc w:val="both"/>
              <w:widowControl/>
            </w:pPr>
            <w: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p>
          <w:p>
            <w:pPr>
              <w:ind w:left="142" w:right="117"/>
              <w:jc w:val="both"/>
              <w:tabs>
                <w:tab w:val="left" w:pos="3965" w:leader="none"/>
              </w:tabs>
            </w:pPr>
            <w: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79" w:tooltip="../Правила/Кавказская%20зона%202020%20новое%20ИЗМЕНЕНИЯ.doc#sub_10271" w:anchor="sub_10271" w:history="1">
              <w:r>
                <w:rPr>
                  <w:rFonts w:eastAsia="SimSun"/>
                </w:rPr>
                <w:t xml:space="preserve">кодами </w:t>
              </w:r>
              <w:r>
                <w:rPr>
                  <w:rFonts w:eastAsia="SimSun"/>
                </w:rPr>
                <w:t xml:space="preserve">2.7.1</w:t>
              </w:r>
            </w:hyperlink>
            <w:r>
              <w:t xml:space="preserve">, </w:t>
            </w:r>
            <w:hyperlink r:id="rId80" w:tooltip="../Правила/Кавказская%20зона%202020%20новое%20ИЗМЕНЕНИЯ.doc#sub_1049" w:anchor="sub_1049" w:history="1">
              <w:r>
                <w:rPr>
                  <w:rFonts w:eastAsia="SimSun"/>
                </w:rPr>
                <w:t xml:space="preserve">4.9</w:t>
              </w:r>
            </w:hyperlink>
            <w:r>
              <w:t xml:space="preserve">, </w:t>
            </w:r>
            <w:hyperlink r:id="rId81" w:tooltip="../Правила/Кавказская%20зона%202020%20новое%20ИЗМЕНЕНИЯ.doc#sub_1723" w:anchor="sub_1723" w:history="1">
              <w:r>
                <w:rPr>
                  <w:rFonts w:eastAsia="SimSun"/>
                </w:rPr>
                <w:t xml:space="preserve">7.2.3</w:t>
              </w:r>
            </w:hyperlink>
            <w:r>
              <w:t xml:space="preserve">, а также некапитальных сооружений, предназначенных для охраны транспортных средств</w:t>
            </w:r>
            <w:r/>
          </w:p>
        </w:tc>
        <w:tc>
          <w:tcPr>
            <w:tcW w:w="4819" w:type="dxa"/>
            <w:textDirection w:val="lrTb"/>
            <w:noWrap w:val="false"/>
          </w:tcPr>
          <w:p>
            <w:pPr>
              <w:ind w:left="142" w:right="207"/>
              <w:jc w:val="center"/>
              <w:tabs>
                <w:tab w:val="left" w:pos="1134" w:leader="none"/>
              </w:tabs>
            </w:pPr>
            <w:r>
              <w:t xml:space="preserve">Регламенты не распространяются</w:t>
            </w:r>
            <w:r/>
          </w:p>
          <w:p>
            <w:pPr>
              <w:ind w:left="142" w:right="207"/>
              <w:jc w:val="center"/>
              <w:tabs>
                <w:tab w:val="left" w:pos="1134" w:leader="none"/>
              </w:tabs>
              <w:rPr>
                <w:shd w:val="clear" w:color="auto" w:fill="ffffff"/>
              </w:rPr>
            </w:pPr>
            <w:r>
              <w:t xml:space="preserve">(не подлежат установлению)</w:t>
            </w:r>
            <w:r/>
          </w:p>
          <w:p>
            <w:pPr>
              <w:ind w:left="142" w:right="117"/>
              <w:jc w:val="center"/>
            </w:pPr>
            <w:r/>
            <w:r/>
          </w:p>
        </w:tc>
        <w:tc>
          <w:tcPr>
            <w:tcW w:w="2977" w:type="dxa"/>
            <w:vMerge w:val="continue"/>
            <w:textDirection w:val="lrTb"/>
            <w:noWrap w:val="false"/>
          </w:tcPr>
          <w:p>
            <w:pPr>
              <w:ind w:firstLine="567"/>
              <w:jc w:val="both"/>
            </w:pPr>
            <w:r/>
            <w:r/>
          </w:p>
        </w:tc>
      </w:tr>
    </w:tbl>
    <w:p>
      <w:pPr>
        <w:ind w:firstLine="567"/>
        <w:jc w:val="center"/>
        <w:tabs>
          <w:tab w:val="left" w:pos="2520" w:leader="none"/>
        </w:tabs>
      </w:pPr>
      <w:r/>
      <w:r/>
    </w:p>
    <w:p>
      <w:pPr>
        <w:ind w:firstLine="567"/>
        <w:jc w:val="center"/>
        <w:tabs>
          <w:tab w:val="left" w:pos="2520" w:leader="none"/>
        </w:tabs>
      </w:pPr>
      <w:r>
        <w:rPr>
          <w:b/>
          <w:color w:val="000000"/>
        </w:rPr>
        <w:t xml:space="preserve">УСЛОВНО РАЗРЕШЕННЫЕ ВИДЫ И ПАРАМЕТРЫ ИСПОЛЬЗОВАНИЯ</w:t>
      </w:r>
      <w:r/>
    </w:p>
    <w:p>
      <w:pPr>
        <w:ind w:firstLine="567"/>
        <w:jc w:val="center"/>
        <w:tabs>
          <w:tab w:val="left" w:pos="2520" w:leader="none"/>
        </w:tabs>
      </w:pPr>
      <w:r>
        <w:rPr>
          <w:b/>
          <w:color w:val="000000"/>
        </w:rPr>
        <w:t xml:space="preserve">ЗЕМЕЛЬНЫХ УЧАСТКОВ И ОБЪЕКТОВ КАПИТАЛЬНОГО СТРОИТЕЛЬСТВА</w:t>
      </w:r>
      <w:r/>
    </w:p>
    <w:p>
      <w:pPr>
        <w:ind w:firstLine="567"/>
        <w:jc w:val="center"/>
        <w:tabs>
          <w:tab w:val="left" w:pos="2520" w:leader="none"/>
        </w:tabs>
      </w:pPr>
      <w:r/>
      <w:r/>
    </w:p>
    <w:tbl>
      <w:tblPr>
        <w:tblW w:w="1503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 w:type="dxa"/>
          <w:right w:w="10" w:type="dxa"/>
        </w:tblCellMar>
        <w:tblLook w:val="04A0" w:firstRow="1" w:lastRow="0" w:firstColumn="1" w:lastColumn="0" w:noHBand="0" w:noVBand="1"/>
      </w:tblPr>
      <w:tblGrid>
        <w:gridCol w:w="3001"/>
        <w:gridCol w:w="3955"/>
        <w:gridCol w:w="5245"/>
        <w:gridCol w:w="2835"/>
      </w:tblGrid>
      <w:tr>
        <w:trPr>
          <w:trHeight w:val="23"/>
          <w:tblHeader/>
        </w:trPr>
        <w:tc>
          <w:tcPr>
            <w:tcW w:w="3001" w:type="dxa"/>
            <w:vAlign w:val="center"/>
            <w:textDirection w:val="lrTb"/>
            <w:noWrap w:val="false"/>
          </w:tcPr>
          <w:p>
            <w:pPr>
              <w:ind w:left="142"/>
              <w:jc w:val="center"/>
              <w:tabs>
                <w:tab w:val="left" w:pos="2520" w:leader="none"/>
              </w:tabs>
              <w:rPr>
                <w:b/>
              </w:rPr>
            </w:pPr>
            <w:r>
              <w:rPr>
                <w:rFonts w:eastAsia="SimSun"/>
                <w:lang w:eastAsia="zh-CN" w:bidi="ru-RU"/>
              </w:rPr>
              <w:t xml:space="preserve">[</w:t>
            </w:r>
            <w:r>
              <w:rPr>
                <w:b/>
              </w:rPr>
              <w:t xml:space="preserve">КОД (ЧИСЛОВОЕ ОБОЗНАЧЕНИЕ)</w:t>
            </w:r>
            <w:r>
              <w:rPr>
                <w:rFonts w:eastAsia="SimSun"/>
                <w:lang w:eastAsia="zh-CN" w:bidi="ru-RU"/>
              </w:rPr>
              <w:t xml:space="preserve">]-</w:t>
            </w:r>
            <w:r>
              <w:rPr>
                <w:b/>
              </w:rPr>
              <w:t xml:space="preserve"> НАИМЕНОВАНИЕ ВИДА РАЗРЕШЕННОГОИСПОЛЬЗОВАНИЯ ЗЕМЕЛЬНЫХ УЧАСТКОВ</w:t>
            </w:r>
            <w:r/>
          </w:p>
        </w:tc>
        <w:tc>
          <w:tcPr>
            <w:tcW w:w="3955" w:type="dxa"/>
            <w:vAlign w:val="center"/>
            <w:textDirection w:val="lrTb"/>
            <w:noWrap w:val="false"/>
          </w:tcPr>
          <w:p>
            <w:pPr>
              <w:ind w:left="142"/>
              <w:jc w:val="center"/>
              <w:tabs>
                <w:tab w:val="left" w:pos="2520" w:leader="none"/>
              </w:tabs>
              <w:rPr>
                <w:b/>
              </w:rPr>
            </w:pPr>
            <w:r>
              <w:rPr>
                <w:b/>
              </w:rPr>
              <w:t xml:space="preserve">ВИДЫ ОБЪЕКТОВ КАПИТАЛЬНОГО</w:t>
            </w:r>
            <w:r>
              <w:rPr>
                <w:b/>
              </w:rPr>
              <w:br/>
              <w:t xml:space="preserve"> СТРОИТЕЛЬСТВА</w:t>
            </w:r>
            <w:r/>
          </w:p>
        </w:tc>
        <w:tc>
          <w:tcPr>
            <w:tcW w:w="5245" w:type="dxa"/>
            <w:vAlign w:val="center"/>
            <w:textDirection w:val="lrTb"/>
            <w:noWrap w:val="false"/>
          </w:tcPr>
          <w:p>
            <w:pPr>
              <w:ind w:firstLine="567"/>
              <w:jc w:val="center"/>
              <w:rPr>
                <w:b/>
              </w:rPr>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W w:w="2835" w:type="dxa"/>
            <w:vAlign w:val="center"/>
            <w:textDirection w:val="lrTb"/>
            <w:noWrap w:val="false"/>
          </w:tcPr>
          <w:p>
            <w:pPr>
              <w:ind w:right="132"/>
              <w:jc w:val="center"/>
              <w:tabs>
                <w:tab w:val="left" w:pos="3071" w:leader="none"/>
              </w:tabs>
              <w:rPr>
                <w:b/>
              </w:rPr>
            </w:pPr>
            <w:r>
              <w:rPr>
                <w:b/>
              </w:rPr>
              <w:t xml:space="preserve">ОСОБЫЕ УСЛОВИЯ РЕАЛИЗАЦИИ РЕГЛАМЕНТА </w:t>
            </w:r>
            <w:r/>
          </w:p>
        </w:tc>
      </w:tr>
      <w:tr>
        <w:trPr>
          <w:trHeight w:val="453"/>
        </w:trPr>
        <w:tc>
          <w:tcPr>
            <w:tcW w:w="3001" w:type="dxa"/>
            <w:textDirection w:val="lrTb"/>
            <w:noWrap w:val="false"/>
          </w:tcPr>
          <w:p>
            <w:pPr>
              <w:ind w:left="142"/>
            </w:pPr>
            <w:r>
              <w:t xml:space="preserve"> [2.1] </w:t>
            </w:r>
            <w:r/>
          </w:p>
          <w:p>
            <w:pPr>
              <w:ind w:left="142"/>
            </w:pPr>
            <w:r>
              <w:t xml:space="preserve">Для индивидуального жилищного строительства</w:t>
            </w:r>
            <w:r/>
          </w:p>
          <w:p>
            <w:pPr>
              <w:ind w:left="142"/>
            </w:pPr>
            <w:r/>
            <w:r/>
          </w:p>
        </w:tc>
        <w:tc>
          <w:tcPr>
            <w:tcW w:w="3955" w:type="dxa"/>
            <w:textDirection w:val="lrTb"/>
            <w:noWrap w:val="false"/>
          </w:tcPr>
          <w:p>
            <w:pPr>
              <w:ind w:left="142" w:right="127"/>
              <w:jc w:val="both"/>
              <w:widowControl/>
            </w:pPr>
            <w:r>
              <w:t xml:space="preserve">Размещение жилого дома (отдельно стоящего здания количеством надземных этажей не более чем три, высотой не более двадцати метро</w:t>
            </w:r>
            <w:r>
              <w:t xml:space="preserve">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r/>
          </w:p>
          <w:p>
            <w:pPr>
              <w:ind w:left="142" w:right="127"/>
              <w:jc w:val="both"/>
              <w:widowControl/>
            </w:pPr>
            <w:r>
              <w:t xml:space="preserve">выращивание сельскохозяйственных культур;</w:t>
            </w:r>
            <w:r/>
          </w:p>
          <w:p>
            <w:pPr>
              <w:ind w:left="142" w:right="127"/>
              <w:jc w:val="both"/>
            </w:pPr>
            <w:r>
              <w:t xml:space="preserve">размещение индивидуальных гаражей и хозяйственных построек</w:t>
            </w:r>
            <w:r/>
          </w:p>
        </w:tc>
        <w:tc>
          <w:tcPr>
            <w:tcW w:w="5245" w:type="dxa"/>
            <w:textDirection w:val="lrTb"/>
            <w:noWrap w:val="false"/>
          </w:tcPr>
          <w:p>
            <w:pPr>
              <w:ind w:left="142" w:right="65"/>
              <w:jc w:val="both"/>
            </w:pPr>
            <w:r>
              <w:t xml:space="preserve">минимальная/максимальная площадь земельных участков   – 400/1500 кв. м;</w:t>
            </w:r>
            <w:r/>
          </w:p>
          <w:p>
            <w:pPr>
              <w:ind w:left="142" w:right="65"/>
              <w:jc w:val="both"/>
            </w:pPr>
            <w:r>
              <w:t xml:space="preserve">минимальная ширина земельных участков вдоль фронта улицы (проезда) – 12 м; при образовании нового участка – 15 м.;</w:t>
            </w:r>
            <w:r/>
          </w:p>
          <w:p>
            <w:pPr>
              <w:ind w:left="142" w:right="65"/>
              <w:jc w:val="both"/>
            </w:pPr>
            <w:r>
              <w:t xml:space="preserve">максимальное количество надземных этажей зданий – 3 этажа (включая мансардный этаж); </w:t>
            </w:r>
            <w:r/>
          </w:p>
          <w:p>
            <w:pPr>
              <w:ind w:left="142" w:right="65"/>
              <w:jc w:val="both"/>
            </w:pPr>
            <w:r>
              <w:t xml:space="preserve">максимальная общая площадь объекта ИЖС – 300 кв.м.;</w:t>
            </w:r>
            <w:r/>
          </w:p>
          <w:p>
            <w:pPr>
              <w:ind w:left="142" w:right="65"/>
              <w:jc w:val="both"/>
            </w:pPr>
            <w:r>
              <w:t xml:space="preserve">максимальное количество объектов ИЖС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w:t>
            </w:r>
            <w:r/>
          </w:p>
          <w:p>
            <w:pPr>
              <w:ind w:left="142" w:right="65"/>
              <w:jc w:val="both"/>
            </w:pPr>
            <w:r>
              <w:t xml:space="preserve">максимальная высота объекта ИЖС для объектов с углом наклона кровли до 15° - 10 м, с углом наклона кровли более 15° - 13 м;</w:t>
            </w:r>
            <w:r/>
          </w:p>
          <w:p>
            <w:pPr>
              <w:ind w:left="142" w:right="65"/>
              <w:jc w:val="both"/>
            </w:pPr>
            <w:r>
              <w:t xml:space="preserve">максимальный процент застройки в границах земельного участка – 60 % (процент застройки подземной части не регламентируется).</w:t>
            </w:r>
            <w:r/>
          </w:p>
          <w:p>
            <w:pPr>
              <w:ind w:left="142" w:right="65"/>
              <w:jc w:val="both"/>
            </w:pPr>
            <w:r>
              <w:t xml:space="preserve">Минимальные отступы от красной линии– 5 м или по сложившейся линии застройки; </w:t>
            </w:r>
            <w:r/>
          </w:p>
          <w:p>
            <w:pPr>
              <w:ind w:left="142" w:right="65"/>
              <w:jc w:val="both"/>
            </w:pPr>
            <w:r>
              <w:t xml:space="preserve">от иных границ – 3 м, при блокировке зданий м от границы блокирования – 0.</w:t>
            </w:r>
            <w:r/>
          </w:p>
          <w:p>
            <w:pPr>
              <w:ind w:left="142" w:right="65"/>
              <w:jc w:val="both"/>
            </w:pPr>
            <w:r>
              <w:t xml:space="preserve">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r/>
          </w:p>
          <w:p>
            <w:pPr>
              <w:ind w:left="142" w:right="65"/>
              <w:jc w:val="both"/>
            </w:pPr>
            <w:r>
              <w:t xml:space="preserve">1,0 м - для одноэтажного жилого дома;</w:t>
            </w:r>
            <w:r/>
          </w:p>
          <w:p>
            <w:pPr>
              <w:ind w:left="142" w:right="65"/>
              <w:jc w:val="both"/>
            </w:pPr>
            <w:r>
              <w:t xml:space="preserve">1,5 м - для двухэтажного жилого дома;</w:t>
            </w:r>
            <w:r/>
          </w:p>
          <w:p>
            <w:pPr>
              <w:ind w:left="142" w:right="65"/>
              <w:jc w:val="both"/>
            </w:pPr>
            <w:r>
              <w:t xml:space="preserve">2,0 м - для трехэтажного жилого дома.</w:t>
            </w:r>
            <w:r/>
          </w:p>
          <w:p>
            <w:pPr>
              <w:ind w:left="142" w:right="65"/>
              <w:jc w:val="both"/>
            </w:pPr>
            <w:r>
              <w:t xml:space="preserve">Коэффициент использования территории не более 0,4.</w:t>
            </w:r>
            <w:r/>
          </w:p>
          <w:p>
            <w:pPr>
              <w:ind w:left="118" w:right="127"/>
              <w:jc w:val="both"/>
              <w:rPr>
                <w:rFonts w:eastAsia="SimSun"/>
                <w:lang w:eastAsia="zh-CN" w:bidi="ru-RU"/>
              </w:rPr>
            </w:pPr>
            <w:r>
              <w:t xml:space="preserve">Раздел земельных участков площадью 1,5 га и более выполнять исключительно в соответствии с утвержденной документацией по планировке территории.</w:t>
            </w:r>
            <w:r/>
          </w:p>
        </w:tc>
        <w:tc>
          <w:tcPr>
            <w:tcW w:w="2835" w:type="dxa"/>
            <w:vMerge w:val="restart"/>
            <w:textDirection w:val="lrTb"/>
            <w:noWrap w:val="false"/>
          </w:tcPr>
          <w:p>
            <w:pPr>
              <w:ind w:left="118" w:right="145"/>
              <w:tabs>
                <w:tab w:val="left" w:pos="3071" w:leader="none"/>
              </w:tabs>
            </w:pPr>
            <w:r>
              <w:t xml:space="preserve">Особые условия реализации регламента зоны ОД-1, установленные для основных видов разрешенного использования, применяются в той же степени к условно разрешенным видам использования, установленным данным регламентом.</w:t>
            </w:r>
            <w:r/>
          </w:p>
          <w:p>
            <w:pPr>
              <w:ind w:left="142" w:right="145"/>
              <w:tabs>
                <w:tab w:val="left" w:pos="3071" w:leader="none"/>
              </w:tabs>
            </w:pPr>
            <w:r>
              <w:t xml:space="preserve">Размещение новых объектов жилого назначения в общественно-деловой зоне не допускается (за исключением реконструкции существующих жилых объектов без увеличения их существующей этажности)</w:t>
            </w:r>
            <w:r/>
          </w:p>
          <w:p>
            <w:pPr>
              <w:ind w:left="142" w:right="145"/>
              <w:tabs>
                <w:tab w:val="left" w:pos="3071" w:leader="none"/>
              </w:tabs>
              <w:rPr>
                <w:lang w:eastAsia="ru-RU"/>
              </w:rPr>
            </w:pPr>
            <w:r>
              <w:rPr>
                <w:lang w:eastAsia="ru-RU"/>
              </w:rPr>
              <w:t xml:space="preserve">Перевод индивидуального жилого дома в нежилое помещение,</w:t>
            </w:r>
            <w:r>
              <w:rPr>
                <w:lang w:eastAsia="ru-RU"/>
              </w:rPr>
              <w:t xml:space="preserve">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r/>
          </w:p>
          <w:p>
            <w:pPr>
              <w:ind w:left="142" w:right="145"/>
              <w:tabs>
                <w:tab w:val="left" w:pos="3071" w:leader="none"/>
              </w:tabs>
              <w:rPr>
                <w:lang w:eastAsia="ru-RU"/>
              </w:rPr>
            </w:pPr>
            <w:r>
              <w:t xml:space="preserve">Не допускается строительство (реконструкция) ИЖС в СЗЗ.</w:t>
            </w:r>
            <w:r/>
          </w:p>
        </w:tc>
      </w:tr>
      <w:tr>
        <w:trPr>
          <w:trHeight w:val="346"/>
        </w:trPr>
        <w:tc>
          <w:tcPr>
            <w:tcW w:w="3001" w:type="dxa"/>
            <w:textDirection w:val="lrTb"/>
            <w:noWrap w:val="false"/>
          </w:tcPr>
          <w:p>
            <w:pPr>
              <w:ind w:left="142" w:right="146"/>
              <w:tabs>
                <w:tab w:val="left" w:pos="2520" w:leader="none"/>
              </w:tabs>
            </w:pPr>
            <w:r>
              <w:t xml:space="preserve">[2.7.1]  </w:t>
            </w:r>
            <w:r/>
          </w:p>
          <w:p>
            <w:pPr>
              <w:ind w:left="142" w:right="146"/>
              <w:tabs>
                <w:tab w:val="left" w:pos="2520" w:leader="none"/>
              </w:tabs>
            </w:pPr>
            <w:r>
              <w:t xml:space="preserve">Хранение автотранспорта</w:t>
            </w:r>
            <w:r/>
          </w:p>
        </w:tc>
        <w:tc>
          <w:tcPr>
            <w:tcW w:w="3955" w:type="dxa"/>
            <w:textDirection w:val="lrTb"/>
            <w:noWrap w:val="false"/>
          </w:tcPr>
          <w:p>
            <w:pPr>
              <w:ind w:left="142" w:right="146"/>
              <w:jc w:val="both"/>
              <w:tabs>
                <w:tab w:val="left" w:pos="2520" w:leader="none"/>
              </w:tabs>
            </w:pPr>
            <w:r>
              <w:t xml:space="preserve"> Размещение</w:t>
            </w:r>
            <w:r>
              <w:t xml:space="preserve">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r:id="rId82" w:tooltip="../Правила/Кавказская%20зона%202020%20новое%20ИЗМЕНЕНИЯ.doc#sub_1049" w:anchor="sub_1049" w:history="1">
              <w:r>
                <w:rPr>
                  <w:rFonts w:eastAsia="SimSun"/>
                </w:rPr>
                <w:t xml:space="preserve">кодом 4.9</w:t>
              </w:r>
            </w:hyperlink>
            <w:r/>
            <w:r/>
          </w:p>
        </w:tc>
        <w:tc>
          <w:tcPr>
            <w:tcW w:w="5245" w:type="dxa"/>
            <w:textDirection w:val="lrTb"/>
            <w:noWrap w:val="false"/>
          </w:tcPr>
          <w:p>
            <w:pPr>
              <w:ind w:left="142" w:right="146"/>
              <w:jc w:val="both"/>
              <w:tabs>
                <w:tab w:val="left" w:pos="1134" w:leader="none"/>
              </w:tabs>
            </w:pPr>
            <w:r>
              <w:t xml:space="preserve">минимальная/максимальная площадь земельных участков – 15/100 кв. м;</w:t>
            </w:r>
            <w:r/>
          </w:p>
          <w:p>
            <w:pPr>
              <w:ind w:left="142" w:right="146"/>
              <w:jc w:val="both"/>
            </w:pPr>
            <w:r>
              <w:t xml:space="preserve">максимальная высота зданий, строений, сооружений от уровня земли - 8 м;</w:t>
            </w:r>
            <w:r/>
          </w:p>
          <w:p>
            <w:pPr>
              <w:ind w:left="142" w:right="146"/>
              <w:jc w:val="both"/>
              <w:tabs>
                <w:tab w:val="left" w:pos="2520" w:leader="none"/>
              </w:tabs>
            </w:pPr>
            <w:r/>
            <w:r/>
          </w:p>
        </w:tc>
        <w:tc>
          <w:tcPr>
            <w:tcW w:w="2835" w:type="dxa"/>
            <w:vMerge w:val="continue"/>
            <w:textDirection w:val="lrTb"/>
            <w:noWrap w:val="false"/>
          </w:tcPr>
          <w:p>
            <w:pPr>
              <w:ind w:left="132" w:right="132"/>
              <w:jc w:val="both"/>
              <w:widowControl/>
              <w:tabs>
                <w:tab w:val="left" w:pos="416" w:leader="none"/>
                <w:tab w:val="left" w:pos="1266" w:leader="none"/>
              </w:tabs>
              <w:rPr>
                <w:lang w:eastAsia="ru-RU"/>
              </w:rPr>
            </w:pPr>
            <w:r>
              <w:rPr>
                <w:lang w:eastAsia="ru-RU"/>
              </w:rPr>
            </w:r>
            <w:r/>
          </w:p>
        </w:tc>
      </w:tr>
      <w:tr>
        <w:trPr>
          <w:trHeight w:val="346"/>
        </w:trPr>
        <w:tc>
          <w:tcPr>
            <w:tcW w:w="3001" w:type="dxa"/>
            <w:textDirection w:val="lrTb"/>
            <w:noWrap w:val="false"/>
          </w:tcPr>
          <w:p>
            <w:pPr>
              <w:ind w:left="142" w:right="146"/>
              <w:tabs>
                <w:tab w:val="left" w:pos="2520" w:leader="none"/>
              </w:tabs>
            </w:pPr>
            <w:r>
              <w:rPr>
                <w:lang w:val="en-US"/>
              </w:rPr>
              <w:t xml:space="preserve">[</w:t>
            </w:r>
            <w:r>
              <w:t xml:space="preserve">3.2.4</w:t>
            </w:r>
            <w:r>
              <w:rPr>
                <w:lang w:val="en-US"/>
              </w:rPr>
              <w:t xml:space="preserve">]</w:t>
            </w:r>
            <w:r/>
          </w:p>
          <w:p>
            <w:pPr>
              <w:ind w:left="142" w:right="146"/>
              <w:tabs>
                <w:tab w:val="left" w:pos="2520" w:leader="none"/>
              </w:tabs>
            </w:pPr>
            <w:r>
              <w:t xml:space="preserve">Общежития</w:t>
            </w:r>
            <w:r/>
          </w:p>
        </w:tc>
        <w:tc>
          <w:tcPr>
            <w:tcW w:w="3955" w:type="dxa"/>
            <w:textDirection w:val="lrTb"/>
            <w:noWrap w:val="false"/>
          </w:tcPr>
          <w:p>
            <w:pPr>
              <w:ind w:left="142" w:right="146"/>
              <w:jc w:val="both"/>
              <w:tabs>
                <w:tab w:val="left" w:pos="2520" w:leader="none"/>
              </w:tabs>
            </w:pPr>
            <w: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r/>
          </w:p>
        </w:tc>
        <w:tc>
          <w:tcPr>
            <w:tcW w:w="5245" w:type="dxa"/>
            <w:textDirection w:val="lrTb"/>
            <w:noWrap w:val="false"/>
          </w:tcPr>
          <w:p>
            <w:pPr>
              <w:ind w:left="142" w:right="146"/>
              <w:jc w:val="both"/>
              <w:rPr>
                <w:rFonts w:eastAsia="Calibri"/>
              </w:rPr>
            </w:pPr>
            <w:r>
              <w:rPr>
                <w:rFonts w:eastAsia="Calibri"/>
              </w:rPr>
              <w:t xml:space="preserve">Минимальная/максимальная площадь земельных участков – 400/5000 кв. м;             </w:t>
            </w:r>
            <w:r/>
          </w:p>
          <w:p>
            <w:pPr>
              <w:ind w:left="142" w:right="146"/>
              <w:jc w:val="both"/>
              <w:rPr>
                <w:rFonts w:eastAsia="Calibri"/>
              </w:rPr>
            </w:pPr>
            <w:r>
              <w:rPr>
                <w:rFonts w:eastAsia="Calibri"/>
              </w:rPr>
              <w:t xml:space="preserve">максимальное количество надземных этажей зданий – 3 (включая мансардный этаж);</w:t>
            </w:r>
            <w:r/>
          </w:p>
          <w:p>
            <w:pPr>
              <w:ind w:left="142" w:right="146"/>
              <w:jc w:val="both"/>
              <w:rPr>
                <w:rFonts w:eastAsia="Calibri"/>
              </w:rPr>
            </w:pPr>
            <w:r>
              <w:rPr>
                <w:rFonts w:eastAsia="Calibri"/>
              </w:rPr>
              <w:t xml:space="preserve">максимальный процент застройки в границах земельного участка – 60 %;             </w:t>
            </w:r>
            <w:r/>
          </w:p>
          <w:p>
            <w:pPr>
              <w:ind w:left="142" w:right="146"/>
              <w:jc w:val="both"/>
              <w:rPr>
                <w:rFonts w:eastAsia="Calibri"/>
              </w:rPr>
            </w:pPr>
            <w:r>
              <w:rPr>
                <w:rFonts w:eastAsia="Calibri"/>
              </w:rPr>
              <w:t xml:space="preserve">минимальные отступы от красной линии – 5 м; от иных границ – 3 м;</w:t>
            </w:r>
            <w:r/>
          </w:p>
          <w:p>
            <w:pPr>
              <w:ind w:left="142" w:right="146"/>
              <w:jc w:val="both"/>
              <w:tabs>
                <w:tab w:val="left" w:pos="1134" w:leader="none"/>
              </w:tabs>
            </w:pPr>
            <w:r>
              <w:rPr>
                <w:rFonts w:eastAsia="Calibri"/>
              </w:rPr>
              <w:t xml:space="preserve">минимальный процент озеленения земельного участка 15%.</w:t>
            </w:r>
            <w:r/>
          </w:p>
        </w:tc>
        <w:tc>
          <w:tcPr>
            <w:tcW w:w="2835" w:type="dxa"/>
            <w:vMerge w:val="continue"/>
            <w:textDirection w:val="lrTb"/>
            <w:noWrap w:val="false"/>
          </w:tcPr>
          <w:p>
            <w:pPr>
              <w:ind w:right="142" w:firstLine="567"/>
              <w:jc w:val="both"/>
              <w:tabs>
                <w:tab w:val="left" w:pos="3071" w:leader="none"/>
              </w:tabs>
              <w:rPr>
                <w:shd w:val="clear" w:color="auto" w:fill="ffffff"/>
              </w:rPr>
            </w:pPr>
            <w:r>
              <w:rPr>
                <w:shd w:val="clear" w:color="auto" w:fill="ffffff"/>
              </w:rPr>
            </w:r>
            <w:r/>
          </w:p>
        </w:tc>
      </w:tr>
      <w:tr>
        <w:trPr>
          <w:trHeight w:val="346"/>
        </w:trPr>
        <w:tc>
          <w:tcPr>
            <w:tcW w:w="3001" w:type="dxa"/>
            <w:textDirection w:val="lrTb"/>
            <w:noWrap w:val="false"/>
          </w:tcPr>
          <w:p>
            <w:pPr>
              <w:ind w:left="142" w:right="146"/>
              <w:tabs>
                <w:tab w:val="left" w:pos="2520" w:leader="none"/>
              </w:tabs>
            </w:pPr>
            <w:r>
              <w:rPr>
                <w:lang w:val="en-US"/>
              </w:rPr>
              <w:t xml:space="preserve">[</w:t>
            </w:r>
            <w:r>
              <w:t xml:space="preserve">3.4.3</w:t>
            </w:r>
            <w:r>
              <w:rPr>
                <w:lang w:val="en-US"/>
              </w:rPr>
              <w:t xml:space="preserve">]</w:t>
            </w:r>
            <w:r/>
          </w:p>
          <w:p>
            <w:pPr>
              <w:ind w:left="142" w:right="146"/>
              <w:tabs>
                <w:tab w:val="left" w:pos="2520" w:leader="none"/>
              </w:tabs>
            </w:pPr>
            <w:r>
              <w:t xml:space="preserve">Медицинские организации особого назначения</w:t>
            </w:r>
            <w:r/>
          </w:p>
        </w:tc>
        <w:tc>
          <w:tcPr>
            <w:tcW w:w="3955" w:type="dxa"/>
            <w:textDirection w:val="lrTb"/>
            <w:noWrap w:val="false"/>
          </w:tcPr>
          <w:p>
            <w:pPr>
              <w:ind w:left="142" w:right="146"/>
              <w:jc w:val="both"/>
              <w:tabs>
                <w:tab w:val="left" w:pos="2520" w:leader="none"/>
              </w:tabs>
            </w:pPr>
            <w:r>
              <w:t xml:space="preserve">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r/>
          </w:p>
        </w:tc>
        <w:tc>
          <w:tcPr>
            <w:tcW w:w="5245" w:type="dxa"/>
            <w:textDirection w:val="lrTb"/>
            <w:noWrap w:val="false"/>
          </w:tcPr>
          <w:p>
            <w:pPr>
              <w:ind w:left="142" w:right="146"/>
              <w:jc w:val="both"/>
              <w:rPr>
                <w:rFonts w:eastAsia="Calibri"/>
              </w:rPr>
            </w:pPr>
            <w:r>
              <w:rPr>
                <w:rFonts w:eastAsia="Calibri"/>
              </w:rPr>
              <w:t xml:space="preserve">Минимальная/максимальная площадь земельных участков – 500/5000 кв. м;</w:t>
            </w:r>
            <w:r/>
          </w:p>
          <w:p>
            <w:pPr>
              <w:ind w:left="142" w:right="146"/>
              <w:jc w:val="both"/>
              <w:rPr>
                <w:rFonts w:eastAsia="Calibri"/>
              </w:rPr>
            </w:pPr>
            <w:r>
              <w:rPr>
                <w:rFonts w:eastAsia="Calibri"/>
              </w:rPr>
              <w:t xml:space="preserve">максимальный процент застройки в границах земельного участка – 60%;</w:t>
            </w:r>
            <w:r/>
          </w:p>
          <w:p>
            <w:pPr>
              <w:ind w:left="142" w:right="146"/>
              <w:jc w:val="both"/>
              <w:rPr>
                <w:rFonts w:eastAsia="Calibri"/>
              </w:rPr>
            </w:pPr>
            <w:r>
              <w:rPr>
                <w:rFonts w:eastAsia="Calibri"/>
              </w:rPr>
              <w:t xml:space="preserve">максимальное количество надземных этажей зданий – 3;</w:t>
            </w:r>
            <w:r/>
          </w:p>
          <w:p>
            <w:pPr>
              <w:ind w:left="142" w:right="146"/>
              <w:jc w:val="both"/>
              <w:rPr>
                <w:rFonts w:eastAsia="Calibri"/>
              </w:rPr>
            </w:pPr>
            <w:r>
              <w:rPr>
                <w:rFonts w:eastAsia="Calibri"/>
              </w:rPr>
              <w:t xml:space="preserve">максимальная высота зданий, строений, сооружений от уровня земли -  15 м;</w:t>
            </w:r>
            <w:r/>
          </w:p>
          <w:p>
            <w:pPr>
              <w:ind w:left="142" w:right="146"/>
              <w:jc w:val="both"/>
              <w:rPr>
                <w:rFonts w:eastAsia="Calibri"/>
              </w:rPr>
            </w:pPr>
            <w:r>
              <w:rPr>
                <w:rFonts w:eastAsia="Calibri"/>
              </w:rPr>
              <w:t xml:space="preserve">минимальные отступы от красной линии – 5 м; от иных границ – 3 м;</w:t>
            </w:r>
            <w:r/>
          </w:p>
          <w:p>
            <w:pPr>
              <w:ind w:left="142" w:right="146"/>
              <w:jc w:val="both"/>
              <w:tabs>
                <w:tab w:val="left" w:pos="1134" w:leader="none"/>
              </w:tabs>
            </w:pPr>
            <w:r>
              <w:rPr>
                <w:rFonts w:eastAsia="Calibri"/>
              </w:rPr>
              <w:t xml:space="preserve">минимальный процент озеленения земельного участка 15%.</w:t>
            </w:r>
            <w:r/>
          </w:p>
        </w:tc>
        <w:tc>
          <w:tcPr>
            <w:tcW w:w="2835" w:type="dxa"/>
            <w:vMerge w:val="continue"/>
            <w:textDirection w:val="lrTb"/>
            <w:noWrap w:val="false"/>
          </w:tcPr>
          <w:p>
            <w:pPr>
              <w:ind w:right="142" w:firstLine="567"/>
              <w:jc w:val="both"/>
              <w:tabs>
                <w:tab w:val="left" w:pos="3071" w:leader="none"/>
              </w:tabs>
              <w:rPr>
                <w:shd w:val="clear" w:color="auto" w:fill="ffffff"/>
              </w:rPr>
            </w:pPr>
            <w:r>
              <w:rPr>
                <w:shd w:val="clear" w:color="auto" w:fill="ffffff"/>
              </w:rPr>
            </w:r>
            <w:r/>
          </w:p>
        </w:tc>
      </w:tr>
      <w:tr>
        <w:trPr>
          <w:trHeight w:val="346"/>
        </w:trPr>
        <w:tc>
          <w:tcPr>
            <w:tcW w:w="3001" w:type="dxa"/>
            <w:textDirection w:val="lrTb"/>
            <w:noWrap w:val="false"/>
          </w:tcPr>
          <w:p>
            <w:pPr>
              <w:ind w:left="142" w:right="146"/>
              <w:tabs>
                <w:tab w:val="left" w:pos="2520" w:leader="none"/>
              </w:tabs>
            </w:pPr>
            <w:r>
              <w:rPr>
                <w:lang w:val="en-US"/>
              </w:rPr>
              <w:t xml:space="preserve">[</w:t>
            </w:r>
            <w:r>
              <w:t xml:space="preserve">4.9</w:t>
            </w:r>
            <w:r>
              <w:rPr>
                <w:lang w:val="en-US"/>
              </w:rPr>
              <w:t xml:space="preserve">]</w:t>
            </w:r>
            <w:r/>
          </w:p>
          <w:p>
            <w:pPr>
              <w:ind w:left="142" w:right="146"/>
              <w:tabs>
                <w:tab w:val="left" w:pos="2520" w:leader="none"/>
              </w:tabs>
            </w:pPr>
            <w:r>
              <w:t xml:space="preserve">Служебные гаражи</w:t>
            </w:r>
            <w:r/>
          </w:p>
        </w:tc>
        <w:tc>
          <w:tcPr>
            <w:tcW w:w="3955" w:type="dxa"/>
            <w:textDirection w:val="lrTb"/>
            <w:noWrap w:val="false"/>
          </w:tcPr>
          <w:p>
            <w:pPr>
              <w:ind w:left="118" w:right="146"/>
              <w:jc w:val="both"/>
              <w:tabs>
                <w:tab w:val="left" w:pos="2520" w:leader="none"/>
              </w:tabs>
            </w:pPr>
            <w: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w:t>
            </w:r>
            <w:r>
              <w:t xml:space="preserve">видами разрешенного использования с кодами 3.0, 4.0, а также для стоянки и хранения транспортных средств общего пользования, в том числе в депо</w:t>
            </w:r>
            <w:r/>
          </w:p>
        </w:tc>
        <w:tc>
          <w:tcPr>
            <w:tcW w:w="5245" w:type="dxa"/>
            <w:textDirection w:val="lrTb"/>
            <w:noWrap w:val="false"/>
          </w:tcPr>
          <w:p>
            <w:pPr>
              <w:ind w:left="142" w:right="146"/>
              <w:jc w:val="both"/>
              <w:rPr>
                <w:rFonts w:eastAsia="Calibri"/>
              </w:rPr>
            </w:pPr>
            <w:r>
              <w:rPr>
                <w:rFonts w:eastAsia="Calibri"/>
              </w:rPr>
              <w:t xml:space="preserve">Минимальная/максимальная площадь земельных участков –30/5000 кв. м;</w:t>
            </w:r>
            <w:r/>
          </w:p>
          <w:p>
            <w:pPr>
              <w:ind w:left="142" w:right="146"/>
              <w:jc w:val="both"/>
              <w:rPr>
                <w:rFonts w:eastAsia="Calibri"/>
              </w:rPr>
            </w:pPr>
            <w:r>
              <w:rPr>
                <w:rFonts w:eastAsia="Calibri"/>
              </w:rPr>
              <w:t xml:space="preserve">максимальный процент застройки в границах земельного участка – 60%;</w:t>
            </w:r>
            <w:r/>
          </w:p>
          <w:p>
            <w:pPr>
              <w:ind w:left="142" w:right="146"/>
              <w:jc w:val="both"/>
              <w:rPr>
                <w:rFonts w:eastAsia="Calibri"/>
              </w:rPr>
            </w:pPr>
            <w:r>
              <w:rPr>
                <w:rFonts w:eastAsia="Calibri"/>
              </w:rPr>
              <w:t xml:space="preserve">максимальное количество надземных этажей зданий – 2;</w:t>
            </w:r>
            <w:r/>
          </w:p>
          <w:p>
            <w:pPr>
              <w:ind w:left="142" w:right="146"/>
              <w:jc w:val="both"/>
              <w:rPr>
                <w:rFonts w:eastAsia="Calibri"/>
              </w:rPr>
            </w:pPr>
            <w:r>
              <w:rPr>
                <w:rFonts w:eastAsia="Calibri"/>
              </w:rPr>
              <w:t xml:space="preserve">максимальная высота зданий, строений, сооружений от уровня земли - 12 м;</w:t>
            </w:r>
            <w:r/>
          </w:p>
          <w:p>
            <w:pPr>
              <w:ind w:left="142" w:right="146"/>
              <w:jc w:val="both"/>
              <w:rPr>
                <w:rFonts w:eastAsia="Calibri"/>
              </w:rPr>
            </w:pPr>
            <w:r>
              <w:rPr>
                <w:rFonts w:eastAsia="Calibri"/>
              </w:rPr>
              <w:t xml:space="preserve">минимальные отступы от красной линии – 5 м; от иных границ – 3 м;</w:t>
            </w:r>
            <w:r/>
          </w:p>
          <w:p>
            <w:pPr>
              <w:ind w:left="142" w:right="146"/>
              <w:jc w:val="both"/>
              <w:tabs>
                <w:tab w:val="left" w:pos="1134" w:leader="none"/>
              </w:tabs>
            </w:pPr>
            <w:r>
              <w:rPr>
                <w:rFonts w:eastAsia="Calibri"/>
              </w:rPr>
              <w:t xml:space="preserve">минимальный процент озеленения земельного участка 15%.</w:t>
            </w:r>
            <w:r/>
          </w:p>
        </w:tc>
        <w:tc>
          <w:tcPr>
            <w:tcW w:w="2835" w:type="dxa"/>
            <w:vMerge w:val="continue"/>
            <w:textDirection w:val="lrTb"/>
            <w:noWrap w:val="false"/>
          </w:tcPr>
          <w:p>
            <w:pPr>
              <w:ind w:right="142" w:firstLine="567"/>
              <w:jc w:val="both"/>
              <w:tabs>
                <w:tab w:val="left" w:pos="3071" w:leader="none"/>
              </w:tabs>
              <w:rPr>
                <w:shd w:val="clear" w:color="auto" w:fill="ffffff"/>
              </w:rPr>
            </w:pPr>
            <w:r>
              <w:rPr>
                <w:shd w:val="clear" w:color="auto" w:fill="ffffff"/>
              </w:rPr>
            </w:r>
            <w:r/>
          </w:p>
        </w:tc>
      </w:tr>
      <w:tr>
        <w:trPr>
          <w:trHeight w:val="346"/>
        </w:trPr>
        <w:tc>
          <w:tcPr>
            <w:tcW w:w="3001" w:type="dxa"/>
            <w:textDirection w:val="lrTb"/>
            <w:noWrap w:val="false"/>
          </w:tcPr>
          <w:p>
            <w:pPr>
              <w:ind w:left="142" w:right="146"/>
              <w:tabs>
                <w:tab w:val="left" w:pos="2520" w:leader="none"/>
              </w:tabs>
            </w:pPr>
            <w:r>
              <w:t xml:space="preserve">[5.1.4] </w:t>
            </w:r>
            <w:r/>
          </w:p>
          <w:p>
            <w:pPr>
              <w:ind w:left="142" w:right="146"/>
              <w:tabs>
                <w:tab w:val="left" w:pos="2520" w:leader="none"/>
              </w:tabs>
            </w:pPr>
            <w:r>
              <w:t xml:space="preserve">Оборудованные площадки для занятий спортом</w:t>
            </w:r>
            <w:r/>
          </w:p>
        </w:tc>
        <w:tc>
          <w:tcPr>
            <w:tcW w:w="3955" w:type="dxa"/>
            <w:textDirection w:val="lrTb"/>
            <w:noWrap w:val="false"/>
          </w:tcPr>
          <w:p>
            <w:pPr>
              <w:ind w:left="142" w:right="146"/>
              <w:jc w:val="both"/>
              <w:tabs>
                <w:tab w:val="left" w:pos="2520" w:leader="none"/>
              </w:tabs>
            </w:pPr>
            <w:r>
              <w:t xml:space="preserve">Размещение сооружений для занятия спортом и физкультурой на открытом воздухе (теннисные корты, автодромы, мотодромы, трамплины, спортивные стрельбища)</w:t>
            </w:r>
            <w:r/>
          </w:p>
        </w:tc>
        <w:tc>
          <w:tcPr>
            <w:tcW w:w="5245" w:type="dxa"/>
            <w:textDirection w:val="lrTb"/>
            <w:noWrap w:val="false"/>
          </w:tcPr>
          <w:p>
            <w:pPr>
              <w:ind w:left="142" w:right="146"/>
              <w:jc w:val="both"/>
              <w:rPr>
                <w:rFonts w:eastAsia="Calibri"/>
              </w:rPr>
            </w:pPr>
            <w:r>
              <w:rPr>
                <w:rFonts w:eastAsia="Calibri"/>
              </w:rPr>
              <w:t xml:space="preserve">Минимальная/максимальная площадь земельных участков –300/10000 кв. м;</w:t>
            </w:r>
            <w:r/>
          </w:p>
          <w:p>
            <w:pPr>
              <w:ind w:left="142" w:right="146"/>
              <w:jc w:val="both"/>
              <w:rPr>
                <w:rFonts w:eastAsia="Calibri"/>
              </w:rPr>
            </w:pPr>
            <w:r>
              <w:rPr>
                <w:rFonts w:eastAsia="Calibri"/>
              </w:rPr>
              <w:t xml:space="preserve">предельная высота зданий, строений, сооружений; предельное количество этажей зданий и максимальный процент застройки в границах земельного участка не подлежат установлению; </w:t>
            </w:r>
            <w:r/>
          </w:p>
          <w:p>
            <w:pPr>
              <w:ind w:left="142" w:right="146"/>
              <w:jc w:val="both"/>
              <w:tabs>
                <w:tab w:val="left" w:pos="1134" w:leader="none"/>
              </w:tabs>
              <w:rPr>
                <w:rFonts w:eastAsia="Calibri"/>
              </w:rPr>
            </w:pPr>
            <w:r>
              <w:rPr>
                <w:rFonts w:eastAsia="Calibri"/>
              </w:rPr>
              <w:t xml:space="preserve">минимальные отступы от красной линии – 5 м; от иных границ – 3 м.</w:t>
            </w:r>
            <w:r/>
          </w:p>
          <w:p>
            <w:pPr>
              <w:ind w:left="142" w:right="146"/>
              <w:jc w:val="both"/>
              <w:tabs>
                <w:tab w:val="left" w:pos="1134" w:leader="none"/>
              </w:tabs>
            </w:pPr>
            <w:r>
              <w:rPr>
                <w:rFonts w:eastAsia="Calibri"/>
              </w:rPr>
              <w:t xml:space="preserve">минимальный процент озеленения земельного участка 15%.</w:t>
            </w:r>
            <w:r/>
          </w:p>
        </w:tc>
        <w:tc>
          <w:tcPr>
            <w:tcW w:w="2835" w:type="dxa"/>
            <w:vMerge w:val="continue"/>
            <w:textDirection w:val="lrTb"/>
            <w:noWrap w:val="false"/>
          </w:tcPr>
          <w:p>
            <w:pPr>
              <w:ind w:right="142" w:firstLine="567"/>
              <w:jc w:val="both"/>
              <w:tabs>
                <w:tab w:val="left" w:pos="3071" w:leader="none"/>
              </w:tabs>
              <w:rPr>
                <w:shd w:val="clear" w:color="auto" w:fill="ffffff"/>
              </w:rPr>
            </w:pPr>
            <w:r>
              <w:rPr>
                <w:shd w:val="clear" w:color="auto" w:fill="ffffff"/>
              </w:rPr>
            </w:r>
            <w:r/>
          </w:p>
        </w:tc>
      </w:tr>
      <w:tr>
        <w:trPr>
          <w:trHeight w:val="346"/>
        </w:trPr>
        <w:tc>
          <w:tcPr>
            <w:tcW w:w="3001" w:type="dxa"/>
            <w:textDirection w:val="lrTb"/>
            <w:noWrap w:val="false"/>
          </w:tcPr>
          <w:p>
            <w:pPr>
              <w:ind w:left="142" w:right="146"/>
              <w:tabs>
                <w:tab w:val="left" w:pos="2520" w:leader="none"/>
              </w:tabs>
            </w:pPr>
            <w:r>
              <w:rPr>
                <w:lang w:val="en-US"/>
              </w:rPr>
              <w:t xml:space="preserve">[</w:t>
            </w:r>
            <w:r>
              <w:t xml:space="preserve">5.1.7</w:t>
            </w:r>
            <w:r>
              <w:rPr>
                <w:lang w:val="en-US"/>
              </w:rPr>
              <w:t xml:space="preserve">]</w:t>
            </w:r>
            <w:r/>
          </w:p>
          <w:p>
            <w:pPr>
              <w:ind w:left="142" w:right="146"/>
              <w:tabs>
                <w:tab w:val="left" w:pos="2520" w:leader="none"/>
              </w:tabs>
            </w:pPr>
            <w:r>
              <w:t xml:space="preserve">Спортивные базы</w:t>
            </w:r>
            <w:r/>
          </w:p>
        </w:tc>
        <w:tc>
          <w:tcPr>
            <w:tcW w:w="3955" w:type="dxa"/>
            <w:textDirection w:val="lrTb"/>
            <w:noWrap w:val="false"/>
          </w:tcPr>
          <w:p>
            <w:pPr>
              <w:ind w:left="142" w:right="146"/>
              <w:jc w:val="both"/>
              <w:tabs>
                <w:tab w:val="left" w:pos="2520" w:leader="none"/>
              </w:tabs>
            </w:pPr>
            <w:r>
              <w:t xml:space="preserve">Размещение спортивных баз и лагерей, в которых осуществляется спортивная подготовка длительно проживающих в них лиц</w:t>
            </w:r>
            <w:r/>
          </w:p>
        </w:tc>
        <w:tc>
          <w:tcPr>
            <w:tcW w:w="5245" w:type="dxa"/>
            <w:textDirection w:val="lrTb"/>
            <w:noWrap w:val="false"/>
          </w:tcPr>
          <w:p>
            <w:pPr>
              <w:ind w:left="142" w:right="146"/>
              <w:jc w:val="both"/>
              <w:rPr>
                <w:rFonts w:eastAsia="Calibri"/>
              </w:rPr>
            </w:pPr>
            <w:r>
              <w:rPr>
                <w:rFonts w:eastAsia="Calibri"/>
              </w:rPr>
              <w:t xml:space="preserve">Минимальная/максимальная площадь земельных участков – 1000/10000 кв. м;</w:t>
            </w:r>
            <w:r/>
          </w:p>
          <w:p>
            <w:pPr>
              <w:ind w:left="142" w:right="146"/>
              <w:jc w:val="both"/>
              <w:rPr>
                <w:rFonts w:eastAsia="Calibri"/>
              </w:rPr>
            </w:pPr>
            <w:r>
              <w:rPr>
                <w:rFonts w:eastAsia="Calibri"/>
              </w:rPr>
              <w:t xml:space="preserve">максимальный процент застройки в границах земельного участка – 60%;</w:t>
            </w:r>
            <w:r/>
          </w:p>
          <w:p>
            <w:pPr>
              <w:ind w:left="142" w:right="146"/>
              <w:jc w:val="both"/>
              <w:rPr>
                <w:rFonts w:eastAsia="Calibri"/>
              </w:rPr>
            </w:pPr>
            <w:r>
              <w:rPr>
                <w:rFonts w:eastAsia="Calibri"/>
              </w:rPr>
              <w:t xml:space="preserve">максимальное количество надземных этажей зданий – 2;</w:t>
            </w:r>
            <w:r/>
          </w:p>
          <w:p>
            <w:pPr>
              <w:ind w:left="142" w:right="146"/>
              <w:jc w:val="both"/>
              <w:rPr>
                <w:rFonts w:eastAsia="Calibri"/>
              </w:rPr>
            </w:pPr>
            <w:r>
              <w:rPr>
                <w:rFonts w:eastAsia="Calibri"/>
              </w:rPr>
              <w:t xml:space="preserve">максимальная высота зданий, строений, сооружений от уровня земли -  12 м;</w:t>
            </w:r>
            <w:r/>
          </w:p>
          <w:p>
            <w:pPr>
              <w:ind w:left="142" w:right="146"/>
              <w:jc w:val="both"/>
              <w:rPr>
                <w:rFonts w:eastAsia="Calibri"/>
              </w:rPr>
            </w:pPr>
            <w:r>
              <w:rPr>
                <w:rFonts w:eastAsia="Calibri"/>
              </w:rPr>
              <w:t xml:space="preserve">минимальные отступы от красной линии – 5 м; от иных границ – 3 м;</w:t>
            </w:r>
            <w:r/>
          </w:p>
          <w:p>
            <w:pPr>
              <w:ind w:left="142" w:right="146"/>
              <w:jc w:val="both"/>
              <w:tabs>
                <w:tab w:val="left" w:pos="1134" w:leader="none"/>
              </w:tabs>
            </w:pPr>
            <w:r>
              <w:rPr>
                <w:rFonts w:eastAsia="Calibri"/>
              </w:rPr>
              <w:t xml:space="preserve">минимальный процент озеленения земельного участка 15%.</w:t>
            </w:r>
            <w:r/>
          </w:p>
        </w:tc>
        <w:tc>
          <w:tcPr>
            <w:tcW w:w="2835" w:type="dxa"/>
            <w:vMerge w:val="continue"/>
            <w:textDirection w:val="lrTb"/>
            <w:noWrap w:val="false"/>
          </w:tcPr>
          <w:p>
            <w:pPr>
              <w:ind w:right="142" w:firstLine="567"/>
              <w:jc w:val="both"/>
              <w:tabs>
                <w:tab w:val="left" w:pos="3071" w:leader="none"/>
              </w:tabs>
              <w:rPr>
                <w:shd w:val="clear" w:color="auto" w:fill="ffffff"/>
              </w:rPr>
            </w:pPr>
            <w:r>
              <w:rPr>
                <w:shd w:val="clear" w:color="auto" w:fill="ffffff"/>
              </w:rPr>
            </w:r>
            <w:r/>
          </w:p>
        </w:tc>
      </w:tr>
      <w:tr>
        <w:trPr>
          <w:trHeight w:val="346"/>
        </w:trPr>
        <w:tc>
          <w:tcPr>
            <w:tcW w:w="3001" w:type="dxa"/>
            <w:textDirection w:val="lrTb"/>
            <w:noWrap w:val="false"/>
          </w:tcPr>
          <w:p>
            <w:pPr>
              <w:ind w:left="142" w:right="146"/>
            </w:pPr>
            <w:r>
              <w:t xml:space="preserve">[4.4]  </w:t>
            </w:r>
            <w:r/>
          </w:p>
          <w:p>
            <w:pPr>
              <w:ind w:left="142" w:right="146"/>
              <w:tabs>
                <w:tab w:val="left" w:pos="2520" w:leader="none"/>
              </w:tabs>
              <w:rPr>
                <w:strike/>
              </w:rPr>
            </w:pPr>
            <w:r>
              <w:t xml:space="preserve">Магазины</w:t>
            </w:r>
            <w:r/>
          </w:p>
        </w:tc>
        <w:tc>
          <w:tcPr>
            <w:tcW w:w="3955" w:type="dxa"/>
            <w:textDirection w:val="lrTb"/>
            <w:noWrap w:val="false"/>
          </w:tcPr>
          <w:p>
            <w:pPr>
              <w:ind w:left="142" w:right="146"/>
              <w:jc w:val="both"/>
              <w:tabs>
                <w:tab w:val="left" w:pos="2520" w:leader="none"/>
              </w:tabs>
              <w:rPr>
                <w:strike/>
              </w:rPr>
            </w:pPr>
            <w:r>
              <w:t xml:space="preserve">Размещение объектов капитального строительства, предназначенных для продажи товаров, торговая площадь которых составляет до 5000 кв. м</w:t>
            </w:r>
            <w:r/>
          </w:p>
        </w:tc>
        <w:tc>
          <w:tcPr>
            <w:tcW w:w="5245" w:type="dxa"/>
            <w:textDirection w:val="lrTb"/>
            <w:noWrap w:val="false"/>
          </w:tcPr>
          <w:p>
            <w:pPr>
              <w:ind w:left="142" w:right="146"/>
              <w:jc w:val="both"/>
            </w:pPr>
            <w:r>
              <w:t xml:space="preserve">минимальная/максимальная площадь земельных участков –100/5000 кв. м;</w:t>
            </w:r>
            <w:r/>
          </w:p>
          <w:p>
            <w:pPr>
              <w:ind w:left="142" w:right="146"/>
              <w:jc w:val="both"/>
            </w:pPr>
            <w:r>
              <w:t xml:space="preserve">максимальный процент застройки в границах земельного участка –60%;</w:t>
            </w:r>
            <w:r/>
          </w:p>
          <w:p>
            <w:pPr>
              <w:ind w:left="142" w:right="146"/>
              <w:jc w:val="both"/>
            </w:pPr>
            <w:r>
              <w:t xml:space="preserve">максимальное количество надземных этажей зданий – 3;</w:t>
            </w:r>
            <w:r/>
          </w:p>
          <w:p>
            <w:pPr>
              <w:ind w:left="142" w:right="146"/>
              <w:jc w:val="both"/>
            </w:pPr>
            <w:r>
              <w:t xml:space="preserve">максимальная высота зданий, строений, сооружений от уровня земли – 15 м;</w:t>
            </w:r>
            <w:r/>
          </w:p>
          <w:p>
            <w:pPr>
              <w:ind w:left="142" w:right="146"/>
              <w:jc w:val="both"/>
            </w:pPr>
            <w:r>
              <w:t xml:space="preserve">минимальные отступы от красной линии – 5 м; от иных границ – 3 м;  </w:t>
            </w:r>
            <w:r/>
          </w:p>
          <w:p>
            <w:pPr>
              <w:ind w:right="146"/>
              <w:tabs>
                <w:tab w:val="left" w:pos="1134" w:leader="none"/>
              </w:tabs>
              <w:rPr>
                <w:strike/>
              </w:rPr>
            </w:pPr>
            <w:r>
              <w:t xml:space="preserve">минимальный процент озеленения – 15%</w:t>
            </w:r>
            <w:r/>
          </w:p>
        </w:tc>
        <w:tc>
          <w:tcPr>
            <w:tcW w:w="2835" w:type="dxa"/>
            <w:vMerge w:val="continue"/>
            <w:textDirection w:val="lrTb"/>
            <w:noWrap w:val="false"/>
          </w:tcPr>
          <w:p>
            <w:pPr>
              <w:ind w:right="142" w:firstLine="567"/>
              <w:jc w:val="both"/>
              <w:tabs>
                <w:tab w:val="left" w:pos="3071" w:leader="none"/>
              </w:tabs>
              <w:rPr>
                <w:shd w:val="clear" w:color="auto" w:fill="ffffff"/>
              </w:rPr>
            </w:pPr>
            <w:r>
              <w:rPr>
                <w:shd w:val="clear" w:color="auto" w:fill="ffffff"/>
              </w:rPr>
            </w:r>
            <w:r/>
          </w:p>
        </w:tc>
      </w:tr>
      <w:tr>
        <w:trPr>
          <w:trHeight w:val="346"/>
        </w:trPr>
        <w:tc>
          <w:tcPr>
            <w:tcW w:w="3001" w:type="dxa"/>
            <w:textDirection w:val="lrTb"/>
            <w:noWrap w:val="false"/>
          </w:tcPr>
          <w:p>
            <w:pPr>
              <w:ind w:left="142" w:right="146"/>
            </w:pPr>
            <w:r>
              <w:t xml:space="preserve">[4.6] </w:t>
            </w:r>
            <w:r/>
          </w:p>
          <w:p>
            <w:pPr>
              <w:ind w:left="142" w:right="146"/>
              <w:tabs>
                <w:tab w:val="left" w:pos="2520" w:leader="none"/>
              </w:tabs>
              <w:rPr>
                <w:strike/>
              </w:rPr>
            </w:pPr>
            <w:r>
              <w:t xml:space="preserve">Общественное питание</w:t>
            </w:r>
            <w:r/>
          </w:p>
        </w:tc>
        <w:tc>
          <w:tcPr>
            <w:tcW w:w="3955" w:type="dxa"/>
            <w:textDirection w:val="lrTb"/>
            <w:noWrap w:val="false"/>
          </w:tcPr>
          <w:p>
            <w:pPr>
              <w:ind w:left="142" w:right="146"/>
              <w:jc w:val="both"/>
              <w:tabs>
                <w:tab w:val="left" w:pos="2520" w:leader="none"/>
              </w:tabs>
              <w:rPr>
                <w:strike/>
              </w:rPr>
            </w:pPr>
            <w:r>
              <w:t xml:space="preserve">Размещение объектов капитального строительства в целях устройства мест общественного питания (рестораны, кафе, столовые, закусочные, бары)</w:t>
            </w:r>
            <w:r/>
          </w:p>
        </w:tc>
        <w:tc>
          <w:tcPr>
            <w:tcW w:w="5245" w:type="dxa"/>
            <w:textDirection w:val="lrTb"/>
            <w:noWrap w:val="false"/>
          </w:tcPr>
          <w:p>
            <w:pPr>
              <w:ind w:left="142" w:right="146"/>
              <w:jc w:val="both"/>
            </w:pPr>
            <w:r>
              <w:t xml:space="preserve">минимальная/максимальная площадь земельных участков – 200/10000 кв. м;</w:t>
            </w:r>
            <w:r/>
          </w:p>
          <w:p>
            <w:pPr>
              <w:ind w:left="142" w:right="146"/>
              <w:jc w:val="both"/>
            </w:pPr>
            <w:r>
              <w:t xml:space="preserve">максимальный процент застройки в границах земельного участка –60%;</w:t>
            </w:r>
            <w:r/>
          </w:p>
          <w:p>
            <w:pPr>
              <w:ind w:left="142" w:right="146"/>
              <w:jc w:val="both"/>
            </w:pPr>
            <w:r>
              <w:t xml:space="preserve">максимальное количество надземных этажей зданий – 3;</w:t>
            </w:r>
            <w:r/>
          </w:p>
          <w:p>
            <w:pPr>
              <w:ind w:left="142" w:right="146"/>
              <w:jc w:val="both"/>
            </w:pPr>
            <w:r>
              <w:t xml:space="preserve">максимальная высота зданий, строений, сооружений от уровня земли - 15 м;</w:t>
            </w:r>
            <w:r/>
          </w:p>
          <w:p>
            <w:pPr>
              <w:ind w:left="142" w:right="146"/>
              <w:jc w:val="both"/>
            </w:pPr>
            <w:r>
              <w:t xml:space="preserve">минимальные отступы от красной линии – 5 м; от иных границ – 3 м;  </w:t>
            </w:r>
            <w:r/>
          </w:p>
          <w:p>
            <w:pPr>
              <w:ind w:left="142" w:right="146"/>
              <w:jc w:val="both"/>
              <w:tabs>
                <w:tab w:val="left" w:pos="1134" w:leader="none"/>
              </w:tabs>
              <w:rPr>
                <w:strike/>
              </w:rPr>
            </w:pPr>
            <w:r>
              <w:t xml:space="preserve">минимальный процент озеленения – 15%</w:t>
            </w:r>
            <w:r/>
          </w:p>
        </w:tc>
        <w:tc>
          <w:tcPr>
            <w:tcW w:w="2835" w:type="dxa"/>
            <w:vMerge w:val="continue"/>
            <w:textDirection w:val="lrTb"/>
            <w:noWrap w:val="false"/>
          </w:tcPr>
          <w:p>
            <w:pPr>
              <w:ind w:right="142" w:firstLine="567"/>
              <w:jc w:val="both"/>
              <w:tabs>
                <w:tab w:val="left" w:pos="3071" w:leader="none"/>
              </w:tabs>
              <w:rPr>
                <w:shd w:val="clear" w:color="auto" w:fill="ffffff"/>
              </w:rPr>
            </w:pPr>
            <w:r>
              <w:rPr>
                <w:shd w:val="clear" w:color="auto" w:fill="ffffff"/>
              </w:rPr>
            </w:r>
            <w:r/>
          </w:p>
        </w:tc>
      </w:tr>
      <w:tr>
        <w:trPr>
          <w:trHeight w:val="2639"/>
        </w:trPr>
        <w:tc>
          <w:tcPr>
            <w:tcW w:w="3001" w:type="dxa"/>
            <w:textDirection w:val="lrTb"/>
            <w:noWrap w:val="false"/>
          </w:tcPr>
          <w:p>
            <w:pPr>
              <w:ind w:left="142" w:right="146"/>
            </w:pPr>
            <w:r>
              <w:t xml:space="preserve">[4.7]  </w:t>
            </w:r>
            <w:r/>
          </w:p>
          <w:p>
            <w:pPr>
              <w:ind w:left="142" w:right="146"/>
              <w:tabs>
                <w:tab w:val="left" w:pos="2520" w:leader="none"/>
              </w:tabs>
              <w:rPr>
                <w:strike/>
              </w:rPr>
            </w:pPr>
            <w:r>
              <w:t xml:space="preserve">Гостиничное обслуживание</w:t>
            </w:r>
            <w:r/>
          </w:p>
        </w:tc>
        <w:tc>
          <w:tcPr>
            <w:tcW w:w="3955" w:type="dxa"/>
            <w:textDirection w:val="lrTb"/>
            <w:noWrap w:val="false"/>
          </w:tcPr>
          <w:p>
            <w:pPr>
              <w:ind w:left="142" w:right="146"/>
              <w:jc w:val="both"/>
              <w:tabs>
                <w:tab w:val="left" w:pos="2520" w:leader="none"/>
              </w:tabs>
              <w:rPr>
                <w:strike/>
              </w:rPr>
            </w:pPr>
            <w:r>
              <w:t xml:space="preserve">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r/>
          </w:p>
        </w:tc>
        <w:tc>
          <w:tcPr>
            <w:tcW w:w="5245" w:type="dxa"/>
            <w:textDirection w:val="lrTb"/>
            <w:noWrap w:val="false"/>
          </w:tcPr>
          <w:p>
            <w:pPr>
              <w:ind w:left="142" w:right="146"/>
              <w:jc w:val="both"/>
            </w:pPr>
            <w:r>
              <w:t xml:space="preserve">минимальная/максимальная площадь земельных участков – 1000/5000 кв. м;</w:t>
            </w:r>
            <w:r/>
          </w:p>
          <w:p>
            <w:pPr>
              <w:ind w:left="142" w:right="146"/>
              <w:jc w:val="both"/>
            </w:pPr>
            <w:r>
              <w:t xml:space="preserve">максимальный процент застройки в границах земельного участка –60%;</w:t>
            </w:r>
            <w:r/>
          </w:p>
          <w:p>
            <w:pPr>
              <w:ind w:left="142" w:right="146"/>
              <w:jc w:val="both"/>
            </w:pPr>
            <w:r>
              <w:t xml:space="preserve">максимальное количество надземных этажей зданий –  3;</w:t>
            </w:r>
            <w:r/>
          </w:p>
          <w:p>
            <w:pPr>
              <w:ind w:left="142" w:right="146"/>
              <w:jc w:val="both"/>
            </w:pPr>
            <w:r>
              <w:t xml:space="preserve">максимальная высота зданий, строений, сооружений от уровня земли - 20 м;</w:t>
            </w:r>
            <w:r/>
          </w:p>
          <w:p>
            <w:pPr>
              <w:ind w:left="142" w:right="146"/>
              <w:jc w:val="both"/>
            </w:pPr>
            <w:r>
              <w:t xml:space="preserve">минимальные отступы от красной линии – 5 м; от иных границ – 3 м;</w:t>
            </w:r>
            <w:r/>
          </w:p>
          <w:p>
            <w:pPr>
              <w:ind w:left="142" w:right="146"/>
              <w:jc w:val="both"/>
              <w:tabs>
                <w:tab w:val="left" w:pos="1134" w:leader="none"/>
              </w:tabs>
              <w:rPr>
                <w:strike/>
              </w:rPr>
            </w:pPr>
            <w:r>
              <w:t xml:space="preserve">минимальный процент озеленения земельного участка 15%.</w:t>
            </w:r>
            <w:r/>
          </w:p>
        </w:tc>
        <w:tc>
          <w:tcPr>
            <w:tcW w:w="2835" w:type="dxa"/>
            <w:vMerge w:val="continue"/>
            <w:textDirection w:val="lrTb"/>
            <w:noWrap w:val="false"/>
          </w:tcPr>
          <w:p>
            <w:pPr>
              <w:ind w:right="142" w:firstLine="567"/>
              <w:jc w:val="both"/>
              <w:tabs>
                <w:tab w:val="left" w:pos="3071" w:leader="none"/>
              </w:tabs>
              <w:rPr>
                <w:shd w:val="clear" w:color="auto" w:fill="ffffff"/>
              </w:rPr>
            </w:pPr>
            <w:r>
              <w:rPr>
                <w:shd w:val="clear" w:color="auto" w:fill="ffffff"/>
              </w:rPr>
            </w:r>
            <w:r/>
          </w:p>
        </w:tc>
      </w:tr>
    </w:tbl>
    <w:p>
      <w:pPr>
        <w:ind w:firstLine="567"/>
        <w:jc w:val="center"/>
        <w:tabs>
          <w:tab w:val="left" w:pos="2520" w:leader="none"/>
        </w:tabs>
      </w:pPr>
      <w:r/>
      <w:r/>
    </w:p>
    <w:p>
      <w:pPr>
        <w:ind w:firstLine="567"/>
        <w:jc w:val="center"/>
        <w:tabs>
          <w:tab w:val="left" w:pos="2520" w:leader="none"/>
        </w:tabs>
      </w:pPr>
      <w:r>
        <w:rPr>
          <w:b/>
          <w:color w:val="000000"/>
        </w:rPr>
        <w:t xml:space="preserve">ВСПОМОГАТЕЛЬНЫЕ ВИДЫ И ПАРАМЕТРЫ РАЗРЕШЕННОГО ИСПОЛЬЗОВАНИЯ ЗЕМЕЛЬНЫХ УЧАСТКОВ И ОБЪЕКТОВ КАПИТАЛЬНОГО СТРОИТЕЛЬСТВА</w:t>
      </w:r>
      <w:r/>
    </w:p>
    <w:p>
      <w:pPr>
        <w:ind w:firstLine="567"/>
        <w:jc w:val="both"/>
        <w:rPr>
          <w:rFonts w:eastAsia="SimSun"/>
          <w:lang w:eastAsia="zh-CN" w:bidi="ru-RU"/>
        </w:rPr>
      </w:pPr>
      <w:r>
        <w:rPr>
          <w:lang w:eastAsia="ru-RU" w:bidi="ru-RU"/>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Pr>
          <w:rFonts w:eastAsia="SimSun"/>
          <w:lang w:eastAsia="zh-CN" w:bidi="ru-RU"/>
        </w:rPr>
        <w:t xml:space="preserve"> Предельные (мин</w:t>
      </w:r>
      <w:r>
        <w:rPr>
          <w:rFonts w:eastAsia="SimSun"/>
          <w:lang w:eastAsia="zh-CN" w:bidi="ru-RU"/>
        </w:rPr>
        <w:t xml:space="preserve">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r/>
    </w:p>
    <w:p>
      <w:pPr>
        <w:ind w:firstLine="567"/>
        <w:jc w:val="both"/>
      </w:pPr>
      <w: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 w:type="dxa"/>
          <w:right w:w="10" w:type="dxa"/>
        </w:tblCellMar>
        <w:tblLook w:val="04A0" w:firstRow="1" w:lastRow="0" w:firstColumn="1" w:lastColumn="0" w:noHBand="0" w:noVBand="1"/>
      </w:tblPr>
      <w:tblGrid>
        <w:gridCol w:w="3129"/>
        <w:gridCol w:w="6379"/>
        <w:gridCol w:w="5670"/>
      </w:tblGrid>
      <w:tr>
        <w:trPr>
          <w:trHeight w:val="552"/>
        </w:trPr>
        <w:tc>
          <w:tcPr>
            <w:tcW w:w="3129" w:type="dxa"/>
            <w:vAlign w:val="center"/>
            <w:textDirection w:val="lrTb"/>
            <w:noWrap w:val="false"/>
          </w:tcPr>
          <w:p>
            <w:pPr>
              <w:ind w:firstLine="567"/>
              <w:jc w:val="center"/>
              <w:tabs>
                <w:tab w:val="left" w:pos="2520" w:leader="none"/>
              </w:tabs>
              <w:rPr>
                <w:b/>
              </w:rPr>
            </w:pPr>
            <w:r>
              <w:rPr>
                <w:b/>
              </w:rPr>
              <w:t xml:space="preserve">ВИДЫ ВСПОМОГАТЕЛЬНЫХ ОБЪЕКТОВ КАПИТАЛЬНОГО СТРОИТЕЛЬСТВА</w:t>
            </w:r>
            <w:r/>
          </w:p>
        </w:tc>
        <w:tc>
          <w:tcPr>
            <w:tcW w:w="6379" w:type="dxa"/>
            <w:vAlign w:val="center"/>
            <w:textDirection w:val="lrTb"/>
            <w:noWrap w:val="false"/>
          </w:tcPr>
          <w:p>
            <w:pPr>
              <w:ind w:firstLine="567"/>
              <w:jc w:val="center"/>
              <w:tabs>
                <w:tab w:val="left" w:pos="2520" w:leader="none"/>
              </w:tabs>
              <w:rPr>
                <w:b/>
              </w:rPr>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W w:w="5670" w:type="dxa"/>
            <w:vAlign w:val="center"/>
            <w:textDirection w:val="lrTb"/>
            <w:noWrap w:val="false"/>
          </w:tcPr>
          <w:p>
            <w:pPr>
              <w:ind w:right="557" w:firstLine="567"/>
              <w:jc w:val="center"/>
              <w:tabs>
                <w:tab w:val="left" w:pos="3071" w:leader="none"/>
              </w:tabs>
              <w:rPr>
                <w:b/>
              </w:rPr>
            </w:pPr>
            <w:r>
              <w:rPr>
                <w:b/>
              </w:rPr>
              <w:t xml:space="preserve">ОСОБЫЕ УСЛОВИЯ РЕАЛИЗАЦИИ РЕГЛАМЕНТА</w:t>
            </w:r>
            <w:r/>
          </w:p>
          <w:p>
            <w:pPr>
              <w:ind w:right="557" w:firstLine="567"/>
              <w:jc w:val="center"/>
              <w:tabs>
                <w:tab w:val="left" w:pos="3071" w:leader="none"/>
              </w:tabs>
              <w:rPr>
                <w:b/>
              </w:rPr>
            </w:pPr>
            <w:r>
              <w:rPr>
                <w:b/>
              </w:rPr>
            </w:r>
            <w:r/>
          </w:p>
        </w:tc>
      </w:tr>
      <w:tr>
        <w:trPr>
          <w:trHeight w:val="984"/>
        </w:trPr>
        <w:tc>
          <w:tcPr>
            <w:tcW w:w="3129" w:type="dxa"/>
            <w:textDirection w:val="lrTb"/>
            <w:noWrap w:val="false"/>
          </w:tcPr>
          <w:p>
            <w:pPr>
              <w:ind w:left="142" w:right="131"/>
              <w:tabs>
                <w:tab w:val="left" w:pos="4812" w:leader="none"/>
              </w:tabs>
              <w:rPr>
                <w:rFonts w:eastAsia="SimSun"/>
                <w:lang w:eastAsia="zh-CN" w:bidi="ru-RU"/>
              </w:rPr>
            </w:pPr>
            <w:r>
              <w:rPr>
                <w:rFonts w:eastAsia="SimSun"/>
                <w:lang w:eastAsia="zh-CN" w:bidi="ru-RU"/>
              </w:rPr>
              <w:t xml:space="preserve">Площадки для сбора твердых бытовых отходов.</w:t>
            </w:r>
            <w:r/>
          </w:p>
          <w:p>
            <w:pPr>
              <w:ind w:left="142" w:right="131"/>
              <w:rPr>
                <w:rFonts w:eastAsia="SimSun"/>
                <w:lang w:eastAsia="zh-CN" w:bidi="ru-RU"/>
              </w:rPr>
            </w:pPr>
            <w:r>
              <w:rPr>
                <w:rFonts w:eastAsia="SimSun"/>
                <w:lang w:eastAsia="zh-CN" w:bidi="ru-RU"/>
              </w:rPr>
            </w:r>
            <w:r/>
          </w:p>
        </w:tc>
        <w:tc>
          <w:tcPr>
            <w:tcW w:w="6379" w:type="dxa"/>
            <w:textDirection w:val="lrTb"/>
            <w:noWrap w:val="false"/>
          </w:tcPr>
          <w:p>
            <w:pPr>
              <w:ind w:left="142" w:right="224"/>
              <w:jc w:val="both"/>
              <w:tabs>
                <w:tab w:val="left" w:pos="4812" w:leader="none"/>
              </w:tabs>
              <w:rPr>
                <w:rFonts w:eastAsia="SimSun"/>
                <w:lang w:eastAsia="zh-CN" w:bidi="ru-RU"/>
              </w:rPr>
            </w:pPr>
            <w:r>
              <w:rPr>
                <w:rFonts w:eastAsia="SimSun"/>
                <w:lang w:eastAsia="zh-CN" w:bidi="ru-RU"/>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r/>
          </w:p>
          <w:p>
            <w:pPr>
              <w:ind w:left="142" w:right="131"/>
              <w:jc w:val="both"/>
              <w:rPr>
                <w:rFonts w:eastAsia="SimSun"/>
                <w:lang w:eastAsia="zh-CN" w:bidi="ru-RU"/>
              </w:rPr>
            </w:pPr>
            <w:r>
              <w:rPr>
                <w:rFonts w:eastAsia="SimSun"/>
                <w:lang w:eastAsia="zh-CN" w:bidi="ru-RU"/>
              </w:rPr>
              <w:t xml:space="preserve">Общее количество контейнеров не более 5 шт.</w:t>
            </w:r>
            <w:r/>
          </w:p>
        </w:tc>
        <w:tc>
          <w:tcPr>
            <w:tcW w:w="5670" w:type="dxa"/>
            <w:vMerge w:val="restart"/>
            <w:textDirection w:val="lrTb"/>
            <w:noWrap w:val="false"/>
          </w:tcPr>
          <w:p>
            <w:pPr>
              <w:ind w:left="142" w:right="131"/>
              <w:jc w:val="both"/>
              <w:rPr>
                <w:rFonts w:eastAsia="SimSun"/>
                <w:lang w:eastAsia="zh-CN" w:bidi="ru-RU"/>
              </w:rPr>
            </w:pPr>
            <w:r>
              <w:rPr>
                <w:rFonts w:eastAsia="SimSun"/>
                <w:lang w:eastAsia="zh-CN" w:bidi="ru-RU"/>
              </w:rPr>
              <w:t xml:space="preserve">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r/>
          </w:p>
          <w:p>
            <w:pPr>
              <w:ind w:left="142" w:right="131"/>
              <w:jc w:val="both"/>
              <w:rPr>
                <w:rFonts w:eastAsia="SimSun"/>
                <w:lang w:eastAsia="zh-CN" w:bidi="ru-RU"/>
              </w:rPr>
            </w:pPr>
            <w:r>
              <w:rPr>
                <w:rFonts w:eastAsia="SimSun"/>
                <w:lang w:eastAsia="zh-CN" w:bidi="ru-RU"/>
              </w:rPr>
            </w:r>
            <w:r/>
          </w:p>
          <w:p>
            <w:pPr>
              <w:ind w:left="142" w:right="131"/>
              <w:jc w:val="both"/>
              <w:tabs>
                <w:tab w:val="left" w:pos="1134" w:leader="none"/>
              </w:tabs>
              <w:rPr>
                <w:rFonts w:eastAsia="SimSun"/>
                <w:lang w:eastAsia="zh-CN" w:bidi="ru-RU"/>
              </w:rPr>
            </w:pPr>
            <w:r>
              <w:rPr>
                <w:rFonts w:eastAsia="SimSun"/>
                <w:lang w:eastAsia="zh-CN" w:bidi="ru-RU"/>
              </w:rPr>
              <w:t xml:space="preserve">Размещение вспомогательных объектов, в том числе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r/>
          </w:p>
          <w:p>
            <w:pPr>
              <w:ind w:left="142" w:right="131"/>
              <w:jc w:val="both"/>
              <w:tabs>
                <w:tab w:val="left" w:pos="1134" w:leader="none"/>
              </w:tabs>
              <w:rPr>
                <w:rFonts w:eastAsia="SimSun"/>
                <w:lang w:eastAsia="zh-CN" w:bidi="ru-RU"/>
              </w:rPr>
            </w:pPr>
            <w:r>
              <w:rPr>
                <w:rFonts w:eastAsia="SimSun"/>
                <w:lang w:eastAsia="zh-CN" w:bidi="ru-RU"/>
              </w:rPr>
            </w:r>
            <w:r/>
          </w:p>
          <w:p>
            <w:pPr>
              <w:ind w:left="142" w:right="131"/>
              <w:jc w:val="both"/>
            </w:pPr>
            <w:r>
              <w:t xml:space="preserve">Хозяйственные постройки должны быть обеспечены системами водоотведения с кровли, с целью предотвращения подтопления соседни</w:t>
            </w:r>
            <w:r>
              <w:t xml:space="preserve">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 </w:t>
            </w:r>
            <w:r/>
          </w:p>
          <w:p>
            <w:pPr>
              <w:ind w:left="142" w:right="131"/>
              <w:jc w:val="both"/>
            </w:pPr>
            <w:r/>
            <w:r/>
          </w:p>
          <w:p>
            <w:pPr>
              <w:ind w:left="142" w:right="131"/>
              <w:jc w:val="both"/>
              <w:rPr>
                <w:rFonts w:eastAsia="SimSun"/>
                <w:lang w:eastAsia="zh-CN" w:bidi="ru-RU"/>
              </w:rPr>
            </w:pPr>
            <w:r>
              <w:rPr>
                <w:rFonts w:eastAsia="SimSun"/>
                <w:lang w:eastAsia="zh-CN" w:bidi="ru-RU"/>
              </w:rPr>
              <w:t xml:space="preserve">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r/>
          </w:p>
          <w:p>
            <w:pPr>
              <w:ind w:left="142" w:right="131"/>
              <w:jc w:val="both"/>
              <w:rPr>
                <w:rFonts w:eastAsia="SimSun"/>
                <w:lang w:eastAsia="zh-CN" w:bidi="ru-RU"/>
              </w:rPr>
            </w:pPr>
            <w:r>
              <w:rPr>
                <w:rFonts w:eastAsia="SimSun"/>
                <w:lang w:eastAsia="zh-CN" w:bidi="ru-RU"/>
              </w:rPr>
            </w:r>
            <w:r/>
          </w:p>
          <w:p>
            <w:pPr>
              <w:ind w:left="142" w:right="131"/>
              <w:jc w:val="both"/>
              <w:rPr>
                <w:rFonts w:eastAsia="SimSun"/>
                <w:lang w:eastAsia="zh-CN" w:bidi="ru-RU"/>
              </w:rPr>
            </w:pPr>
            <w:r>
              <w:rPr>
                <w:rFonts w:eastAsia="SimSun"/>
                <w:lang w:eastAsia="zh-CN" w:bidi="ru-RU"/>
              </w:rPr>
              <w:t xml:space="preserve">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p>
          <w:p>
            <w:pPr>
              <w:ind w:left="142" w:right="131"/>
              <w:jc w:val="both"/>
              <w:rPr>
                <w:rFonts w:eastAsia="SimSun"/>
                <w:lang w:eastAsia="zh-CN" w:bidi="ru-RU"/>
              </w:rPr>
            </w:pPr>
            <w:r>
              <w:rPr>
                <w:rFonts w:eastAsia="SimSun"/>
                <w:lang w:eastAsia="zh-CN" w:bidi="ru-RU"/>
              </w:rPr>
            </w:r>
            <w:r/>
          </w:p>
          <w:p>
            <w:pPr>
              <w:ind w:left="142" w:right="131"/>
              <w:jc w:val="both"/>
              <w:rPr>
                <w:rFonts w:eastAsia="SimSun"/>
                <w:lang w:eastAsia="zh-CN" w:bidi="ru-RU"/>
              </w:rPr>
            </w:pPr>
            <w:r>
              <w:rPr>
                <w:rFonts w:eastAsia="SimSun"/>
                <w:lang w:eastAsia="zh-CN" w:bidi="ru-RU"/>
              </w:rPr>
              <w:t xml:space="preserve">Любые вспомогательные виды решённого использования объектов капитального строительства не могут по своим суммарным характеристикам (стр</w:t>
            </w:r>
            <w:r>
              <w:rPr>
                <w:rFonts w:eastAsia="SimSun"/>
                <w:lang w:eastAsia="zh-CN" w:bidi="ru-RU"/>
              </w:rPr>
              <w:t xml:space="preserve">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r/>
          </w:p>
          <w:p>
            <w:pPr>
              <w:ind w:left="142" w:right="131"/>
              <w:jc w:val="both"/>
            </w:pPr>
            <w:r/>
            <w:r/>
          </w:p>
        </w:tc>
      </w:tr>
      <w:tr>
        <w:trPr>
          <w:trHeight w:val="705"/>
        </w:trPr>
        <w:tc>
          <w:tcPr>
            <w:tcW w:w="3129" w:type="dxa"/>
            <w:textDirection w:val="lrTb"/>
            <w:noWrap w:val="false"/>
          </w:tcPr>
          <w:p>
            <w:pPr>
              <w:ind w:left="142" w:right="131"/>
              <w:tabs>
                <w:tab w:val="left" w:pos="4812" w:leader="none"/>
              </w:tabs>
              <w:rPr>
                <w:rFonts w:eastAsia="SimSun"/>
                <w:lang w:eastAsia="zh-CN" w:bidi="ru-RU"/>
              </w:rPr>
            </w:pPr>
            <w:r>
              <w:rPr>
                <w:rFonts w:eastAsia="SimSun"/>
                <w:lang w:eastAsia="zh-CN" w:bidi="ru-RU"/>
              </w:rPr>
              <w:t xml:space="preserve">Гостевые автостоянки для парковки легковых автомобилей посетителей.</w:t>
            </w:r>
            <w:r/>
          </w:p>
        </w:tc>
        <w:tc>
          <w:tcPr>
            <w:tcW w:w="6379" w:type="dxa"/>
            <w:textDirection w:val="lrTb"/>
            <w:noWrap w:val="false"/>
          </w:tcPr>
          <w:p>
            <w:pPr>
              <w:ind w:left="142" w:right="132"/>
              <w:jc w:val="both"/>
              <w:widowControl/>
              <w:tabs>
                <w:tab w:val="left" w:pos="4812" w:leader="none"/>
              </w:tabs>
              <w:rPr>
                <w:lang w:eastAsia="ru-RU"/>
              </w:rPr>
            </w:pPr>
            <w:r>
              <w:rPr>
                <w:lang w:eastAsia="ru-RU"/>
              </w:rPr>
              <w:t xml:space="preserve">Нормативное количество парковочных мест определяется по таблице части 8 ст. 21 Правил</w:t>
            </w:r>
            <w:r/>
          </w:p>
          <w:p>
            <w:pPr>
              <w:ind w:left="142" w:right="224"/>
              <w:jc w:val="both"/>
              <w:tabs>
                <w:tab w:val="left" w:pos="4812" w:leader="none"/>
              </w:tabs>
              <w:rPr>
                <w:rFonts w:eastAsia="SimSun"/>
                <w:lang w:eastAsia="zh-CN" w:bidi="ru-RU"/>
              </w:rPr>
            </w:pPr>
            <w:r>
              <w:rPr>
                <w:rFonts w:eastAsia="SimSun"/>
                <w:lang w:eastAsia="zh-CN" w:bidi="ru-RU"/>
              </w:rPr>
            </w:r>
            <w:r/>
          </w:p>
        </w:tc>
        <w:tc>
          <w:tcPr>
            <w:tcW w:w="5670" w:type="dxa"/>
            <w:vMerge w:val="continue"/>
            <w:textDirection w:val="lrTb"/>
            <w:noWrap w:val="false"/>
          </w:tcPr>
          <w:p>
            <w:pPr>
              <w:ind w:left="142" w:right="131"/>
              <w:jc w:val="both"/>
              <w:rPr>
                <w:rFonts w:eastAsia="SimSun"/>
                <w:lang w:eastAsia="zh-CN" w:bidi="ru-RU"/>
              </w:rPr>
            </w:pPr>
            <w:r>
              <w:rPr>
                <w:rFonts w:eastAsia="SimSun"/>
                <w:lang w:eastAsia="zh-CN" w:bidi="ru-RU"/>
              </w:rPr>
            </w:r>
            <w:r/>
          </w:p>
        </w:tc>
      </w:tr>
      <w:tr>
        <w:trPr>
          <w:trHeight w:val="936"/>
        </w:trPr>
        <w:tc>
          <w:tcPr>
            <w:tcW w:w="3129" w:type="dxa"/>
            <w:textDirection w:val="lrTb"/>
            <w:noWrap w:val="false"/>
          </w:tcPr>
          <w:p>
            <w:pPr>
              <w:ind w:left="142" w:right="132"/>
              <w:tabs>
                <w:tab w:val="left" w:pos="4812" w:leader="none"/>
              </w:tabs>
              <w:rPr>
                <w:rFonts w:eastAsia="SimSun"/>
                <w:lang w:eastAsia="zh-CN" w:bidi="ru-RU"/>
              </w:rPr>
            </w:pPr>
            <w:r>
              <w:rPr>
                <w:rFonts w:eastAsia="SimSun"/>
                <w:lang w:eastAsia="zh-CN" w:bidi="ru-RU"/>
              </w:rPr>
              <w:t xml:space="preserve">Для ИЖС:</w:t>
            </w:r>
            <w:r/>
          </w:p>
          <w:p>
            <w:pPr>
              <w:ind w:left="142" w:right="132"/>
              <w:tabs>
                <w:tab w:val="left" w:pos="4812" w:leader="none"/>
              </w:tabs>
              <w:rPr>
                <w:rFonts w:eastAsia="SimSun"/>
                <w:lang w:eastAsia="zh-CN" w:bidi="ru-RU"/>
              </w:rPr>
            </w:pPr>
            <w:r>
              <w:rPr>
                <w:rFonts w:eastAsia="SimSun"/>
                <w:lang w:eastAsia="zh-CN" w:bidi="ru-RU"/>
              </w:rPr>
              <w:t xml:space="preserve">Хозяйственные постройки для хранения кормов, инвентаря, топлива и других хозяйственных нужд.</w:t>
            </w:r>
            <w:r/>
          </w:p>
          <w:p>
            <w:pPr>
              <w:ind w:left="142" w:right="132"/>
              <w:tabs>
                <w:tab w:val="left" w:pos="4812" w:leader="none"/>
              </w:tabs>
              <w:rPr>
                <w:rFonts w:eastAsia="SimSun"/>
                <w:lang w:eastAsia="zh-CN" w:bidi="ru-RU"/>
              </w:rPr>
            </w:pPr>
            <w:r>
              <w:rPr>
                <w:rFonts w:eastAsia="SimSun"/>
                <w:lang w:eastAsia="zh-CN" w:bidi="ru-RU"/>
              </w:rPr>
            </w:r>
            <w:r/>
          </w:p>
          <w:p>
            <w:pPr>
              <w:ind w:left="142" w:right="132"/>
              <w:tabs>
                <w:tab w:val="left" w:pos="4812" w:leader="none"/>
              </w:tabs>
              <w:rPr>
                <w:rFonts w:eastAsia="SimSun"/>
                <w:lang w:eastAsia="zh-CN" w:bidi="ru-RU"/>
              </w:rPr>
            </w:pPr>
            <w:r>
              <w:rPr>
                <w:rFonts w:eastAsia="SimSun"/>
                <w:lang w:eastAsia="zh-CN" w:bidi="ru-RU"/>
              </w:rPr>
              <w:t xml:space="preserve">Хозяйственные постройки для содержания скота и птицы </w:t>
            </w:r>
            <w:r/>
          </w:p>
          <w:p>
            <w:pPr>
              <w:ind w:left="142" w:right="132"/>
              <w:tabs>
                <w:tab w:val="left" w:pos="4812" w:leader="none"/>
              </w:tabs>
              <w:rPr>
                <w:rFonts w:eastAsia="SimSun"/>
                <w:lang w:eastAsia="zh-CN" w:bidi="ru-RU"/>
              </w:rPr>
            </w:pPr>
            <w:r>
              <w:rPr>
                <w:rFonts w:eastAsia="SimSun"/>
                <w:lang w:eastAsia="zh-CN" w:bidi="ru-RU"/>
              </w:rPr>
            </w:r>
            <w:r/>
          </w:p>
          <w:p>
            <w:pPr>
              <w:ind w:left="142" w:right="132"/>
              <w:tabs>
                <w:tab w:val="left" w:pos="4812" w:leader="none"/>
              </w:tabs>
              <w:rPr>
                <w:rFonts w:eastAsia="SimSun"/>
                <w:lang w:eastAsia="zh-CN" w:bidi="ru-RU"/>
              </w:rPr>
            </w:pPr>
            <w:r>
              <w:rPr>
                <w:rFonts w:eastAsia="SimSun"/>
                <w:lang w:eastAsia="zh-CN" w:bidi="ru-RU"/>
              </w:rPr>
              <w:t xml:space="preserve">Летние кухни, кладовые, погреба, бани, бассейны, гаражи навесы.</w:t>
            </w:r>
            <w:r/>
          </w:p>
          <w:p>
            <w:pPr>
              <w:ind w:left="142" w:right="132"/>
              <w:tabs>
                <w:tab w:val="left" w:pos="4812" w:leader="none"/>
              </w:tabs>
              <w:rPr>
                <w:rFonts w:eastAsia="SimSun"/>
                <w:lang w:eastAsia="zh-CN" w:bidi="ru-RU"/>
              </w:rPr>
            </w:pPr>
            <w:r>
              <w:rPr>
                <w:rFonts w:eastAsia="SimSun"/>
                <w:lang w:eastAsia="zh-CN" w:bidi="ru-RU"/>
              </w:rPr>
            </w:r>
            <w:r/>
          </w:p>
          <w:p>
            <w:pPr>
              <w:ind w:left="142" w:right="132"/>
              <w:tabs>
                <w:tab w:val="left" w:pos="4812" w:leader="none"/>
              </w:tabs>
              <w:rPr>
                <w:rFonts w:eastAsia="SimSun"/>
                <w:lang w:eastAsia="zh-CN" w:bidi="ru-RU"/>
              </w:rPr>
            </w:pPr>
            <w:r>
              <w:rPr>
                <w:rFonts w:eastAsia="SimSun"/>
                <w:lang w:eastAsia="zh-CN" w:bidi="ru-RU"/>
              </w:rPr>
            </w:r>
            <w:r/>
          </w:p>
          <w:p>
            <w:pPr>
              <w:ind w:left="142" w:right="132"/>
              <w:tabs>
                <w:tab w:val="left" w:pos="4812" w:leader="none"/>
              </w:tabs>
              <w:rPr>
                <w:rFonts w:eastAsia="SimSun"/>
                <w:lang w:eastAsia="zh-CN" w:bidi="ru-RU"/>
              </w:rPr>
            </w:pPr>
            <w:r>
              <w:rPr>
                <w:rFonts w:eastAsia="SimSun"/>
                <w:lang w:eastAsia="zh-CN" w:bidi="ru-RU"/>
              </w:rPr>
            </w:r>
            <w:r/>
          </w:p>
          <w:p>
            <w:pPr>
              <w:ind w:left="142" w:right="132"/>
              <w:tabs>
                <w:tab w:val="left" w:pos="4812" w:leader="none"/>
              </w:tabs>
              <w:rPr>
                <w:rFonts w:eastAsia="SimSun"/>
                <w:lang w:eastAsia="zh-CN" w:bidi="ru-RU"/>
              </w:rPr>
            </w:pPr>
            <w:r>
              <w:rPr>
                <w:rFonts w:eastAsia="SimSun"/>
                <w:lang w:eastAsia="zh-CN" w:bidi="ru-RU"/>
              </w:rPr>
            </w:r>
            <w:r/>
          </w:p>
          <w:p>
            <w:pPr>
              <w:ind w:left="142" w:right="132"/>
              <w:tabs>
                <w:tab w:val="left" w:pos="4812" w:leader="none"/>
              </w:tabs>
              <w:rPr>
                <w:rFonts w:eastAsia="SimSun"/>
                <w:lang w:eastAsia="zh-CN" w:bidi="ru-RU"/>
              </w:rPr>
            </w:pPr>
            <w:r>
              <w:rPr>
                <w:rFonts w:eastAsia="SimSun"/>
                <w:lang w:eastAsia="zh-CN" w:bidi="ru-RU"/>
              </w:rPr>
              <w:t xml:space="preserve">Надворные туалеты, гидронепроницаемые выгребы, септики.</w:t>
            </w:r>
            <w:r/>
          </w:p>
          <w:p>
            <w:pPr>
              <w:ind w:left="142" w:right="132"/>
              <w:tabs>
                <w:tab w:val="left" w:pos="4812" w:leader="none"/>
              </w:tabs>
              <w:rPr>
                <w:rFonts w:eastAsia="SimSun"/>
                <w:highlight w:val="cyan"/>
                <w:lang w:eastAsia="zh-CN" w:bidi="ru-RU"/>
              </w:rPr>
            </w:pPr>
            <w:r>
              <w:rPr>
                <w:rFonts w:eastAsia="SimSun"/>
                <w:highlight w:val="cyan"/>
                <w:lang w:eastAsia="zh-CN" w:bidi="ru-RU"/>
              </w:rPr>
            </w:r>
            <w:r/>
          </w:p>
          <w:p>
            <w:pPr>
              <w:ind w:left="142"/>
              <w:tabs>
                <w:tab w:val="left" w:pos="4812" w:leader="none"/>
              </w:tabs>
            </w:pPr>
            <w:r/>
            <w:r/>
          </w:p>
          <w:p>
            <w:pPr>
              <w:ind w:left="142"/>
              <w:tabs>
                <w:tab w:val="left" w:pos="4812" w:leader="none"/>
              </w:tabs>
            </w:pPr>
            <w:r/>
            <w:r/>
          </w:p>
          <w:p>
            <w:pPr>
              <w:ind w:left="142" w:right="131"/>
              <w:tabs>
                <w:tab w:val="left" w:pos="4812" w:leader="none"/>
              </w:tabs>
              <w:rPr>
                <w:rFonts w:eastAsia="SimSun"/>
                <w:lang w:eastAsia="zh-CN" w:bidi="ru-RU"/>
              </w:rPr>
            </w:pPr>
            <w:r>
              <w:rPr>
                <w:rFonts w:eastAsia="SimSun"/>
                <w:lang w:eastAsia="zh-CN" w:bidi="ru-RU"/>
              </w:rPr>
            </w:r>
            <w:r/>
          </w:p>
        </w:tc>
        <w:tc>
          <w:tcPr>
            <w:tcW w:w="6379" w:type="dxa"/>
            <w:textDirection w:val="lrTb"/>
            <w:noWrap w:val="false"/>
          </w:tcPr>
          <w:p>
            <w:pPr>
              <w:ind w:left="142" w:right="132"/>
              <w:jc w:val="both"/>
              <w:tabs>
                <w:tab w:val="left" w:pos="4812" w:leader="none"/>
              </w:tabs>
            </w:pPr>
            <w:r>
              <w:rPr>
                <w:rFonts w:eastAsia="SimSun"/>
                <w:lang w:eastAsia="zh-CN" w:bidi="ru-RU"/>
              </w:rPr>
              <w:t xml:space="preserve">Максимальное количество надземных этажей – 2 этажа (при условии обеспечения нормативной инсоляции на территории соседних участков).</w:t>
            </w:r>
            <w:r/>
          </w:p>
          <w:p>
            <w:pPr>
              <w:ind w:left="142" w:right="132"/>
              <w:jc w:val="both"/>
              <w:tabs>
                <w:tab w:val="left" w:pos="4812" w:leader="none"/>
              </w:tabs>
              <w:rPr>
                <w:rFonts w:eastAsia="SimSun"/>
                <w:lang w:eastAsia="zh-CN" w:bidi="ru-RU"/>
              </w:rPr>
            </w:pPr>
            <w:r>
              <w:rPr>
                <w:rFonts w:eastAsia="SimSun"/>
                <w:lang w:eastAsia="zh-CN" w:bidi="ru-RU"/>
              </w:rPr>
              <w:t xml:space="preserve">Максимальная высота – 6 м. </w:t>
            </w:r>
            <w:r/>
          </w:p>
          <w:p>
            <w:pPr>
              <w:ind w:left="142" w:right="132"/>
              <w:jc w:val="both"/>
              <w:tabs>
                <w:tab w:val="left" w:pos="4812" w:leader="none"/>
              </w:tabs>
              <w:rPr>
                <w:rFonts w:eastAsia="SimSun"/>
                <w:lang w:eastAsia="zh-CN" w:bidi="ru-RU"/>
              </w:rPr>
            </w:pPr>
            <w:r>
              <w:rPr>
                <w:rFonts w:eastAsia="SimSun"/>
                <w:lang w:eastAsia="zh-CN" w:bidi="ru-RU"/>
              </w:rPr>
              <w:t xml:space="preserve">Расстояние от хозяйственных построек до красных линий улиц и проездов не менее - 5 м; до иных границ – 1 м. при соблюдении требований технических регламентов.</w:t>
            </w:r>
            <w:r/>
          </w:p>
          <w:p>
            <w:pPr>
              <w:ind w:left="142" w:right="140"/>
              <w:jc w:val="both"/>
              <w:tabs>
                <w:tab w:val="left" w:pos="4812" w:leader="none"/>
              </w:tabs>
              <w:rPr>
                <w:rFonts w:eastAsia="SimSun"/>
                <w:lang w:eastAsia="zh-CN" w:bidi="ru-RU"/>
              </w:rPr>
            </w:pPr>
            <w:r>
              <w:rPr>
                <w:rFonts w:eastAsia="SimSun"/>
                <w:lang w:eastAsia="zh-CN" w:bidi="ru-RU"/>
              </w:rPr>
            </w:r>
            <w:r/>
          </w:p>
          <w:p>
            <w:pPr>
              <w:ind w:left="142" w:right="140"/>
              <w:jc w:val="both"/>
              <w:tabs>
                <w:tab w:val="left" w:pos="4812" w:leader="none"/>
              </w:tabs>
              <w:rPr>
                <w:rFonts w:eastAsia="SimSun"/>
                <w:lang w:eastAsia="zh-CN" w:bidi="ru-RU"/>
              </w:rPr>
            </w:pPr>
            <w:r>
              <w:rPr>
                <w:rFonts w:eastAsia="SimSun"/>
                <w:lang w:eastAsia="zh-CN" w:bidi="ru-RU"/>
              </w:rPr>
              <w:t xml:space="preserve">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r/>
          </w:p>
          <w:p>
            <w:pPr>
              <w:ind w:left="127" w:right="132"/>
              <w:jc w:val="both"/>
            </w:pPr>
            <w:r/>
            <w:r/>
          </w:p>
          <w:p>
            <w:pPr>
              <w:ind w:left="127" w:right="132"/>
              <w:jc w:val="both"/>
            </w:pPr>
            <w:r>
              <w:t xml:space="preserve">Максимальная площадь объектов вспомогательного назначения (за исключением навесов) – не более 50% от общей площади объекта ИЖС.</w:t>
            </w:r>
            <w:r/>
          </w:p>
          <w:p>
            <w:pPr>
              <w:ind w:left="142" w:right="140"/>
              <w:jc w:val="both"/>
              <w:tabs>
                <w:tab w:val="left" w:pos="4812" w:leader="none"/>
              </w:tabs>
              <w:rPr>
                <w:rFonts w:eastAsia="SimSun"/>
                <w:lang w:eastAsia="zh-CN" w:bidi="ru-RU"/>
              </w:rPr>
            </w:pPr>
            <w:r>
              <w:rPr>
                <w:rFonts w:eastAsia="SimSun"/>
                <w:lang w:eastAsia="zh-CN" w:bidi="ru-RU"/>
              </w:rPr>
            </w:r>
            <w:r/>
          </w:p>
          <w:p>
            <w:pPr>
              <w:ind w:left="142" w:right="140"/>
              <w:jc w:val="both"/>
              <w:tabs>
                <w:tab w:val="left" w:pos="4812" w:leader="none"/>
              </w:tabs>
              <w:rPr>
                <w:rFonts w:ascii="Times New Roman CYR" w:hAnsi="Times New Roman CYR" w:cs="Times New Roman CYR"/>
                <w:sz w:val="24"/>
                <w:szCs w:val="24"/>
                <w:lang w:eastAsia="ru-RU" w:bidi="ru-RU"/>
              </w:rPr>
            </w:pPr>
            <w:r>
              <w:rPr>
                <w:rFonts w:eastAsia="SimSun"/>
                <w:lang w:eastAsia="zh-CN" w:bidi="ru-RU"/>
              </w:rPr>
              <w:t xml:space="preserve">Расстояние до надворного туалета, гидронепроницаемого выгреба, септика до соседнего жилого дома не менее - 12 м; до красной линии не менее - 10 м; до границы смежного земельного участка не менее - 4 м.</w:t>
            </w:r>
            <w:r/>
          </w:p>
          <w:p>
            <w:pPr>
              <w:ind w:left="142" w:right="140"/>
              <w:jc w:val="both"/>
              <w:tabs>
                <w:tab w:val="left" w:pos="4812" w:leader="none"/>
              </w:tabs>
              <w:rPr>
                <w:rFonts w:eastAsia="SimSun"/>
                <w:lang w:eastAsia="zh-CN" w:bidi="ru-RU"/>
              </w:rPr>
            </w:pPr>
            <w:r>
              <w:rPr>
                <w:lang w:eastAsia="ru-RU" w:bidi="ru-RU"/>
              </w:rPr>
              <w:t xml:space="preserve">Водонепроницаемые септики – на расстоянии не менее 5 м от фундамента построек, фильтрующие – на расстоянии не менее 8 м от фундамента построек.</w:t>
            </w:r>
            <w:r/>
          </w:p>
        </w:tc>
        <w:tc>
          <w:tcPr>
            <w:tcW w:w="5670" w:type="dxa"/>
            <w:vMerge w:val="continue"/>
            <w:textDirection w:val="lrTb"/>
            <w:noWrap w:val="false"/>
          </w:tcPr>
          <w:p>
            <w:pPr>
              <w:ind w:left="142" w:right="131"/>
              <w:jc w:val="both"/>
              <w:rPr>
                <w:rFonts w:eastAsia="SimSun"/>
                <w:lang w:eastAsia="zh-CN" w:bidi="ru-RU"/>
              </w:rPr>
            </w:pPr>
            <w:r>
              <w:rPr>
                <w:rFonts w:eastAsia="SimSun"/>
                <w:lang w:eastAsia="zh-CN" w:bidi="ru-RU"/>
              </w:rPr>
            </w:r>
            <w:r/>
          </w:p>
        </w:tc>
      </w:tr>
      <w:tr>
        <w:trPr>
          <w:trHeight w:val="2645"/>
        </w:trPr>
        <w:tc>
          <w:tcPr>
            <w:tcW w:w="3129" w:type="dxa"/>
            <w:textDirection w:val="lrTb"/>
            <w:noWrap w:val="false"/>
          </w:tcPr>
          <w:p>
            <w:pPr>
              <w:ind w:left="142" w:right="132"/>
              <w:tabs>
                <w:tab w:val="left" w:pos="4812" w:leader="none"/>
              </w:tabs>
              <w:rPr>
                <w:rFonts w:eastAsia="SimSun"/>
                <w:lang w:eastAsia="zh-CN" w:bidi="ru-RU"/>
              </w:rPr>
            </w:pPr>
            <w:r>
              <w:t xml:space="preserve">Ограждение</w:t>
            </w:r>
            <w:r/>
          </w:p>
        </w:tc>
        <w:tc>
          <w:tcPr>
            <w:tcW w:w="6379" w:type="dxa"/>
            <w:textDirection w:val="lrTb"/>
            <w:noWrap w:val="false"/>
          </w:tcPr>
          <w:p>
            <w:pPr>
              <w:ind w:left="142" w:right="132"/>
              <w:jc w:val="both"/>
              <w:tabs>
                <w:tab w:val="left" w:pos="4812" w:leader="none"/>
              </w:tabs>
            </w:pPr>
            <w: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w:t>
            </w:r>
            <w:r>
              <w:t xml:space="preserve">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p>
          <w:p>
            <w:pPr>
              <w:ind w:left="142" w:right="132"/>
              <w:jc w:val="both"/>
              <w:tabs>
                <w:tab w:val="left" w:pos="4812" w:leader="none"/>
              </w:tabs>
              <w:rPr>
                <w:rFonts w:eastAsia="SimSun"/>
                <w:lang w:eastAsia="zh-CN" w:bidi="ru-RU"/>
              </w:rPr>
            </w:pPr>
            <w:r>
              <w:t xml:space="preserve">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r/>
          </w:p>
        </w:tc>
        <w:tc>
          <w:tcPr>
            <w:tcW w:w="5670" w:type="dxa"/>
            <w:vMerge w:val="continue"/>
            <w:textDirection w:val="lrTb"/>
            <w:noWrap w:val="false"/>
          </w:tcPr>
          <w:p>
            <w:pPr>
              <w:ind w:left="142" w:right="131"/>
              <w:jc w:val="both"/>
              <w:rPr>
                <w:rFonts w:eastAsia="SimSun"/>
                <w:lang w:eastAsia="zh-CN" w:bidi="ru-RU"/>
              </w:rPr>
            </w:pPr>
            <w:r>
              <w:rPr>
                <w:rFonts w:eastAsia="SimSun"/>
                <w:lang w:eastAsia="zh-CN" w:bidi="ru-RU"/>
              </w:rPr>
            </w:r>
            <w:r/>
          </w:p>
        </w:tc>
      </w:tr>
      <w:tr>
        <w:trPr>
          <w:trHeight w:val="1140"/>
        </w:trPr>
        <w:tc>
          <w:tcPr>
            <w:tcW w:w="3129" w:type="dxa"/>
            <w:textDirection w:val="lrTb"/>
            <w:noWrap w:val="false"/>
          </w:tcPr>
          <w:p>
            <w:pPr>
              <w:ind w:left="127" w:right="132"/>
            </w:pPr>
            <w:r>
              <w:rPr>
                <w:rFonts w:eastAsia="Calibri"/>
              </w:rPr>
              <w:t xml:space="preserve">Для объектов общественного назначения вспомогательные объекты определяются материалами проектной документации. </w:t>
            </w:r>
            <w:r/>
          </w:p>
        </w:tc>
        <w:tc>
          <w:tcPr>
            <w:tcW w:w="6379" w:type="dxa"/>
            <w:textDirection w:val="lrTb"/>
            <w:noWrap w:val="false"/>
          </w:tcPr>
          <w:p>
            <w:pPr>
              <w:ind w:left="142" w:right="132"/>
              <w:jc w:val="both"/>
              <w:tabs>
                <w:tab w:val="left" w:pos="4812" w:leader="none"/>
              </w:tabs>
            </w:pPr>
            <w:r>
              <w:rPr>
                <w:rFonts w:eastAsia="SimSun"/>
                <w:lang w:eastAsia="zh-CN" w:bidi="ru-RU"/>
              </w:rPr>
              <w:t xml:space="preserve">Максимальное количество надземных этажей – 2 этажа (при условии обеспечения нормативной инсоляции на территории соседних участков).</w:t>
            </w:r>
            <w:r/>
          </w:p>
          <w:p>
            <w:pPr>
              <w:ind w:left="142" w:right="132"/>
              <w:jc w:val="both"/>
              <w:tabs>
                <w:tab w:val="left" w:pos="4812" w:leader="none"/>
              </w:tabs>
              <w:rPr>
                <w:rFonts w:eastAsia="SimSun"/>
                <w:lang w:eastAsia="zh-CN" w:bidi="ru-RU"/>
              </w:rPr>
            </w:pPr>
            <w:r>
              <w:rPr>
                <w:rFonts w:eastAsia="SimSun"/>
                <w:lang w:eastAsia="zh-CN" w:bidi="ru-RU"/>
              </w:rPr>
              <w:t xml:space="preserve">Максимальная высота – 6 м. </w:t>
            </w:r>
            <w:r/>
          </w:p>
          <w:p>
            <w:pPr>
              <w:ind w:left="142" w:right="132"/>
              <w:jc w:val="both"/>
              <w:tabs>
                <w:tab w:val="left" w:pos="4812" w:leader="none"/>
              </w:tabs>
              <w:rPr>
                <w:rFonts w:eastAsia="SimSun"/>
                <w:lang w:eastAsia="zh-CN" w:bidi="ru-RU"/>
              </w:rPr>
            </w:pPr>
            <w:r>
              <w:rPr>
                <w:rFonts w:eastAsia="SimSun"/>
                <w:lang w:eastAsia="zh-CN" w:bidi="ru-RU"/>
              </w:rPr>
              <w:t xml:space="preserve">Расстояние до красных линий улиц и проездов не менее - 5 м; до иных границ – 1 м. при соблюдении требований технических регламентов.</w:t>
            </w:r>
            <w:r/>
          </w:p>
        </w:tc>
        <w:tc>
          <w:tcPr>
            <w:tcW w:w="5670" w:type="dxa"/>
            <w:vMerge w:val="continue"/>
            <w:textDirection w:val="lrTb"/>
            <w:noWrap w:val="false"/>
          </w:tcPr>
          <w:p>
            <w:pPr>
              <w:ind w:left="142" w:right="131"/>
              <w:jc w:val="both"/>
              <w:rPr>
                <w:rFonts w:eastAsia="SimSun"/>
                <w:lang w:eastAsia="zh-CN" w:bidi="ru-RU"/>
              </w:rPr>
            </w:pPr>
            <w:r>
              <w:rPr>
                <w:rFonts w:eastAsia="SimSun"/>
                <w:lang w:eastAsia="zh-CN" w:bidi="ru-RU"/>
              </w:rPr>
            </w:r>
            <w:r/>
          </w:p>
        </w:tc>
      </w:tr>
    </w:tbl>
    <w:p>
      <w:pPr>
        <w:ind w:firstLine="567"/>
        <w:jc w:val="center"/>
        <w:tabs>
          <w:tab w:val="left" w:pos="2520" w:leader="none"/>
        </w:tabs>
      </w:pPr>
      <w:r/>
      <w:r/>
    </w:p>
    <w:p>
      <w:pPr>
        <w:ind w:firstLine="567"/>
      </w:pPr>
      <w:r>
        <w:rPr>
          <w:shd w:val="clear" w:color="auto" w:fill="ffffff"/>
        </w:rPr>
        <w:t xml:space="preserve">Примечание:</w:t>
      </w:r>
      <w:r/>
    </w:p>
    <w:p>
      <w:pPr>
        <w:ind w:firstLine="567"/>
        <w:jc w:val="both"/>
      </w:pPr>
      <w:r>
        <w:rPr>
          <w:shd w:val="clear" w:color="auto" w:fill="ffffff"/>
        </w:rPr>
        <w:t xml:space="preserve">Предельные (минимальные и (или) максимальные) размеры земельных участков и максимальный процент застройки для вспомогательных видов не подлежат установлению.</w:t>
      </w:r>
      <w:r/>
    </w:p>
    <w:p>
      <w:pPr>
        <w:ind w:firstLine="567"/>
        <w:jc w:val="both"/>
      </w:pPr>
      <w:r>
        <w:rPr>
          <w:shd w:val="clear" w:color="auto" w:fill="ffffff"/>
        </w:rPr>
        <w:t xml:space="preserve">Общая площадь некапитального объекта принята до 25 кв.м. Этажность отдельно стоящих некапитальн</w:t>
      </w:r>
      <w:r>
        <w:rPr>
          <w:shd w:val="clear" w:color="auto" w:fill="ffffff"/>
        </w:rPr>
        <w:t xml:space="preserve">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Казанско</w:t>
      </w:r>
      <w:r>
        <w:rPr>
          <w:shd w:val="clear" w:color="auto" w:fill="ffffff"/>
        </w:rPr>
        <w:t xml:space="preserve">го сельского поселения района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w:t>
      </w:r>
      <w:r>
        <w:rPr>
          <w:shd w:val="clear" w:color="auto" w:fill="ffffff"/>
        </w:rPr>
        <w:t xml:space="preserve">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r/>
    </w:p>
    <w:p>
      <w:pPr>
        <w:ind w:firstLine="567"/>
        <w:jc w:val="both"/>
      </w:pPr>
      <w:r/>
      <w:r/>
    </w:p>
    <w:p>
      <w:pPr>
        <w:ind w:firstLine="567"/>
        <w:jc w:val="center"/>
      </w:pPr>
      <w:r>
        <w:rPr>
          <w:b/>
          <w:caps/>
          <w:color w:val="000000"/>
        </w:rPr>
        <w:t xml:space="preserve">ПРОИЗВОДСТВЕННЫЕ ЗОНЫ, ЗОНЫ ИНЖЕНЕРНОЙ И ТРАНСПОРТНОЙ ИНФРАСТРУКТУР:</w:t>
      </w:r>
      <w:r/>
    </w:p>
    <w:p>
      <w:pPr>
        <w:ind w:firstLine="567"/>
        <w:jc w:val="both"/>
      </w:pPr>
      <w:r/>
      <w:r/>
    </w:p>
    <w:p>
      <w:pPr>
        <w:ind w:firstLine="567"/>
        <w:jc w:val="center"/>
      </w:pPr>
      <w:r>
        <w:rPr>
          <w:b/>
          <w:sz w:val="24"/>
          <w:szCs w:val="24"/>
        </w:rPr>
        <w:t xml:space="preserve">ПРОИЗВОДСТВЕННАЯ ЗОНА</w:t>
      </w:r>
      <w:r/>
    </w:p>
    <w:p>
      <w:pPr>
        <w:ind w:firstLine="567"/>
        <w:jc w:val="both"/>
      </w:pPr>
      <w:r>
        <w:rPr>
          <w:color w:val="000000" w:themeColor="text1"/>
          <w:sz w:val="24"/>
          <w:szCs w:val="24"/>
        </w:rPr>
        <w:t xml:space="preserve">Кодовое обозначение – ПР</w:t>
      </w:r>
      <w:r/>
    </w:p>
    <w:p>
      <w:pPr>
        <w:ind w:firstLine="567"/>
        <w:jc w:val="both"/>
      </w:pPr>
      <w:r>
        <w:rPr>
          <w:iCs/>
          <w:sz w:val="24"/>
          <w:szCs w:val="24"/>
        </w:rPr>
        <w:t xml:space="preserve">Цель выделения зоны размещения производственных объектов </w:t>
      </w:r>
      <w:r>
        <w:rPr>
          <w:iCs/>
          <w:sz w:val="24"/>
          <w:szCs w:val="24"/>
          <w:lang w:val="en-US"/>
        </w:rPr>
        <w:t xml:space="preserve">III</w:t>
      </w:r>
      <w:r>
        <w:rPr>
          <w:iCs/>
          <w:sz w:val="24"/>
          <w:szCs w:val="24"/>
        </w:rPr>
        <w:t xml:space="preserve">-</w:t>
      </w:r>
      <w:r>
        <w:rPr>
          <w:iCs/>
          <w:sz w:val="24"/>
          <w:szCs w:val="24"/>
          <w:lang w:val="en-US"/>
        </w:rPr>
        <w:t xml:space="preserve">V</w:t>
      </w:r>
      <w:r>
        <w:rPr>
          <w:iCs/>
          <w:sz w:val="24"/>
          <w:szCs w:val="24"/>
        </w:rPr>
        <w:t xml:space="preserve"> классов опасности – формирование комплексов производственных предприятий</w:t>
      </w:r>
      <w:r>
        <w:rPr>
          <w:bCs/>
          <w:iCs/>
          <w:sz w:val="24"/>
          <w:szCs w:val="24"/>
        </w:rPr>
        <w:t xml:space="preserve"> д</w:t>
      </w:r>
      <w:r>
        <w:rPr>
          <w:iCs/>
          <w:sz w:val="24"/>
          <w:szCs w:val="24"/>
        </w:rPr>
        <w:t xml:space="preserve">ля размещения производственных объектов </w:t>
      </w:r>
      <w:r>
        <w:rPr>
          <w:iCs/>
          <w:sz w:val="24"/>
          <w:szCs w:val="24"/>
          <w:lang w:val="en-US"/>
        </w:rPr>
        <w:t xml:space="preserve">II</w:t>
      </w:r>
      <w:r>
        <w:rPr>
          <w:iCs/>
          <w:sz w:val="24"/>
          <w:szCs w:val="24"/>
        </w:rPr>
        <w:t xml:space="preserve">I - </w:t>
      </w:r>
      <w:r>
        <w:rPr>
          <w:iCs/>
          <w:sz w:val="24"/>
          <w:szCs w:val="24"/>
          <w:lang w:val="en-US"/>
        </w:rPr>
        <w:t xml:space="preserve">V</w:t>
      </w:r>
      <w:r>
        <w:rPr>
          <w:iCs/>
          <w:sz w:val="24"/>
          <w:szCs w:val="24"/>
        </w:rPr>
        <w:t xml:space="preserve"> классов опасности</w:t>
      </w:r>
      <w:r>
        <w:rPr>
          <w:bCs/>
          <w:iCs/>
          <w:sz w:val="24"/>
          <w:szCs w:val="24"/>
        </w:rPr>
        <w:t xml:space="preserve"> с санитарно-защитной зоной от 50 до 300 метров</w:t>
      </w:r>
      <w:r>
        <w:rPr>
          <w:iCs/>
          <w:sz w:val="24"/>
          <w:szCs w:val="24"/>
        </w:rPr>
        <w:t xml:space="preserve">, допускающих размещение ограниченного набора общественно-деловых и коммерческих объектов</w:t>
      </w:r>
      <w:r>
        <w:rPr>
          <w:color w:val="000000"/>
          <w:sz w:val="24"/>
          <w:szCs w:val="24"/>
        </w:rPr>
        <w:t xml:space="preserve">.</w:t>
      </w:r>
      <w:r/>
    </w:p>
    <w:p>
      <w:pPr>
        <w:ind w:firstLine="567"/>
        <w:jc w:val="both"/>
      </w:pPr>
      <w:r/>
      <w:r/>
    </w:p>
    <w:p>
      <w:pPr>
        <w:ind w:firstLine="567"/>
        <w:jc w:val="center"/>
      </w:pPr>
      <w:r/>
      <w:r/>
    </w:p>
    <w:p>
      <w:pPr>
        <w:ind w:firstLine="567"/>
        <w:jc w:val="center"/>
        <w:tabs>
          <w:tab w:val="left" w:pos="2520" w:leader="none"/>
        </w:tabs>
      </w:pPr>
      <w:r>
        <w:rPr>
          <w:b/>
          <w:color w:val="000000"/>
        </w:rPr>
        <w:t xml:space="preserve">ОСНОВНЫЕ ВИДЫ И ПАРАМЕТРЫ РАЗРЕШЕННОГО ИСПОЛЬЗОВАНИЯ ЗЕМЕЛЬНЫХ УЧАСТКОВ И ОБЪЕКТОВ КАПИТАЛЬНОГО СТРОИТЕЛЬСТВА</w:t>
      </w:r>
      <w:r/>
    </w:p>
    <w:p>
      <w:pPr>
        <w:ind w:firstLine="567"/>
        <w:jc w:val="center"/>
        <w:tabs>
          <w:tab w:val="left" w:pos="2520" w:leader="none"/>
        </w:tabs>
      </w:pPr>
      <w:r/>
      <w:r/>
    </w:p>
    <w:tbl>
      <w:tblPr>
        <w:tblW w:w="14913" w:type="dxa"/>
        <w:tblLayout w:type="fixed"/>
        <w:tblCellMar>
          <w:left w:w="10" w:type="dxa"/>
          <w:right w:w="10" w:type="dxa"/>
        </w:tblCellMar>
        <w:tblLook w:val="04A0" w:firstRow="1" w:lastRow="0" w:firstColumn="1" w:lastColumn="0" w:noHBand="0" w:noVBand="1"/>
      </w:tblPr>
      <w:tblGrid>
        <w:gridCol w:w="2863"/>
        <w:gridCol w:w="3972"/>
        <w:gridCol w:w="4819"/>
        <w:gridCol w:w="3259"/>
      </w:tblGrid>
      <w:tr>
        <w:trPr>
          <w:trHeight w:val="20"/>
        </w:trPr>
        <w:tc>
          <w:tcPr>
            <w:tcBorders>
              <w:top w:val="single" w:color="000000" w:sz="4" w:space="0"/>
              <w:left w:val="single" w:color="000000" w:sz="4" w:space="0"/>
              <w:bottom w:val="single" w:color="000000" w:sz="4" w:space="0"/>
              <w:right w:val="none" w:color="000000" w:sz="4" w:space="0"/>
            </w:tcBorders>
            <w:tcW w:w="2863" w:type="dxa"/>
            <w:vAlign w:val="center"/>
            <w:textDirection w:val="lrTb"/>
            <w:noWrap w:val="false"/>
          </w:tcPr>
          <w:p>
            <w:pPr>
              <w:jc w:val="center"/>
              <w:tabs>
                <w:tab w:val="left" w:pos="2520" w:leader="none"/>
              </w:tabs>
              <w:rPr>
                <w:b/>
              </w:rPr>
            </w:pPr>
            <w:r>
              <w:rPr>
                <w:rFonts w:eastAsia="SimSun"/>
                <w:lang w:eastAsia="zh-CN" w:bidi="ru-RU"/>
              </w:rPr>
              <w:t xml:space="preserve">[</w:t>
            </w:r>
            <w:r>
              <w:rPr>
                <w:b/>
              </w:rPr>
              <w:t xml:space="preserve">КОД (ЧИСЛОВОЕ ОБОЗНАЧЕНИЕ)</w:t>
            </w:r>
            <w:r>
              <w:rPr>
                <w:rFonts w:eastAsia="SimSun"/>
                <w:lang w:eastAsia="zh-CN" w:bidi="ru-RU"/>
              </w:rPr>
              <w:t xml:space="preserve">]-</w:t>
            </w:r>
            <w:r>
              <w:rPr>
                <w:b/>
              </w:rPr>
              <w:t xml:space="preserve"> НАИМЕНОВАНИЕ ВИДАРАЗРЕШЕННОГО ИСПОЛЬЗОВАНИЯ ЗЕМЕЛЬНЫХ УЧАСТКОВ</w:t>
            </w:r>
            <w:r/>
          </w:p>
        </w:tc>
        <w:tc>
          <w:tcPr>
            <w:tcBorders>
              <w:top w:val="single" w:color="000000" w:sz="4" w:space="0"/>
              <w:left w:val="single" w:color="000000" w:sz="4" w:space="0"/>
              <w:bottom w:val="single" w:color="000000" w:sz="4" w:space="0"/>
              <w:right w:val="none" w:color="000000" w:sz="4" w:space="0"/>
            </w:tcBorders>
            <w:tcW w:w="3972" w:type="dxa"/>
            <w:vAlign w:val="center"/>
            <w:textDirection w:val="lrTb"/>
            <w:noWrap w:val="false"/>
          </w:tcPr>
          <w:p>
            <w:pPr>
              <w:ind w:left="-10"/>
              <w:jc w:val="center"/>
              <w:tabs>
                <w:tab w:val="left" w:pos="2520" w:leader="none"/>
              </w:tabs>
              <w:rPr>
                <w:b/>
              </w:rPr>
            </w:pPr>
            <w:r>
              <w:rPr>
                <w:b/>
              </w:rPr>
              <w:t xml:space="preserve">ВИДЫ ОБЪЕКТОВ КАПИТАЛЬНОГО СТРОИТЕЛЬСТВА</w:t>
            </w:r>
            <w:r/>
          </w:p>
        </w:tc>
        <w:tc>
          <w:tcPr>
            <w:tcBorders>
              <w:top w:val="single" w:color="000000" w:sz="4" w:space="0"/>
              <w:left w:val="single" w:color="000000" w:sz="4" w:space="0"/>
              <w:bottom w:val="single" w:color="000000" w:sz="4" w:space="0"/>
              <w:right w:val="single" w:color="auto" w:sz="4" w:space="0"/>
            </w:tcBorders>
            <w:tcW w:w="4819" w:type="dxa"/>
            <w:vAlign w:val="center"/>
            <w:textDirection w:val="lrTb"/>
            <w:noWrap w:val="false"/>
          </w:tcPr>
          <w:p>
            <w:pPr>
              <w:ind w:left="130" w:right="133"/>
              <w:jc w:val="center"/>
              <w:tabs>
                <w:tab w:val="left" w:pos="2520" w:leader="none"/>
              </w:tabs>
              <w:rPr>
                <w:b/>
              </w:rPr>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Borders>
              <w:top w:val="single" w:color="000000" w:sz="4" w:space="0"/>
              <w:left w:val="single" w:color="auto" w:sz="4" w:space="0"/>
              <w:bottom w:val="single" w:color="000000" w:sz="4" w:space="0"/>
              <w:right w:val="single" w:color="000000" w:sz="4" w:space="0"/>
            </w:tcBorders>
            <w:tcW w:w="3259" w:type="dxa"/>
            <w:vAlign w:val="center"/>
            <w:textDirection w:val="lrTb"/>
            <w:noWrap w:val="false"/>
          </w:tcPr>
          <w:p>
            <w:pPr>
              <w:ind w:left="143" w:right="142"/>
              <w:jc w:val="center"/>
              <w:tabs>
                <w:tab w:val="left" w:pos="3071" w:leader="none"/>
              </w:tabs>
              <w:rPr>
                <w:b/>
              </w:rPr>
            </w:pPr>
            <w:r>
              <w:rPr>
                <w:b/>
              </w:rPr>
              <w:t xml:space="preserve">ОСОБЫЕ УСЛОВИЯ РЕАЛИЗАЦИИ РЕГЛАМЕНТА</w:t>
            </w:r>
            <w:r/>
          </w:p>
        </w:tc>
      </w:tr>
      <w:tr>
        <w:trPr>
          <w:trHeight w:val="20"/>
        </w:trPr>
        <w:tc>
          <w:tcPr>
            <w:tcBorders>
              <w:top w:val="single" w:color="auto" w:sz="4" w:space="0"/>
              <w:left w:val="single" w:color="000000" w:sz="4" w:space="0"/>
              <w:bottom w:val="single" w:color="auto" w:sz="4" w:space="0"/>
              <w:right w:val="none" w:color="000000" w:sz="4" w:space="0"/>
            </w:tcBorders>
            <w:tcW w:w="2863" w:type="dxa"/>
            <w:textDirection w:val="lrTb"/>
            <w:noWrap w:val="false"/>
          </w:tcPr>
          <w:p>
            <w:pPr>
              <w:ind w:left="161"/>
            </w:pPr>
            <w:r>
              <w:t xml:space="preserve">[6.4] Пищевая промышленность</w:t>
            </w:r>
            <w:r/>
          </w:p>
        </w:tc>
        <w:tc>
          <w:tcPr>
            <w:tcBorders>
              <w:top w:val="single" w:color="auto" w:sz="4" w:space="0"/>
              <w:left w:val="single" w:color="000000" w:sz="4" w:space="0"/>
              <w:bottom w:val="single" w:color="auto" w:sz="4" w:space="0"/>
              <w:right w:val="none" w:color="000000" w:sz="4" w:space="0"/>
            </w:tcBorders>
            <w:tcW w:w="3972" w:type="dxa"/>
            <w:textDirection w:val="lrTb"/>
            <w:noWrap w:val="false"/>
          </w:tcPr>
          <w:p>
            <w:pPr>
              <w:ind w:left="133" w:right="132"/>
              <w:jc w:val="both"/>
            </w:pPr>
            <w:r>
              <w:t xml:space="preserve">Размещение </w:t>
            </w:r>
            <w:r>
              <w:t xml:space="preserve">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 </w:t>
            </w:r>
            <w:r/>
          </w:p>
        </w:tc>
        <w:tc>
          <w:tcPr>
            <w:tcBorders>
              <w:top w:val="single" w:color="auto" w:sz="4" w:space="0"/>
              <w:left w:val="single" w:color="000000" w:sz="4" w:space="0"/>
              <w:bottom w:val="single" w:color="auto" w:sz="4" w:space="0"/>
              <w:right w:val="single" w:color="auto" w:sz="4" w:space="0"/>
            </w:tcBorders>
            <w:tcW w:w="4819" w:type="dxa"/>
            <w:textDirection w:val="lrTb"/>
            <w:noWrap w:val="false"/>
          </w:tcPr>
          <w:p>
            <w:pPr>
              <w:ind w:left="130" w:right="132"/>
              <w:jc w:val="both"/>
            </w:pPr>
            <w:r>
              <w:t xml:space="preserve">Минимальная/максимальная площадь земельных участков 500-50000 кв. м;</w:t>
            </w:r>
            <w:r/>
          </w:p>
          <w:p>
            <w:pPr>
              <w:ind w:left="132" w:right="132" w:hanging="2"/>
              <w:jc w:val="both"/>
            </w:pPr>
            <w:r>
              <w:t xml:space="preserve">максимальный процент застройки в границах земельного участка – 75%;</w:t>
            </w:r>
            <w:r/>
          </w:p>
          <w:p>
            <w:pPr>
              <w:ind w:left="132" w:right="132" w:hanging="2"/>
              <w:jc w:val="both"/>
            </w:pPr>
            <w:r>
              <w:t xml:space="preserve">максимальная высота зданий, строений, сооружений от уровня земли – 25 м;</w:t>
            </w:r>
            <w:r/>
          </w:p>
          <w:p>
            <w:pPr>
              <w:ind w:left="132" w:right="132" w:hanging="2"/>
              <w:jc w:val="both"/>
            </w:pPr>
            <w:r>
              <w:t xml:space="preserve">минимальные отступы от красной линии – 5 м; от иных границ – 3 м.</w:t>
            </w:r>
            <w:r/>
          </w:p>
        </w:tc>
        <w:tc>
          <w:tcPr>
            <w:tcBorders>
              <w:left w:val="single" w:color="auto" w:sz="4" w:space="0"/>
              <w:right w:val="single" w:color="000000" w:sz="4" w:space="0"/>
            </w:tcBorders>
            <w:tcW w:w="3259" w:type="dxa"/>
            <w:vMerge w:val="restart"/>
            <w:textDirection w:val="lrTb"/>
            <w:noWrap w:val="false"/>
          </w:tcPr>
          <w:p>
            <w:pPr>
              <w:ind w:firstLine="426"/>
            </w:pPr>
            <w:r/>
            <w:r/>
          </w:p>
        </w:tc>
      </w:tr>
      <w:tr>
        <w:trPr>
          <w:trHeight w:val="20"/>
        </w:trPr>
        <w:tc>
          <w:tcPr>
            <w:tcBorders>
              <w:top w:val="single" w:color="auto" w:sz="4" w:space="0"/>
              <w:left w:val="single" w:color="000000" w:sz="4" w:space="0"/>
              <w:bottom w:val="single" w:color="auto" w:sz="4" w:space="0"/>
              <w:right w:val="none" w:color="000000" w:sz="4" w:space="0"/>
            </w:tcBorders>
            <w:tcW w:w="2863" w:type="dxa"/>
            <w:textDirection w:val="lrTb"/>
            <w:noWrap w:val="false"/>
          </w:tcPr>
          <w:p>
            <w:r>
              <w:t xml:space="preserve">[6.6] Строительная промышленность</w:t>
            </w:r>
            <w:r/>
          </w:p>
        </w:tc>
        <w:tc>
          <w:tcPr>
            <w:tcBorders>
              <w:top w:val="single" w:color="auto" w:sz="4" w:space="0"/>
              <w:left w:val="single" w:color="000000" w:sz="4" w:space="0"/>
              <w:bottom w:val="single" w:color="auto" w:sz="4" w:space="0"/>
              <w:right w:val="none" w:color="000000" w:sz="4" w:space="0"/>
            </w:tcBorders>
            <w:tcW w:w="3972" w:type="dxa"/>
            <w:textDirection w:val="lrTb"/>
            <w:noWrap w:val="false"/>
          </w:tcPr>
          <w:p>
            <w:pPr>
              <w:ind w:left="132" w:right="132" w:firstLine="283"/>
              <w:jc w:val="both"/>
            </w:pPr>
            <w: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w:t>
            </w:r>
            <w:r>
              <w:t xml:space="preserve">оборудования, лифтов и подъемников, столярной продукции, сборных домов или их частей и тому подобной продукции</w:t>
            </w:r>
            <w:r/>
          </w:p>
        </w:tc>
        <w:tc>
          <w:tcPr>
            <w:tcBorders>
              <w:top w:val="single" w:color="auto" w:sz="4" w:space="0"/>
              <w:left w:val="single" w:color="000000" w:sz="4" w:space="0"/>
              <w:bottom w:val="single" w:color="auto" w:sz="4" w:space="0"/>
              <w:right w:val="single" w:color="auto" w:sz="4" w:space="0"/>
            </w:tcBorders>
            <w:tcW w:w="4819" w:type="dxa"/>
            <w:textDirection w:val="lrTb"/>
            <w:noWrap w:val="false"/>
          </w:tcPr>
          <w:p>
            <w:pPr>
              <w:ind w:left="132" w:right="131" w:hanging="2"/>
              <w:jc w:val="both"/>
            </w:pPr>
            <w:r>
              <w:t xml:space="preserve">Минимальная/максимальная площадь земельных участков 500-50000 кв. м;</w:t>
            </w:r>
            <w:r/>
          </w:p>
          <w:p>
            <w:pPr>
              <w:ind w:left="132" w:right="131" w:hanging="2"/>
              <w:jc w:val="both"/>
            </w:pPr>
            <w:r>
              <w:t xml:space="preserve">максимальный процент застройки в границах земельного участка – 75%;</w:t>
            </w:r>
            <w:r/>
          </w:p>
          <w:p>
            <w:pPr>
              <w:ind w:left="132" w:right="131" w:hanging="2"/>
              <w:jc w:val="both"/>
            </w:pPr>
            <w:r>
              <w:t xml:space="preserve">максимальная высота зданий, строений, сооружений от уровня земли - 100 м;</w:t>
            </w:r>
            <w:r/>
          </w:p>
          <w:p>
            <w:pPr>
              <w:ind w:left="132" w:right="131" w:hanging="2"/>
              <w:jc w:val="both"/>
            </w:pPr>
            <w:r>
              <w:t xml:space="preserve">минимальные отступы от красной линии – 5 м; от иных границ – 3 м. </w:t>
            </w:r>
            <w:r/>
          </w:p>
        </w:tc>
        <w:tc>
          <w:tcPr>
            <w:tcBorders>
              <w:left w:val="single" w:color="auto" w:sz="4" w:space="0"/>
              <w:right w:val="single" w:color="000000" w:sz="4" w:space="0"/>
            </w:tcBorders>
            <w:tcW w:w="3259" w:type="dxa"/>
            <w:vMerge w:val="continue"/>
            <w:textDirection w:val="lrTb"/>
            <w:noWrap w:val="false"/>
          </w:tcPr>
          <w:p>
            <w:pPr>
              <w:ind w:firstLine="426"/>
            </w:pPr>
            <w:r/>
            <w:r/>
          </w:p>
        </w:tc>
      </w:tr>
      <w:tr>
        <w:trPr>
          <w:trHeight w:val="20"/>
        </w:trPr>
        <w:tc>
          <w:tcPr>
            <w:tcBorders>
              <w:top w:val="single" w:color="000000" w:sz="4" w:space="0"/>
              <w:left w:val="single" w:color="000000" w:sz="4" w:space="0"/>
              <w:bottom w:val="single" w:color="auto" w:sz="4" w:space="0"/>
              <w:right w:val="none" w:color="000000" w:sz="4" w:space="0"/>
            </w:tcBorders>
            <w:tcW w:w="2863" w:type="dxa"/>
            <w:textDirection w:val="lrTb"/>
            <w:noWrap w:val="false"/>
          </w:tcPr>
          <w:p>
            <w:pPr>
              <w:ind w:left="161"/>
            </w:pPr>
            <w:r>
              <w:t xml:space="preserve">[6.8] Связь</w:t>
            </w:r>
            <w:r/>
          </w:p>
        </w:tc>
        <w:tc>
          <w:tcPr>
            <w:tcBorders>
              <w:top w:val="single" w:color="000000" w:sz="4" w:space="0"/>
              <w:left w:val="single" w:color="000000" w:sz="4" w:space="0"/>
              <w:bottom w:val="single" w:color="auto" w:sz="4" w:space="0"/>
              <w:right w:val="none" w:color="000000" w:sz="4" w:space="0"/>
            </w:tcBorders>
            <w:tcW w:w="3972" w:type="dxa"/>
            <w:textDirection w:val="lrTb"/>
            <w:noWrap w:val="false"/>
          </w:tcPr>
          <w:p>
            <w:pPr>
              <w:ind w:left="132" w:right="132"/>
              <w:jc w:val="both"/>
            </w:pPr>
            <w:r>
              <w:t xml:space="preserve">Размещение объектов связи, радиовещания, телевидения, включая воздушные радиорелейные, надземные и подземные кабельные линии связи, линии ра</w:t>
            </w:r>
            <w:r>
              <w:t xml:space="preserve">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кодом 3.1.1, 3.2.3</w:t>
            </w:r>
            <w:r/>
          </w:p>
        </w:tc>
        <w:tc>
          <w:tcPr>
            <w:tcBorders>
              <w:top w:val="single" w:color="000000" w:sz="4" w:space="0"/>
              <w:left w:val="single" w:color="000000" w:sz="4" w:space="0"/>
              <w:bottom w:val="single" w:color="auto" w:sz="4" w:space="0"/>
              <w:right w:val="single" w:color="auto" w:sz="4" w:space="0"/>
            </w:tcBorders>
            <w:tcW w:w="4819" w:type="dxa"/>
            <w:textDirection w:val="lrTb"/>
            <w:noWrap w:val="false"/>
          </w:tcPr>
          <w:p>
            <w:pPr>
              <w:ind w:left="132" w:right="134" w:hanging="2"/>
              <w:jc w:val="both"/>
            </w:pPr>
            <w:r>
              <w:t xml:space="preserve">Минимальная площадь земельных участков - 10 кв. м;</w:t>
            </w:r>
            <w:r/>
          </w:p>
          <w:p>
            <w:pPr>
              <w:ind w:left="132" w:right="131" w:hanging="2"/>
              <w:jc w:val="both"/>
            </w:pPr>
            <w:r>
              <w:t xml:space="preserve">максимальный процент застройки в границах земельного участка – 80 %;</w:t>
            </w:r>
            <w:r/>
          </w:p>
          <w:p>
            <w:pPr>
              <w:ind w:left="132" w:right="131" w:hanging="2"/>
              <w:jc w:val="both"/>
            </w:pPr>
            <w:r>
              <w:t xml:space="preserve">максимальная высота зданий, строений, сооружений от уровня земли – 75 м;</w:t>
            </w:r>
            <w:r/>
          </w:p>
          <w:p>
            <w:pPr>
              <w:ind w:left="132" w:right="131" w:hanging="2"/>
              <w:jc w:val="both"/>
            </w:pPr>
            <w:r>
              <w:t xml:space="preserve">минимальные отступы от красной линии – 5 м; от иных границ – 3 м;  </w:t>
            </w:r>
            <w:r/>
          </w:p>
          <w:p>
            <w:pPr>
              <w:ind w:left="132" w:right="131" w:hanging="2"/>
              <w:jc w:val="both"/>
            </w:pPr>
            <w:r>
              <w:t xml:space="preserve">для линейных объектов минимальные отступы – не регламентируются</w:t>
            </w:r>
            <w:r/>
          </w:p>
        </w:tc>
        <w:tc>
          <w:tcPr>
            <w:tcBorders>
              <w:left w:val="single" w:color="auto" w:sz="4" w:space="0"/>
              <w:right w:val="single" w:color="000000" w:sz="4" w:space="0"/>
            </w:tcBorders>
            <w:tcW w:w="3259" w:type="dxa"/>
            <w:vMerge w:val="continue"/>
            <w:textDirection w:val="lrTb"/>
            <w:noWrap w:val="false"/>
          </w:tcPr>
          <w:p>
            <w:pPr>
              <w:ind w:firstLine="426"/>
            </w:pPr>
            <w:r/>
            <w:r/>
          </w:p>
        </w:tc>
      </w:tr>
      <w:tr>
        <w:trPr>
          <w:trHeight w:val="3562"/>
        </w:trPr>
        <w:tc>
          <w:tcPr>
            <w:tcBorders>
              <w:top w:val="single" w:color="auto" w:sz="4" w:space="0"/>
              <w:left w:val="single" w:color="000000" w:sz="4" w:space="0"/>
              <w:bottom w:val="single" w:color="auto" w:sz="4" w:space="0"/>
              <w:right w:val="none" w:color="000000" w:sz="4" w:space="0"/>
            </w:tcBorders>
            <w:tcW w:w="2863" w:type="dxa"/>
            <w:textDirection w:val="lrTb"/>
            <w:noWrap w:val="false"/>
          </w:tcPr>
          <w:p>
            <w:pPr>
              <w:ind w:left="161"/>
            </w:pPr>
            <w:r>
              <w:t xml:space="preserve">[6.9] Склады</w:t>
            </w:r>
            <w:r/>
          </w:p>
        </w:tc>
        <w:tc>
          <w:tcPr>
            <w:tcBorders>
              <w:top w:val="single" w:color="auto" w:sz="4" w:space="0"/>
              <w:left w:val="single" w:color="000000" w:sz="4" w:space="0"/>
              <w:bottom w:val="single" w:color="auto" w:sz="4" w:space="0"/>
              <w:right w:val="none" w:color="000000" w:sz="4" w:space="0"/>
            </w:tcBorders>
            <w:tcW w:w="3972" w:type="dxa"/>
            <w:textDirection w:val="lrTb"/>
            <w:noWrap w:val="false"/>
          </w:tcPr>
          <w:p>
            <w:pPr>
              <w:ind w:left="132" w:right="132" w:firstLine="1"/>
              <w:jc w:val="both"/>
            </w:pPr>
            <w: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w:t>
            </w:r>
            <w:r>
              <w:t xml:space="preserve">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r/>
          </w:p>
        </w:tc>
        <w:tc>
          <w:tcPr>
            <w:tcBorders>
              <w:top w:val="single" w:color="auto" w:sz="4" w:space="0"/>
              <w:left w:val="single" w:color="000000" w:sz="4" w:space="0"/>
              <w:bottom w:val="single" w:color="auto" w:sz="4" w:space="0"/>
              <w:right w:val="single" w:color="auto" w:sz="4" w:space="0"/>
            </w:tcBorders>
            <w:tcW w:w="4819" w:type="dxa"/>
            <w:textDirection w:val="lrTb"/>
            <w:noWrap w:val="false"/>
          </w:tcPr>
          <w:p>
            <w:pPr>
              <w:ind w:left="132" w:right="131" w:hanging="2"/>
              <w:jc w:val="both"/>
            </w:pPr>
            <w:r>
              <w:t xml:space="preserve">Минимальная/максимальная площадь земельных участков 1000/50000 кв. м;</w:t>
            </w:r>
            <w:r/>
          </w:p>
          <w:p>
            <w:pPr>
              <w:ind w:left="132" w:right="131" w:hanging="2"/>
              <w:jc w:val="both"/>
            </w:pPr>
            <w:r>
              <w:t xml:space="preserve">максимальный процент застройки в границах земельного участка – 75%;</w:t>
            </w:r>
            <w:r/>
          </w:p>
          <w:p>
            <w:pPr>
              <w:ind w:left="132" w:right="131" w:hanging="2"/>
              <w:jc w:val="both"/>
            </w:pPr>
            <w:r>
              <w:t xml:space="preserve">максимальная высота зданий, строений, сооружений от уровня земли - 100 м;</w:t>
            </w:r>
            <w:r/>
          </w:p>
          <w:p>
            <w:pPr>
              <w:ind w:left="132" w:right="131" w:hanging="2"/>
              <w:jc w:val="both"/>
            </w:pPr>
            <w:r>
              <w:t xml:space="preserve">минимальные отступы от красной линии – 5 м; от иных границ – 3 м.  </w:t>
            </w:r>
            <w:r/>
          </w:p>
        </w:tc>
        <w:tc>
          <w:tcPr>
            <w:tcBorders>
              <w:left w:val="single" w:color="auto" w:sz="4" w:space="0"/>
              <w:right w:val="single" w:color="000000" w:sz="4" w:space="0"/>
            </w:tcBorders>
            <w:tcW w:w="3259" w:type="dxa"/>
            <w:vMerge w:val="continue"/>
            <w:textDirection w:val="lrTb"/>
            <w:noWrap w:val="false"/>
          </w:tcPr>
          <w:p>
            <w:pPr>
              <w:ind w:firstLine="426"/>
            </w:pPr>
            <w:r/>
            <w:r/>
          </w:p>
        </w:tc>
      </w:tr>
      <w:tr>
        <w:trPr>
          <w:trHeight w:val="20"/>
        </w:trPr>
        <w:tc>
          <w:tcPr>
            <w:tcBorders>
              <w:top w:val="single" w:color="000000" w:sz="4" w:space="0"/>
              <w:left w:val="single" w:color="000000" w:sz="4" w:space="0"/>
              <w:bottom w:val="single" w:color="auto" w:sz="4" w:space="0"/>
              <w:right w:val="none" w:color="000000" w:sz="4" w:space="0"/>
            </w:tcBorders>
            <w:tcW w:w="2863" w:type="dxa"/>
            <w:textDirection w:val="lrTb"/>
            <w:noWrap w:val="false"/>
          </w:tcPr>
          <w:p>
            <w:pPr>
              <w:ind w:left="161"/>
            </w:pPr>
            <w:r>
              <w:t xml:space="preserve">[6.9.1] Складские площадки</w:t>
            </w:r>
            <w:r/>
          </w:p>
        </w:tc>
        <w:tc>
          <w:tcPr>
            <w:tcBorders>
              <w:top w:val="single" w:color="000000" w:sz="4" w:space="0"/>
              <w:left w:val="single" w:color="000000" w:sz="4" w:space="0"/>
              <w:bottom w:val="single" w:color="auto" w:sz="4" w:space="0"/>
              <w:right w:val="none" w:color="000000" w:sz="4" w:space="0"/>
            </w:tcBorders>
            <w:tcW w:w="3972" w:type="dxa"/>
            <w:textDirection w:val="lrTb"/>
            <w:noWrap w:val="false"/>
          </w:tcPr>
          <w:p>
            <w:pPr>
              <w:ind w:left="132" w:right="132" w:firstLine="1"/>
              <w:jc w:val="both"/>
            </w:pPr>
            <w:r>
              <w:t xml:space="preserve">Временное хранение, распределение и перевалка грузов (за исключением хранения стратегических запасов) на открытом воздухе</w:t>
            </w:r>
            <w:r/>
          </w:p>
        </w:tc>
        <w:tc>
          <w:tcPr>
            <w:tcBorders>
              <w:top w:val="single" w:color="000000" w:sz="4" w:space="0"/>
              <w:left w:val="single" w:color="000000" w:sz="4" w:space="0"/>
              <w:bottom w:val="single" w:color="auto" w:sz="4" w:space="0"/>
              <w:right w:val="single" w:color="auto" w:sz="4" w:space="0"/>
            </w:tcBorders>
            <w:tcW w:w="4819" w:type="dxa"/>
            <w:textDirection w:val="lrTb"/>
            <w:noWrap w:val="false"/>
          </w:tcPr>
          <w:p>
            <w:pPr>
              <w:ind w:left="132" w:right="131" w:hanging="2"/>
              <w:jc w:val="both"/>
            </w:pPr>
            <w:r>
              <w:t xml:space="preserve">Минимальная/максимальная площадь земельных участков 1000/50000 кв. м;</w:t>
            </w:r>
            <w:r/>
          </w:p>
          <w:p>
            <w:pPr>
              <w:ind w:left="132" w:right="131" w:hanging="2"/>
              <w:jc w:val="both"/>
            </w:pPr>
            <w:r>
              <w:t xml:space="preserve">максимальный процент застройки в границах земельного участка – 75%;</w:t>
            </w:r>
            <w:r/>
          </w:p>
          <w:p>
            <w:pPr>
              <w:ind w:left="132" w:right="131" w:hanging="2"/>
              <w:jc w:val="both"/>
            </w:pPr>
            <w:r>
              <w:t xml:space="preserve">максимальная высота зданий, строений, сооружений от уровня земли - 100 м;</w:t>
            </w:r>
            <w:r/>
          </w:p>
          <w:p>
            <w:pPr>
              <w:ind w:left="132" w:right="131" w:hanging="2"/>
              <w:jc w:val="both"/>
            </w:pPr>
            <w:r>
              <w:t xml:space="preserve">минимальные отступы от красной линии – 5 м; от иных границ – 3 м.</w:t>
            </w:r>
            <w:r/>
          </w:p>
        </w:tc>
        <w:tc>
          <w:tcPr>
            <w:tcBorders>
              <w:left w:val="single" w:color="auto" w:sz="4" w:space="0"/>
              <w:right w:val="single" w:color="000000" w:sz="4" w:space="0"/>
            </w:tcBorders>
            <w:tcW w:w="3259" w:type="dxa"/>
            <w:textDirection w:val="lrTb"/>
            <w:noWrap w:val="false"/>
          </w:tcPr>
          <w:p>
            <w:pPr>
              <w:ind w:firstLine="426"/>
            </w:pPr>
            <w:r/>
            <w:r/>
          </w:p>
        </w:tc>
      </w:tr>
      <w:tr>
        <w:trPr>
          <w:trHeight w:val="20"/>
        </w:trPr>
        <w:tc>
          <w:tcPr>
            <w:tcBorders>
              <w:top w:val="single" w:color="000000" w:sz="4" w:space="0"/>
              <w:left w:val="single" w:color="000000" w:sz="4" w:space="0"/>
              <w:bottom w:val="single" w:color="000000" w:sz="4" w:space="0"/>
              <w:right w:val="none" w:color="000000" w:sz="4" w:space="0"/>
            </w:tcBorders>
            <w:tcW w:w="2863" w:type="dxa"/>
            <w:textDirection w:val="lrTb"/>
            <w:noWrap w:val="false"/>
          </w:tcPr>
          <w:p>
            <w:pPr>
              <w:ind w:left="161"/>
            </w:pPr>
            <w:r>
              <w:t xml:space="preserve">[7.2] Автомобильный транспорт</w:t>
            </w:r>
            <w:r/>
          </w:p>
        </w:tc>
        <w:tc>
          <w:tcPr>
            <w:tcBorders>
              <w:top w:val="single" w:color="000000" w:sz="4" w:space="0"/>
              <w:left w:val="single" w:color="000000" w:sz="4" w:space="0"/>
              <w:bottom w:val="single" w:color="000000" w:sz="4" w:space="0"/>
              <w:right w:val="none" w:color="000000" w:sz="4" w:space="0"/>
            </w:tcBorders>
            <w:tcW w:w="3972" w:type="dxa"/>
            <w:textDirection w:val="lrTb"/>
            <w:noWrap w:val="false"/>
          </w:tcPr>
          <w:p>
            <w:pPr>
              <w:ind w:left="132" w:right="132" w:firstLine="1"/>
              <w:jc w:val="both"/>
              <w:widowControl/>
            </w:pPr>
            <w:r>
              <w:t xml:space="preserve">Размещение зданий и сооружений автомобильного транспорта.</w:t>
            </w:r>
            <w:r/>
          </w:p>
          <w:p>
            <w:pPr>
              <w:ind w:left="132" w:right="132" w:firstLine="1"/>
              <w:jc w:val="both"/>
              <w:tabs>
                <w:tab w:val="left" w:pos="2520" w:leader="none"/>
              </w:tabs>
              <w:rPr>
                <w:rFonts w:eastAsia="Calibri"/>
              </w:rPr>
            </w:pPr>
            <w:r>
              <w:t xml:space="preserve">Содержание данного вида разрешенного использования включает в себя содержание видов разрешенного </w:t>
            </w:r>
            <w:r>
              <w:t xml:space="preserve">использования с </w:t>
            </w:r>
            <w:hyperlink r:id="rId83" w:tooltip="../Правила%202019%20готовые/Дмитриевская%20зона%202019%20новое%20ИЗМЕНЕНИЯ.doc#sub_1721" w:anchor="sub_1721" w:history="1">
              <w:r>
                <w:rPr>
                  <w:rFonts w:eastAsia="SimSun"/>
                </w:rPr>
                <w:t xml:space="preserve">кодами 7.2.1 - 7.2.3</w:t>
              </w:r>
            </w:hyperlink>
            <w:r/>
            <w:r/>
          </w:p>
        </w:tc>
        <w:tc>
          <w:tcPr>
            <w:tcBorders>
              <w:top w:val="single" w:color="000000" w:sz="4" w:space="0"/>
              <w:left w:val="single" w:color="000000" w:sz="4" w:space="0"/>
              <w:bottom w:val="single" w:color="000000" w:sz="4" w:space="0"/>
              <w:right w:val="single" w:color="auto" w:sz="4" w:space="0"/>
            </w:tcBorders>
            <w:tcW w:w="4819" w:type="dxa"/>
            <w:textDirection w:val="lrTb"/>
            <w:noWrap w:val="false"/>
          </w:tcPr>
          <w:p>
            <w:pPr>
              <w:ind w:left="132"/>
              <w:jc w:val="center"/>
              <w:rPr>
                <w:rFonts w:eastAsia="Calibri"/>
              </w:rPr>
            </w:pPr>
            <w:r>
              <w:rPr>
                <w:rFonts w:eastAsia="Calibri"/>
              </w:rPr>
              <w:t xml:space="preserve">Не подлежат установлению</w:t>
            </w:r>
            <w:r/>
          </w:p>
          <w:p>
            <w:pPr>
              <w:ind w:left="132"/>
              <w:jc w:val="center"/>
              <w:rPr>
                <w:rFonts w:eastAsia="Calibri"/>
              </w:rPr>
            </w:pPr>
            <w:r>
              <w:rPr>
                <w:rFonts w:eastAsia="Calibri"/>
              </w:rPr>
              <w:t xml:space="preserve">(определяется при проектировании)</w:t>
            </w:r>
            <w:r/>
          </w:p>
        </w:tc>
        <w:tc>
          <w:tcPr>
            <w:tcBorders>
              <w:left w:val="single" w:color="auto" w:sz="4" w:space="0"/>
              <w:right w:val="single" w:color="000000" w:sz="4" w:space="0"/>
            </w:tcBorders>
            <w:tcW w:w="3259" w:type="dxa"/>
            <w:textDirection w:val="lrTb"/>
            <w:noWrap w:val="false"/>
          </w:tcPr>
          <w:p>
            <w:pPr>
              <w:rPr>
                <w:rFonts w:eastAsia="Calibri"/>
              </w:rPr>
            </w:pPr>
            <w:r>
              <w:rPr>
                <w:rFonts w:eastAsia="Calibri"/>
              </w:rPr>
            </w:r>
            <w:r/>
          </w:p>
        </w:tc>
      </w:tr>
      <w:tr>
        <w:trPr>
          <w:trHeight w:val="20"/>
        </w:trPr>
        <w:tc>
          <w:tcPr>
            <w:tcBorders>
              <w:top w:val="single" w:color="000000" w:sz="4" w:space="0"/>
              <w:left w:val="single" w:color="000000" w:sz="4" w:space="0"/>
              <w:bottom w:val="single" w:color="000000" w:sz="4" w:space="0"/>
              <w:right w:val="none" w:color="000000" w:sz="4" w:space="0"/>
            </w:tcBorders>
            <w:tcW w:w="2863" w:type="dxa"/>
            <w:textDirection w:val="lrTb"/>
            <w:noWrap w:val="false"/>
          </w:tcPr>
          <w:p>
            <w:pPr>
              <w:ind w:left="161"/>
            </w:pPr>
            <w:r>
              <w:t xml:space="preserve">[7.2.1] Размещение автомобильных дорог</w:t>
            </w:r>
            <w:r/>
          </w:p>
        </w:tc>
        <w:tc>
          <w:tcPr>
            <w:tcBorders>
              <w:top w:val="single" w:color="000000" w:sz="4" w:space="0"/>
              <w:left w:val="single" w:color="000000" w:sz="4" w:space="0"/>
              <w:bottom w:val="single" w:color="000000" w:sz="4" w:space="0"/>
              <w:right w:val="none" w:color="000000" w:sz="4" w:space="0"/>
            </w:tcBorders>
            <w:tcW w:w="3972" w:type="dxa"/>
            <w:textDirection w:val="lrTb"/>
            <w:noWrap w:val="false"/>
          </w:tcPr>
          <w:p>
            <w:pPr>
              <w:ind w:left="132" w:right="132" w:firstLine="1"/>
              <w:jc w:val="both"/>
              <w:widowControl/>
            </w:pPr>
            <w:r>
              <w:t xml:space="preserve">Раз</w:t>
            </w:r>
            <w:r>
              <w:t xml:space="preserve">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84" w:tooltip="../Правила%202019%20готовые/Дмитриевская%20зона%202019%20новое%20ИЗМЕНЕНИЯ.doc#sub_10271" w:anchor="sub_10271" w:history="1">
              <w:r>
                <w:rPr>
                  <w:rFonts w:eastAsia="SimSun"/>
                </w:rPr>
                <w:t xml:space="preserve">кодами 2.7.1</w:t>
              </w:r>
            </w:hyperlink>
            <w:r>
              <w:t xml:space="preserve">, </w:t>
            </w:r>
            <w:hyperlink r:id="rId85" w:tooltip="../Правила%202019%20готовые/Дмитриевская%20зона%202019%20новое%20ИЗМЕНЕНИЯ.doc#sub_1049" w:anchor="sub_1049" w:history="1">
              <w:r>
                <w:rPr>
                  <w:rFonts w:eastAsia="SimSun"/>
                </w:rPr>
                <w:t xml:space="preserve">4.9</w:t>
              </w:r>
            </w:hyperlink>
            <w:r>
              <w:t xml:space="preserve">, </w:t>
            </w:r>
            <w:hyperlink r:id="rId86" w:tooltip="../Правила%202019%20готовые/Дмитриевская%20зона%202019%20новое%20ИЗМЕНЕНИЯ.doc#sub_1723" w:anchor="sub_1723" w:history="1">
              <w:r>
                <w:rPr>
                  <w:rFonts w:eastAsia="SimSun"/>
                </w:rPr>
                <w:t xml:space="preserve">7.2.3</w:t>
              </w:r>
            </w:hyperlink>
            <w:r>
              <w:t xml:space="preserve">, а также некапитальных сооружений, предназначенных для охраны транспортных средств;</w:t>
            </w:r>
            <w:r/>
          </w:p>
          <w:p>
            <w:pPr>
              <w:ind w:left="132" w:right="132" w:firstLine="1"/>
              <w:jc w:val="both"/>
              <w:tabs>
                <w:tab w:val="left" w:pos="2520" w:leader="none"/>
              </w:tabs>
            </w:pPr>
            <w:r>
              <w:t xml:space="preserve">размещение объектов, предназначенных для размещения постов органов внутренних дел, ответственных за безопасность дорожного движения</w:t>
            </w:r>
            <w:r/>
          </w:p>
        </w:tc>
        <w:tc>
          <w:tcPr>
            <w:tcBorders>
              <w:top w:val="single" w:color="000000" w:sz="4" w:space="0"/>
              <w:left w:val="single" w:color="000000" w:sz="4" w:space="0"/>
              <w:bottom w:val="single" w:color="000000" w:sz="4" w:space="0"/>
              <w:right w:val="single" w:color="auto" w:sz="4" w:space="0"/>
            </w:tcBorders>
            <w:tcW w:w="4819" w:type="dxa"/>
            <w:textDirection w:val="lrTb"/>
            <w:noWrap w:val="false"/>
          </w:tcPr>
          <w:p>
            <w:pPr>
              <w:ind w:left="132"/>
              <w:jc w:val="center"/>
              <w:rPr>
                <w:rFonts w:eastAsia="Calibri"/>
              </w:rPr>
            </w:pPr>
            <w:r>
              <w:rPr>
                <w:rFonts w:eastAsia="Calibri"/>
              </w:rPr>
              <w:t xml:space="preserve">Не подлежат установлению</w:t>
            </w:r>
            <w:r/>
          </w:p>
          <w:p>
            <w:pPr>
              <w:jc w:val="center"/>
              <w:rPr>
                <w:rFonts w:eastAsia="Calibri"/>
              </w:rPr>
            </w:pPr>
            <w:r>
              <w:rPr>
                <w:rFonts w:eastAsia="Calibri"/>
              </w:rPr>
              <w:t xml:space="preserve">(определяется при проектировании)</w:t>
            </w:r>
            <w:r/>
          </w:p>
        </w:tc>
        <w:tc>
          <w:tcPr>
            <w:tcBorders>
              <w:left w:val="single" w:color="auto" w:sz="4" w:space="0"/>
              <w:right w:val="single" w:color="000000" w:sz="4" w:space="0"/>
            </w:tcBorders>
            <w:tcW w:w="3259" w:type="dxa"/>
            <w:vMerge w:val="restart"/>
            <w:textDirection w:val="lrTb"/>
            <w:noWrap w:val="false"/>
          </w:tcPr>
          <w:p>
            <w:pPr>
              <w:rPr>
                <w:rFonts w:eastAsia="Calibri"/>
              </w:rPr>
            </w:pPr>
            <w:r>
              <w:rPr>
                <w:rFonts w:eastAsia="Calibri"/>
              </w:rPr>
            </w:r>
            <w:r/>
          </w:p>
        </w:tc>
      </w:tr>
      <w:tr>
        <w:trPr>
          <w:trHeight w:val="20"/>
        </w:trPr>
        <w:tc>
          <w:tcPr>
            <w:tcBorders>
              <w:top w:val="single" w:color="000000" w:sz="4" w:space="0"/>
              <w:left w:val="single" w:color="000000" w:sz="4" w:space="0"/>
              <w:bottom w:val="single" w:color="000000" w:sz="4" w:space="0"/>
              <w:right w:val="none" w:color="000000" w:sz="4" w:space="0"/>
            </w:tcBorders>
            <w:tcW w:w="2863" w:type="dxa"/>
            <w:textDirection w:val="lrTb"/>
            <w:noWrap w:val="false"/>
          </w:tcPr>
          <w:p>
            <w:pPr>
              <w:ind w:left="161"/>
            </w:pPr>
            <w:r>
              <w:t xml:space="preserve">[7.2.2] Обслуживание перевозок пассажиров</w:t>
            </w:r>
            <w:r/>
          </w:p>
        </w:tc>
        <w:tc>
          <w:tcPr>
            <w:tcBorders>
              <w:top w:val="single" w:color="000000" w:sz="4" w:space="0"/>
              <w:left w:val="single" w:color="000000" w:sz="4" w:space="0"/>
              <w:bottom w:val="single" w:color="000000" w:sz="4" w:space="0"/>
              <w:right w:val="none" w:color="000000" w:sz="4" w:space="0"/>
            </w:tcBorders>
            <w:tcW w:w="3972" w:type="dxa"/>
            <w:textDirection w:val="lrTb"/>
            <w:noWrap w:val="false"/>
          </w:tcPr>
          <w:p>
            <w:pPr>
              <w:ind w:left="132" w:right="132" w:firstLine="1"/>
              <w:jc w:val="both"/>
              <w:tabs>
                <w:tab w:val="left" w:pos="2520" w:leader="none"/>
              </w:tabs>
              <w:rPr>
                <w:rFonts w:eastAsia="Calibri"/>
              </w:rPr>
            </w:pPr>
            <w: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87" w:tooltip="../Правила%202019%20готовые/Дмитриевская%20зона%202019%20новое%20ИЗМЕНЕНИЯ.doc#sub_1076" w:anchor="sub_1076" w:history="1">
              <w:r>
                <w:rPr>
                  <w:rFonts w:eastAsia="SimSun"/>
                </w:rPr>
                <w:t xml:space="preserve">кодом 7.6</w:t>
              </w:r>
            </w:hyperlink>
            <w:r/>
            <w:r/>
          </w:p>
        </w:tc>
        <w:tc>
          <w:tcPr>
            <w:tcBorders>
              <w:top w:val="single" w:color="000000" w:sz="4" w:space="0"/>
              <w:left w:val="single" w:color="000000" w:sz="4" w:space="0"/>
              <w:bottom w:val="single" w:color="000000" w:sz="4" w:space="0"/>
              <w:right w:val="single" w:color="auto" w:sz="4" w:space="0"/>
            </w:tcBorders>
            <w:tcW w:w="4819" w:type="dxa"/>
            <w:textDirection w:val="lrTb"/>
            <w:noWrap w:val="false"/>
          </w:tcPr>
          <w:p>
            <w:pPr>
              <w:ind w:left="132"/>
              <w:jc w:val="center"/>
              <w:rPr>
                <w:rFonts w:eastAsia="Calibri"/>
              </w:rPr>
            </w:pPr>
            <w:r>
              <w:rPr>
                <w:rFonts w:eastAsia="Calibri"/>
              </w:rPr>
              <w:t xml:space="preserve">Не подлежат установлению</w:t>
            </w:r>
            <w:r/>
          </w:p>
          <w:p>
            <w:pPr>
              <w:ind w:left="132" w:right="131"/>
              <w:jc w:val="center"/>
              <w:rPr>
                <w:rFonts w:eastAsia="Calibri"/>
              </w:rPr>
            </w:pPr>
            <w:r>
              <w:rPr>
                <w:rFonts w:eastAsia="Calibri"/>
              </w:rPr>
              <w:t xml:space="preserve">(определяется при проектировании)</w:t>
            </w:r>
            <w:r/>
          </w:p>
        </w:tc>
        <w:tc>
          <w:tcPr>
            <w:tcBorders>
              <w:left w:val="single" w:color="auto" w:sz="4" w:space="0"/>
              <w:right w:val="single" w:color="000000" w:sz="4" w:space="0"/>
            </w:tcBorders>
            <w:tcW w:w="3259" w:type="dxa"/>
            <w:vMerge w:val="continue"/>
            <w:textDirection w:val="lrTb"/>
            <w:noWrap w:val="false"/>
          </w:tcPr>
          <w:p>
            <w:pPr>
              <w:rPr>
                <w:rFonts w:eastAsia="Calibri"/>
              </w:rPr>
            </w:pPr>
            <w:r>
              <w:rPr>
                <w:rFonts w:eastAsia="Calibri"/>
              </w:rPr>
            </w:r>
            <w:r/>
          </w:p>
        </w:tc>
      </w:tr>
      <w:tr>
        <w:trPr>
          <w:trHeight w:val="20"/>
        </w:trPr>
        <w:tc>
          <w:tcPr>
            <w:tcBorders>
              <w:top w:val="single" w:color="000000" w:sz="4" w:space="0"/>
              <w:left w:val="single" w:color="000000" w:sz="4" w:space="0"/>
              <w:bottom w:val="single" w:color="000000" w:sz="4" w:space="0"/>
              <w:right w:val="none" w:color="000000" w:sz="4" w:space="0"/>
            </w:tcBorders>
            <w:tcW w:w="2863" w:type="dxa"/>
            <w:textDirection w:val="lrTb"/>
            <w:noWrap w:val="false"/>
          </w:tcPr>
          <w:p>
            <w:pPr>
              <w:ind w:left="161"/>
              <w:widowControl/>
            </w:pPr>
            <w:r>
              <w:t xml:space="preserve">[7.2.3] Стоянки транспорта общего пользования</w:t>
            </w:r>
            <w:r/>
          </w:p>
        </w:tc>
        <w:tc>
          <w:tcPr>
            <w:tcBorders>
              <w:top w:val="single" w:color="000000" w:sz="4" w:space="0"/>
              <w:left w:val="single" w:color="000000" w:sz="4" w:space="0"/>
              <w:bottom w:val="single" w:color="000000" w:sz="4" w:space="0"/>
              <w:right w:val="none" w:color="000000" w:sz="4" w:space="0"/>
            </w:tcBorders>
            <w:tcW w:w="3972" w:type="dxa"/>
            <w:textDirection w:val="lrTb"/>
            <w:noWrap w:val="false"/>
          </w:tcPr>
          <w:p>
            <w:pPr>
              <w:ind w:left="132" w:right="132" w:firstLine="1"/>
              <w:jc w:val="both"/>
              <w:tabs>
                <w:tab w:val="left" w:pos="2520" w:leader="none"/>
              </w:tabs>
            </w:pPr>
            <w:r>
              <w:t xml:space="preserve">Размещение стоянок транспортных средств, осуществляющих перевозки людей по установленному маршруту</w:t>
            </w:r>
            <w:r/>
          </w:p>
        </w:tc>
        <w:tc>
          <w:tcPr>
            <w:tcBorders>
              <w:top w:val="single" w:color="000000" w:sz="4" w:space="0"/>
              <w:left w:val="single" w:color="000000" w:sz="4" w:space="0"/>
              <w:bottom w:val="single" w:color="000000" w:sz="4" w:space="0"/>
              <w:right w:val="single" w:color="auto" w:sz="4" w:space="0"/>
            </w:tcBorders>
            <w:tcW w:w="4819" w:type="dxa"/>
            <w:textDirection w:val="lrTb"/>
            <w:noWrap w:val="false"/>
          </w:tcPr>
          <w:p>
            <w:pPr>
              <w:ind w:left="132"/>
              <w:jc w:val="center"/>
              <w:rPr>
                <w:rFonts w:eastAsia="Calibri"/>
              </w:rPr>
            </w:pPr>
            <w:r>
              <w:rPr>
                <w:rFonts w:eastAsia="Calibri"/>
              </w:rPr>
              <w:t xml:space="preserve">Не подлежат установлению</w:t>
            </w:r>
            <w:r/>
          </w:p>
          <w:p>
            <w:pPr>
              <w:ind w:left="132" w:right="131" w:firstLine="142"/>
              <w:jc w:val="center"/>
              <w:rPr>
                <w:rFonts w:eastAsia="Calibri"/>
              </w:rPr>
            </w:pPr>
            <w:r>
              <w:rPr>
                <w:rFonts w:eastAsia="Calibri"/>
              </w:rPr>
              <w:t xml:space="preserve">(определяется при проектировании)</w:t>
            </w:r>
            <w:r/>
          </w:p>
        </w:tc>
        <w:tc>
          <w:tcPr>
            <w:tcBorders>
              <w:left w:val="single" w:color="auto" w:sz="4" w:space="0"/>
              <w:right w:val="single" w:color="000000" w:sz="4" w:space="0"/>
            </w:tcBorders>
            <w:tcW w:w="3259" w:type="dxa"/>
            <w:vMerge w:val="continue"/>
            <w:textDirection w:val="lrTb"/>
            <w:noWrap w:val="false"/>
          </w:tcPr>
          <w:p>
            <w:pPr>
              <w:rPr>
                <w:rFonts w:eastAsia="Calibri"/>
              </w:rPr>
            </w:pPr>
            <w:r>
              <w:rPr>
                <w:rFonts w:eastAsia="Calibri"/>
              </w:rPr>
            </w:r>
            <w:r/>
          </w:p>
        </w:tc>
      </w:tr>
      <w:tr>
        <w:trPr>
          <w:trHeight w:val="20"/>
        </w:trPr>
        <w:tc>
          <w:tcPr>
            <w:tcBorders>
              <w:top w:val="single" w:color="000000" w:sz="4" w:space="0"/>
              <w:left w:val="single" w:color="000000" w:sz="4" w:space="0"/>
              <w:bottom w:val="single" w:color="000000" w:sz="4" w:space="0"/>
              <w:right w:val="none" w:color="000000" w:sz="4" w:space="0"/>
            </w:tcBorders>
            <w:tcW w:w="2863" w:type="dxa"/>
            <w:textDirection w:val="lrTb"/>
            <w:noWrap w:val="false"/>
          </w:tcPr>
          <w:p>
            <w:pPr>
              <w:ind w:left="161"/>
            </w:pPr>
            <w:r>
              <w:t xml:space="preserve">[3.1.1.] Предоставление коммунальных услуг</w:t>
            </w:r>
            <w:r/>
          </w:p>
        </w:tc>
        <w:tc>
          <w:tcPr>
            <w:tcBorders>
              <w:top w:val="single" w:color="000000" w:sz="4" w:space="0"/>
              <w:left w:val="single" w:color="000000" w:sz="4" w:space="0"/>
              <w:bottom w:val="single" w:color="000000" w:sz="4" w:space="0"/>
              <w:right w:val="none" w:color="000000" w:sz="4" w:space="0"/>
            </w:tcBorders>
            <w:tcW w:w="3972" w:type="dxa"/>
            <w:textDirection w:val="lrTb"/>
            <w:noWrap w:val="false"/>
          </w:tcPr>
          <w:p>
            <w:pPr>
              <w:ind w:left="132" w:right="132" w:firstLine="1"/>
              <w:jc w:val="both"/>
            </w:pPr>
            <w: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w:t>
            </w:r>
            <w:r>
              <w:t xml:space="preserve">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r/>
          </w:p>
        </w:tc>
        <w:tc>
          <w:tcPr>
            <w:tcBorders>
              <w:top w:val="single" w:color="000000" w:sz="4" w:space="0"/>
              <w:left w:val="single" w:color="000000" w:sz="4" w:space="0"/>
              <w:bottom w:val="single" w:color="000000" w:sz="4" w:space="0"/>
              <w:right w:val="single" w:color="auto" w:sz="4" w:space="0"/>
            </w:tcBorders>
            <w:tcW w:w="4819" w:type="dxa"/>
            <w:textDirection w:val="lrTb"/>
            <w:noWrap w:val="false"/>
          </w:tcPr>
          <w:p>
            <w:pPr>
              <w:ind w:left="130" w:right="134"/>
              <w:jc w:val="both"/>
            </w:pPr>
            <w:r>
              <w:t xml:space="preserve">Минимальная площадь земельных участков - 10 кв. м;</w:t>
            </w:r>
            <w:r/>
          </w:p>
          <w:p>
            <w:pPr>
              <w:ind w:left="130" w:right="134"/>
              <w:jc w:val="both"/>
            </w:pPr>
            <w:r>
              <w:t xml:space="preserve">максимальное количество надземных этажей зданий –1;</w:t>
            </w:r>
            <w:r/>
          </w:p>
          <w:p>
            <w:pPr>
              <w:ind w:left="130" w:right="134"/>
              <w:jc w:val="both"/>
            </w:pPr>
            <w:r>
              <w:t xml:space="preserve">максимальный процент застройки в границах земельного участка – 80%;</w:t>
            </w:r>
            <w:r/>
          </w:p>
          <w:p>
            <w:pPr>
              <w:ind w:left="130" w:right="134"/>
              <w:jc w:val="both"/>
            </w:pPr>
            <w:r>
              <w:t xml:space="preserve">минимальные отступы от красной линии – 5 м; от иных границ – 3 м;  </w:t>
            </w:r>
            <w:r/>
          </w:p>
          <w:p>
            <w:pPr>
              <w:ind w:left="130" w:right="131"/>
              <w:jc w:val="both"/>
            </w:pPr>
            <w:r>
              <w:t xml:space="preserve">для линейных объектов минимальные отступы – не регламентируются</w:t>
            </w:r>
            <w:r/>
          </w:p>
        </w:tc>
        <w:tc>
          <w:tcPr>
            <w:tcBorders>
              <w:left w:val="single" w:color="auto" w:sz="4" w:space="0"/>
              <w:right w:val="single" w:color="000000" w:sz="4" w:space="0"/>
            </w:tcBorders>
            <w:tcW w:w="3259" w:type="dxa"/>
            <w:vMerge w:val="continue"/>
            <w:textDirection w:val="lrTb"/>
            <w:noWrap w:val="false"/>
          </w:tcPr>
          <w:p>
            <w:pPr>
              <w:ind w:left="33" w:firstLine="426"/>
              <w:jc w:val="both"/>
            </w:pPr>
            <w:r/>
            <w:r/>
          </w:p>
        </w:tc>
      </w:tr>
      <w:tr>
        <w:trPr>
          <w:trHeight w:val="20"/>
        </w:trPr>
        <w:tc>
          <w:tcPr>
            <w:tcBorders>
              <w:top w:val="single" w:color="000000" w:sz="4" w:space="0"/>
              <w:left w:val="single" w:color="000000" w:sz="4" w:space="0"/>
              <w:bottom w:val="single" w:color="000000" w:sz="4" w:space="0"/>
              <w:right w:val="none" w:color="000000" w:sz="4" w:space="0"/>
            </w:tcBorders>
            <w:tcW w:w="2863" w:type="dxa"/>
            <w:textDirection w:val="lrTb"/>
            <w:noWrap w:val="false"/>
          </w:tcPr>
          <w:p>
            <w:pPr>
              <w:ind w:left="161"/>
              <w:tabs>
                <w:tab w:val="left" w:pos="2520" w:leader="none"/>
              </w:tabs>
            </w:pPr>
            <w:r>
              <w:t xml:space="preserve">[12.0] Земельные участки (территории) общего пользования</w:t>
            </w:r>
            <w:r/>
          </w:p>
        </w:tc>
        <w:tc>
          <w:tcPr>
            <w:tcBorders>
              <w:top w:val="single" w:color="000000" w:sz="4" w:space="0"/>
              <w:left w:val="single" w:color="000000" w:sz="4" w:space="0"/>
              <w:bottom w:val="single" w:color="000000" w:sz="4" w:space="0"/>
              <w:right w:val="none" w:color="000000" w:sz="4" w:space="0"/>
            </w:tcBorders>
            <w:tcW w:w="3972" w:type="dxa"/>
            <w:textDirection w:val="lrTb"/>
            <w:noWrap w:val="false"/>
          </w:tcPr>
          <w:p>
            <w:pPr>
              <w:ind w:left="153" w:right="94" w:hanging="20"/>
              <w:jc w:val="both"/>
              <w:widowControl/>
            </w:pPr>
            <w:r>
              <w:t xml:space="preserve">Земельные участки общего пользования.</w:t>
            </w:r>
            <w:r/>
          </w:p>
          <w:p>
            <w:pPr>
              <w:ind w:left="153" w:right="94" w:hanging="20"/>
              <w:jc w:val="both"/>
              <w:tabs>
                <w:tab w:val="left" w:pos="2520" w:leader="none"/>
              </w:tabs>
            </w:pPr>
            <w:r>
              <w:t xml:space="preserve">Содержание данного вида разрешенного использования включает в себя содержание видов разрешенного </w:t>
            </w:r>
            <w:r>
              <w:t xml:space="preserve">использования с </w:t>
            </w:r>
            <w:hyperlink r:id="rId88" w:tooltip="../Правила/Кавказская%20зона%202020%20новое%20ИЗМЕНЕНИЯ.doc#sub_11201" w:anchor="sub_11201" w:history="1">
              <w:r>
                <w:rPr>
                  <w:rFonts w:eastAsia="SimSun"/>
                </w:rPr>
                <w:t xml:space="preserve">кодами 12.0.1 - 12.0.2</w:t>
              </w:r>
            </w:hyperlink>
            <w:r/>
            <w:r/>
          </w:p>
        </w:tc>
        <w:tc>
          <w:tcPr>
            <w:tcBorders>
              <w:top w:val="single" w:color="000000" w:sz="4" w:space="0"/>
              <w:left w:val="single" w:color="000000" w:sz="4" w:space="0"/>
              <w:bottom w:val="single" w:color="000000" w:sz="4" w:space="0"/>
              <w:right w:val="single" w:color="auto" w:sz="4" w:space="0"/>
            </w:tcBorders>
            <w:tcW w:w="4819" w:type="dxa"/>
            <w:textDirection w:val="lrTb"/>
            <w:noWrap w:val="false"/>
          </w:tcPr>
          <w:p>
            <w:pPr>
              <w:ind w:left="132" w:right="116" w:firstLine="356"/>
              <w:jc w:val="center"/>
              <w:tabs>
                <w:tab w:val="left" w:pos="1134" w:leader="none"/>
              </w:tabs>
            </w:pPr>
            <w:r>
              <w:t xml:space="preserve">Регламенты не распространяются</w:t>
            </w:r>
            <w:r/>
          </w:p>
          <w:p>
            <w:pPr>
              <w:ind w:firstLine="356"/>
              <w:jc w:val="center"/>
              <w:tabs>
                <w:tab w:val="left" w:pos="1134" w:leader="none"/>
              </w:tabs>
            </w:pPr>
            <w:r>
              <w:t xml:space="preserve">(не подлежат установлению)</w:t>
            </w:r>
            <w:r/>
          </w:p>
        </w:tc>
        <w:tc>
          <w:tcPr>
            <w:tcBorders>
              <w:top w:val="single" w:color="000000" w:sz="4" w:space="0"/>
              <w:left w:val="single" w:color="auto" w:sz="4" w:space="0"/>
              <w:bottom w:val="single" w:color="000000" w:sz="4" w:space="0"/>
              <w:right w:val="single" w:color="000000" w:sz="4" w:space="0"/>
            </w:tcBorders>
            <w:tcW w:w="3259" w:type="dxa"/>
            <w:textDirection w:val="lrTb"/>
            <w:noWrap w:val="false"/>
          </w:tcPr>
          <w:p>
            <w:pPr>
              <w:ind w:left="132" w:right="132"/>
              <w:jc w:val="both"/>
              <w:tabs>
                <w:tab w:val="left" w:pos="1134" w:leader="none"/>
                <w:tab w:val="left" w:pos="3071" w:leader="none"/>
              </w:tabs>
            </w:pPr>
            <w:r>
              <w:rPr>
                <w:lang w:eastAsia="ru-RU"/>
              </w:rPr>
              <w:t xml:space="preserve">На территориях общего пользования не разрешается возведение объектов капитального строительства, за </w:t>
            </w:r>
            <w:r>
              <w:rPr>
                <w:lang w:eastAsia="ru-RU"/>
              </w:rPr>
              <w:t xml:space="preserve">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r/>
          </w:p>
        </w:tc>
      </w:tr>
      <w:tr>
        <w:trPr>
          <w:trHeight w:val="20"/>
        </w:trPr>
        <w:tc>
          <w:tcPr>
            <w:tcBorders>
              <w:top w:val="single" w:color="000000" w:sz="4" w:space="0"/>
              <w:left w:val="single" w:color="000000" w:sz="4" w:space="0"/>
              <w:bottom w:val="single" w:color="000000" w:sz="4" w:space="0"/>
              <w:right w:val="none" w:color="000000" w:sz="4" w:space="0"/>
            </w:tcBorders>
            <w:tcW w:w="2863" w:type="dxa"/>
            <w:textDirection w:val="lrTb"/>
            <w:noWrap w:val="false"/>
          </w:tcPr>
          <w:p>
            <w:pPr>
              <w:ind w:left="161"/>
              <w:tabs>
                <w:tab w:val="left" w:pos="2520" w:leader="none"/>
              </w:tabs>
            </w:pPr>
            <w:r>
              <w:t xml:space="preserve">[12.0.2] Благоустройство территории</w:t>
            </w:r>
            <w:r/>
          </w:p>
        </w:tc>
        <w:tc>
          <w:tcPr>
            <w:tcBorders>
              <w:top w:val="single" w:color="000000" w:sz="4" w:space="0"/>
              <w:left w:val="single" w:color="000000" w:sz="4" w:space="0"/>
              <w:bottom w:val="single" w:color="000000" w:sz="4" w:space="0"/>
              <w:right w:val="none" w:color="000000" w:sz="4" w:space="0"/>
            </w:tcBorders>
            <w:tcW w:w="3972" w:type="dxa"/>
            <w:textDirection w:val="lrTb"/>
            <w:noWrap w:val="false"/>
          </w:tcPr>
          <w:p>
            <w:pPr>
              <w:ind w:left="153" w:right="94" w:hanging="20"/>
              <w:jc w:val="both"/>
              <w:tabs>
                <w:tab w:val="left" w:pos="2520" w:leader="none"/>
              </w:tabs>
            </w:pPr>
            <w:r>
              <w:t xml:space="preserve">Размещение декоративных, технических, планировочных, конструктивных устройств, эле</w:t>
            </w:r>
            <w:r>
              <w:t xml:space="preserve">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r/>
          </w:p>
        </w:tc>
        <w:tc>
          <w:tcPr>
            <w:tcBorders>
              <w:top w:val="single" w:color="000000" w:sz="4" w:space="0"/>
              <w:left w:val="single" w:color="000000" w:sz="4" w:space="0"/>
              <w:bottom w:val="single" w:color="000000" w:sz="4" w:space="0"/>
              <w:right w:val="single" w:color="auto" w:sz="4" w:space="0"/>
            </w:tcBorders>
            <w:tcW w:w="4819" w:type="dxa"/>
            <w:textDirection w:val="lrTb"/>
            <w:noWrap w:val="false"/>
          </w:tcPr>
          <w:p>
            <w:pPr>
              <w:ind w:left="132" w:right="116" w:firstLine="356"/>
              <w:jc w:val="center"/>
              <w:tabs>
                <w:tab w:val="left" w:pos="1134" w:leader="none"/>
              </w:tabs>
            </w:pPr>
            <w:r>
              <w:t xml:space="preserve">Регламенты не распространяются</w:t>
            </w:r>
            <w:r/>
          </w:p>
          <w:p>
            <w:pPr>
              <w:ind w:firstLine="356"/>
              <w:jc w:val="center"/>
              <w:tabs>
                <w:tab w:val="left" w:pos="1134" w:leader="none"/>
              </w:tabs>
            </w:pPr>
            <w:r>
              <w:t xml:space="preserve">(не подлежат установлению)</w:t>
            </w:r>
            <w:r/>
          </w:p>
        </w:tc>
        <w:tc>
          <w:tcPr>
            <w:tcBorders>
              <w:top w:val="single" w:color="000000" w:sz="4" w:space="0"/>
              <w:left w:val="single" w:color="auto" w:sz="4" w:space="0"/>
              <w:bottom w:val="single" w:color="000000" w:sz="4" w:space="0"/>
              <w:right w:val="single" w:color="000000" w:sz="4" w:space="0"/>
            </w:tcBorders>
            <w:tcW w:w="3259" w:type="dxa"/>
            <w:textDirection w:val="lrTb"/>
            <w:noWrap w:val="false"/>
          </w:tcPr>
          <w:p>
            <w:pPr>
              <w:ind w:left="132" w:right="132"/>
              <w:jc w:val="both"/>
              <w:widowControl/>
              <w:rPr>
                <w:lang w:eastAsia="ru-RU"/>
              </w:rPr>
            </w:pPr>
            <w:r>
              <w:rPr>
                <w:lang w:eastAsia="ru-RU"/>
              </w:rPr>
              <w:t xml:space="preserve">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r/>
          </w:p>
          <w:p>
            <w:pPr>
              <w:ind w:right="557"/>
              <w:jc w:val="both"/>
              <w:tabs>
                <w:tab w:val="left" w:pos="1134" w:leader="none"/>
                <w:tab w:val="left" w:pos="3071" w:leader="none"/>
              </w:tabs>
            </w:pPr>
            <w:r/>
            <w:r/>
          </w:p>
        </w:tc>
      </w:tr>
      <w:tr>
        <w:trPr>
          <w:trHeight w:val="20"/>
        </w:trPr>
        <w:tc>
          <w:tcPr>
            <w:tcBorders>
              <w:top w:val="single" w:color="000000" w:sz="4" w:space="0"/>
              <w:left w:val="single" w:color="000000" w:sz="4" w:space="0"/>
              <w:bottom w:val="single" w:color="000000" w:sz="4" w:space="0"/>
              <w:right w:val="none" w:color="000000" w:sz="4" w:space="0"/>
            </w:tcBorders>
            <w:tcW w:w="2863" w:type="dxa"/>
            <w:textDirection w:val="lrTb"/>
            <w:noWrap w:val="false"/>
          </w:tcPr>
          <w:p>
            <w:pPr>
              <w:ind w:left="161"/>
              <w:tabs>
                <w:tab w:val="left" w:pos="2520" w:leader="none"/>
              </w:tabs>
            </w:pPr>
            <w:r>
              <w:t xml:space="preserve">[12.0.1] Улично-дорожная сеть</w:t>
            </w:r>
            <w:r/>
          </w:p>
        </w:tc>
        <w:tc>
          <w:tcPr>
            <w:tcBorders>
              <w:top w:val="single" w:color="000000" w:sz="4" w:space="0"/>
              <w:left w:val="single" w:color="000000" w:sz="4" w:space="0"/>
              <w:bottom w:val="single" w:color="000000" w:sz="4" w:space="0"/>
              <w:right w:val="none" w:color="000000" w:sz="4" w:space="0"/>
            </w:tcBorders>
            <w:tcW w:w="3972" w:type="dxa"/>
            <w:textDirection w:val="lrTb"/>
            <w:noWrap w:val="false"/>
          </w:tcPr>
          <w:p>
            <w:pPr>
              <w:ind w:left="153" w:right="94" w:hanging="20"/>
              <w:jc w:val="both"/>
              <w:widowControl/>
            </w:pPr>
            <w: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p>
          <w:p>
            <w:pPr>
              <w:ind w:left="153" w:right="94" w:hanging="20"/>
              <w:jc w:val="both"/>
              <w:tabs>
                <w:tab w:val="left" w:pos="2520" w:leader="none"/>
              </w:tabs>
            </w:pPr>
            <w: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89" w:tooltip="../Правила/Кавказская%20зона%202020%20новое%20ИЗМЕНЕНИЯ.doc#sub_10271" w:anchor="sub_10271" w:history="1">
              <w:r>
                <w:rPr>
                  <w:rFonts w:eastAsia="SimSun"/>
                </w:rPr>
                <w:t xml:space="preserve">кодами 2.7.1</w:t>
              </w:r>
            </w:hyperlink>
            <w:r>
              <w:t xml:space="preserve">, </w:t>
            </w:r>
            <w:hyperlink r:id="rId90" w:tooltip="../Правила/Кавказская%20зона%202020%20новое%20ИЗМЕНЕНИЯ.doc#sub_1049" w:anchor="sub_1049" w:history="1">
              <w:r>
                <w:rPr>
                  <w:rFonts w:eastAsia="SimSun"/>
                </w:rPr>
                <w:t xml:space="preserve">4.9</w:t>
              </w:r>
            </w:hyperlink>
            <w:r>
              <w:t xml:space="preserve">, </w:t>
            </w:r>
            <w:hyperlink r:id="rId91" w:tooltip="../Правила/Кавказская%20зона%202020%20новое%20ИЗМЕНЕНИЯ.doc#sub_1723" w:anchor="sub_1723" w:history="1">
              <w:r>
                <w:rPr>
                  <w:rFonts w:eastAsia="SimSun"/>
                </w:rPr>
                <w:t xml:space="preserve">7.2.3</w:t>
              </w:r>
            </w:hyperlink>
            <w:r>
              <w:t xml:space="preserve">, а также некапитальных сооружений, предназначенных для охраны транспортных средств</w:t>
            </w:r>
            <w:r/>
          </w:p>
        </w:tc>
        <w:tc>
          <w:tcPr>
            <w:tcBorders>
              <w:top w:val="single" w:color="000000" w:sz="4" w:space="0"/>
              <w:left w:val="single" w:color="000000" w:sz="4" w:space="0"/>
              <w:bottom w:val="single" w:color="000000" w:sz="4" w:space="0"/>
              <w:right w:val="single" w:color="auto" w:sz="4" w:space="0"/>
            </w:tcBorders>
            <w:tcW w:w="4819" w:type="dxa"/>
            <w:textDirection w:val="lrTb"/>
            <w:noWrap w:val="false"/>
          </w:tcPr>
          <w:p>
            <w:pPr>
              <w:ind w:left="132" w:right="116" w:firstLine="356"/>
              <w:jc w:val="center"/>
              <w:tabs>
                <w:tab w:val="left" w:pos="1134" w:leader="none"/>
              </w:tabs>
            </w:pPr>
            <w:r>
              <w:t xml:space="preserve">Регламенты не распространяются</w:t>
            </w:r>
            <w:r/>
          </w:p>
          <w:p>
            <w:pPr>
              <w:ind w:firstLine="356"/>
              <w:jc w:val="center"/>
              <w:tabs>
                <w:tab w:val="left" w:pos="1134" w:leader="none"/>
              </w:tabs>
            </w:pPr>
            <w:r>
              <w:t xml:space="preserve">(не подлежат установлению)</w:t>
            </w:r>
            <w:r/>
          </w:p>
        </w:tc>
        <w:tc>
          <w:tcPr>
            <w:tcBorders>
              <w:top w:val="single" w:color="000000" w:sz="4" w:space="0"/>
              <w:left w:val="single" w:color="auto" w:sz="4" w:space="0"/>
              <w:bottom w:val="single" w:color="000000" w:sz="4" w:space="0"/>
              <w:right w:val="single" w:color="000000" w:sz="4" w:space="0"/>
            </w:tcBorders>
            <w:tcW w:w="3259" w:type="dxa"/>
            <w:textDirection w:val="lrTb"/>
            <w:noWrap w:val="false"/>
          </w:tcPr>
          <w:p>
            <w:pPr>
              <w:ind w:right="557"/>
              <w:tabs>
                <w:tab w:val="left" w:pos="1134" w:leader="none"/>
                <w:tab w:val="left" w:pos="3071" w:leader="none"/>
              </w:tabs>
            </w:pPr>
            <w:r/>
            <w:r/>
          </w:p>
        </w:tc>
      </w:tr>
    </w:tbl>
    <w:p>
      <w:pPr>
        <w:ind w:firstLine="567"/>
        <w:jc w:val="center"/>
        <w:tabs>
          <w:tab w:val="left" w:pos="2520" w:leader="none"/>
        </w:tabs>
      </w:pPr>
      <w:r/>
      <w:r/>
    </w:p>
    <w:p>
      <w:pPr>
        <w:ind w:firstLine="567"/>
        <w:jc w:val="center"/>
        <w:tabs>
          <w:tab w:val="left" w:pos="2520" w:leader="none"/>
        </w:tabs>
      </w:pPr>
      <w:r>
        <w:rPr>
          <w:b/>
          <w:color w:val="000000"/>
        </w:rPr>
        <w:t xml:space="preserve">УСЛОВНО РАЗРЕШЕННЫЕ ВИДЫ И ПАРАМЕТРЫ ИСПОЛЬЗОВАНИЯ ЗЕМЕЛЬНЫХ УЧАСТКОВ И ОБЪЕКТОВ КАПИТАЛЬНОГО СТРОИТЕЛЬСТВА</w:t>
      </w:r>
      <w:r/>
    </w:p>
    <w:p>
      <w:pPr>
        <w:tabs>
          <w:tab w:val="left" w:pos="2520" w:leader="none"/>
        </w:tabs>
      </w:pPr>
      <w:r/>
      <w:r/>
    </w:p>
    <w:tbl>
      <w:tblPr>
        <w:tblW w:w="14908" w:type="dxa"/>
        <w:tblLayout w:type="fixed"/>
        <w:tblCellMar>
          <w:left w:w="10" w:type="dxa"/>
          <w:right w:w="10" w:type="dxa"/>
        </w:tblCellMar>
        <w:tblLook w:val="04A0" w:firstRow="1" w:lastRow="0" w:firstColumn="1" w:lastColumn="0" w:noHBand="0" w:noVBand="1"/>
      </w:tblPr>
      <w:tblGrid>
        <w:gridCol w:w="2859"/>
        <w:gridCol w:w="4111"/>
        <w:gridCol w:w="3969"/>
        <w:gridCol w:w="3969"/>
      </w:tblGrid>
      <w:tr>
        <w:trPr>
          <w:trHeight w:val="23"/>
        </w:trPr>
        <w:tc>
          <w:tcPr>
            <w:tcBorders>
              <w:top w:val="single" w:color="000000" w:sz="8" w:space="0"/>
              <w:left w:val="single" w:color="000000" w:sz="8" w:space="0"/>
              <w:bottom w:val="single" w:color="000000" w:sz="4" w:space="0"/>
              <w:right w:val="none" w:color="000000" w:sz="4" w:space="0"/>
            </w:tcBorders>
            <w:tcW w:w="2859" w:type="dxa"/>
            <w:vAlign w:val="center"/>
            <w:textDirection w:val="lrTb"/>
            <w:noWrap w:val="false"/>
          </w:tcPr>
          <w:p>
            <w:pPr>
              <w:jc w:val="center"/>
              <w:tabs>
                <w:tab w:val="left" w:pos="2520" w:leader="none"/>
              </w:tabs>
              <w:rPr>
                <w:b/>
              </w:rPr>
            </w:pPr>
            <w:r>
              <w:rPr>
                <w:rFonts w:eastAsia="SimSun"/>
                <w:lang w:eastAsia="zh-CN" w:bidi="ru-RU"/>
              </w:rPr>
              <w:t xml:space="preserve">[</w:t>
            </w:r>
            <w:r>
              <w:rPr>
                <w:b/>
              </w:rPr>
              <w:t xml:space="preserve">КОД (ЧИСЛОВОЕ ОБОЗНАЧЕНИЕ)</w:t>
            </w:r>
            <w:r>
              <w:rPr>
                <w:rFonts w:eastAsia="SimSun"/>
                <w:lang w:eastAsia="zh-CN" w:bidi="ru-RU"/>
              </w:rPr>
              <w:t xml:space="preserve">]-</w:t>
            </w:r>
            <w:r>
              <w:rPr>
                <w:b/>
              </w:rPr>
              <w:t xml:space="preserve"> НАИМЕНОВАНИЕ ВИДАРАЗРЕШЕННОГОИСПОЛЬЗОВАНИЯ ЗЕМЕЛЬНЫХ УЧАСТКОВ</w:t>
            </w:r>
            <w:r/>
          </w:p>
        </w:tc>
        <w:tc>
          <w:tcPr>
            <w:tcBorders>
              <w:top w:val="single" w:color="000000" w:sz="8" w:space="0"/>
              <w:left w:val="single" w:color="000000" w:sz="8" w:space="0"/>
              <w:bottom w:val="single" w:color="000000" w:sz="4" w:space="0"/>
              <w:right w:val="none" w:color="000000" w:sz="4" w:space="0"/>
            </w:tcBorders>
            <w:tcW w:w="4111" w:type="dxa"/>
            <w:vAlign w:val="center"/>
            <w:textDirection w:val="lrTb"/>
            <w:noWrap w:val="false"/>
          </w:tcPr>
          <w:p>
            <w:pPr>
              <w:ind w:left="-10"/>
              <w:jc w:val="center"/>
              <w:tabs>
                <w:tab w:val="left" w:pos="2520" w:leader="none"/>
              </w:tabs>
              <w:rPr>
                <w:b/>
              </w:rPr>
            </w:pPr>
            <w:r>
              <w:rPr>
                <w:b/>
              </w:rPr>
              <w:t xml:space="preserve">ВИДЫ ОБЪЕКТОВ КАПИТАЛЬНОГО</w:t>
            </w:r>
            <w:r>
              <w:rPr>
                <w:b/>
              </w:rPr>
              <w:br/>
              <w:t xml:space="preserve"> СТРОИТЕЛЬСТВА</w:t>
            </w:r>
            <w:r/>
          </w:p>
        </w:tc>
        <w:tc>
          <w:tcPr>
            <w:tcBorders>
              <w:top w:val="single" w:color="000000" w:sz="8" w:space="0"/>
              <w:left w:val="single" w:color="000000" w:sz="8" w:space="0"/>
              <w:bottom w:val="single" w:color="000000" w:sz="8" w:space="0"/>
              <w:right w:val="single" w:color="auto" w:sz="4" w:space="0"/>
            </w:tcBorders>
            <w:tcW w:w="3969" w:type="dxa"/>
            <w:vAlign w:val="center"/>
            <w:textDirection w:val="lrTb"/>
            <w:noWrap w:val="false"/>
          </w:tcPr>
          <w:p>
            <w:pPr>
              <w:ind w:right="132"/>
              <w:jc w:val="center"/>
              <w:tabs>
                <w:tab w:val="left" w:pos="2520" w:leader="none"/>
              </w:tabs>
              <w:rPr>
                <w:b/>
              </w:rPr>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w:t>
            </w:r>
            <w:r>
              <w:rPr>
                <w:b/>
              </w:rPr>
              <w:t xml:space="preserve">ОБЪЕКТОВ КАПИТАЛЬНОГО СТРОИТЕЛЬСТВА</w:t>
            </w:r>
            <w:r/>
          </w:p>
        </w:tc>
        <w:tc>
          <w:tcPr>
            <w:tcBorders>
              <w:top w:val="single" w:color="000000" w:sz="8" w:space="0"/>
              <w:left w:val="single" w:color="auto" w:sz="4" w:space="0"/>
              <w:bottom w:val="single" w:color="000000" w:sz="8" w:space="0"/>
              <w:right w:val="single" w:color="000000" w:sz="8" w:space="0"/>
            </w:tcBorders>
            <w:tcW w:w="3969" w:type="dxa"/>
            <w:vAlign w:val="center"/>
            <w:textDirection w:val="lrTb"/>
            <w:noWrap w:val="false"/>
          </w:tcPr>
          <w:p>
            <w:pPr>
              <w:ind w:left="143" w:right="142"/>
              <w:jc w:val="center"/>
              <w:tabs>
                <w:tab w:val="left" w:pos="3071" w:leader="none"/>
              </w:tabs>
              <w:rPr>
                <w:b/>
              </w:rPr>
            </w:pPr>
            <w:r>
              <w:rPr>
                <w:b/>
              </w:rPr>
              <w:t xml:space="preserve">ОСОБЫЕ УСЛОВИЯ РЕАЛИЗАЦИИ РЕГЛАМЕНТА</w:t>
            </w:r>
            <w:r/>
          </w:p>
        </w:tc>
      </w:tr>
      <w:tr>
        <w:trPr>
          <w:trHeight w:val="369"/>
        </w:trPr>
        <w:tc>
          <w:tcPr>
            <w:tcBorders>
              <w:top w:val="single" w:color="000000" w:sz="4" w:space="0"/>
              <w:left w:val="single" w:color="000000" w:sz="8" w:space="0"/>
              <w:bottom w:val="single" w:color="000000" w:sz="8" w:space="0"/>
              <w:right w:val="none" w:color="000000" w:sz="4" w:space="0"/>
            </w:tcBorders>
            <w:tcW w:w="2859" w:type="dxa"/>
            <w:textDirection w:val="lrTb"/>
            <w:noWrap w:val="false"/>
          </w:tcPr>
          <w:p>
            <w:pPr>
              <w:ind w:left="156"/>
            </w:pPr>
            <w:r>
              <w:t xml:space="preserve">[4.4]  Магазины </w:t>
            </w:r>
            <w:r/>
          </w:p>
        </w:tc>
        <w:tc>
          <w:tcPr>
            <w:tcBorders>
              <w:top w:val="single" w:color="000000" w:sz="8" w:space="0"/>
              <w:left w:val="single" w:color="000000" w:sz="8" w:space="0"/>
              <w:bottom w:val="single" w:color="000000" w:sz="8" w:space="0"/>
              <w:right w:val="none" w:color="000000" w:sz="4" w:space="0"/>
            </w:tcBorders>
            <w:tcW w:w="4111" w:type="dxa"/>
            <w:textDirection w:val="lrTb"/>
            <w:noWrap w:val="false"/>
          </w:tcPr>
          <w:p>
            <w:pPr>
              <w:ind w:left="122" w:right="132" w:firstLine="10"/>
              <w:jc w:val="both"/>
            </w:pPr>
            <w:r>
              <w:t xml:space="preserve">Размещение объектов капитального строительства, предназначенных для оптовой продажи товаров.</w:t>
            </w:r>
            <w:r/>
          </w:p>
        </w:tc>
        <w:tc>
          <w:tcPr>
            <w:tcBorders>
              <w:top w:val="single" w:color="000000" w:sz="8" w:space="0"/>
              <w:left w:val="single" w:color="000000" w:sz="8" w:space="0"/>
              <w:bottom w:val="single" w:color="000000" w:sz="8" w:space="0"/>
              <w:right w:val="single" w:color="auto" w:sz="4" w:space="0"/>
            </w:tcBorders>
            <w:tcW w:w="3969" w:type="dxa"/>
            <w:textDirection w:val="lrTb"/>
            <w:noWrap w:val="false"/>
          </w:tcPr>
          <w:p>
            <w:pPr>
              <w:ind w:left="132" w:right="131"/>
              <w:jc w:val="both"/>
            </w:pPr>
            <w:r>
              <w:t xml:space="preserve">Минимальная/максимальная площадь земельных участков – 100/5000 кв. м;</w:t>
            </w:r>
            <w:r/>
          </w:p>
          <w:p>
            <w:pPr>
              <w:ind w:left="132" w:right="131"/>
              <w:jc w:val="both"/>
            </w:pPr>
            <w:r>
              <w:t xml:space="preserve">максимальный процент застройки в границах земельного участка –50%;</w:t>
            </w:r>
            <w:r/>
          </w:p>
          <w:p>
            <w:pPr>
              <w:ind w:left="132" w:right="131"/>
              <w:jc w:val="both"/>
            </w:pPr>
            <w:r>
              <w:t xml:space="preserve">максимальное количество надземных этажей зданий – 3 этажа;</w:t>
            </w:r>
            <w:r/>
          </w:p>
          <w:p>
            <w:pPr>
              <w:ind w:left="132" w:right="131"/>
              <w:jc w:val="both"/>
            </w:pPr>
            <w:r>
              <w:t xml:space="preserve">максимальная высота зданий, строений, сооружений от уровня земли - 12 м;</w:t>
            </w:r>
            <w:r/>
          </w:p>
          <w:p>
            <w:pPr>
              <w:ind w:left="132" w:right="131"/>
              <w:jc w:val="both"/>
            </w:pPr>
            <w:r>
              <w:t xml:space="preserve">минимальные отступы от красной линии – 5 м; от иных границ – 3 м.</w:t>
            </w:r>
            <w:r/>
          </w:p>
        </w:tc>
        <w:tc>
          <w:tcPr>
            <w:tcBorders>
              <w:top w:val="single" w:color="000000" w:sz="8" w:space="0"/>
              <w:left w:val="single" w:color="auto" w:sz="4" w:space="0"/>
              <w:bottom w:val="single" w:color="auto" w:sz="4" w:space="0"/>
              <w:right w:val="single" w:color="000000" w:sz="8" w:space="0"/>
            </w:tcBorders>
            <w:tcW w:w="3969" w:type="dxa"/>
            <w:vMerge w:val="restart"/>
            <w:textDirection w:val="lrTb"/>
            <w:noWrap w:val="false"/>
          </w:tcPr>
          <w:p>
            <w:pPr>
              <w:ind w:left="132" w:right="140"/>
              <w:jc w:val="both"/>
              <w:tabs>
                <w:tab w:val="left" w:pos="3071" w:leader="none"/>
              </w:tabs>
              <w:rPr>
                <w:shd w:val="clear" w:color="auto" w:fill="ffffff"/>
              </w:rPr>
            </w:pPr>
            <w:r>
              <w:rPr>
                <w:shd w:val="clear" w:color="auto" w:fill="ffffff"/>
              </w:rPr>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r/>
          </w:p>
          <w:p>
            <w:pPr>
              <w:ind w:left="132" w:right="140"/>
              <w:jc w:val="both"/>
              <w:tabs>
                <w:tab w:val="left" w:pos="3071" w:leader="none"/>
              </w:tabs>
            </w:pPr>
            <w: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36 – 40 и статьей 41 настоящих Правил.</w:t>
            </w:r>
            <w:r/>
          </w:p>
          <w:p>
            <w:pPr>
              <w:ind w:left="132" w:right="132"/>
              <w:jc w:val="both"/>
              <w:rPr>
                <w:rFonts w:eastAsia="Calibri"/>
              </w:rPr>
            </w:pPr>
            <w:r>
              <w:rPr>
                <w:rFonts w:eastAsia="Calibri"/>
              </w:rPr>
              <w:t xml:space="preserve">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r/>
          </w:p>
          <w:p>
            <w:pPr>
              <w:ind w:left="132" w:right="132"/>
              <w:jc w:val="both"/>
              <w:rPr>
                <w:rFonts w:eastAsia="Calibri"/>
              </w:rPr>
            </w:pPr>
            <w:r>
              <w:rPr>
                <w:rFonts w:eastAsia="Calibri"/>
              </w:rPr>
              <w:t xml:space="preserve">При проектировании объекта расчетное количество парковочных мест для его обслуживания определять по таблице 1 ст. 42.</w:t>
            </w:r>
            <w:r/>
          </w:p>
          <w:p>
            <w:pPr>
              <w:ind w:left="132" w:right="132"/>
              <w:jc w:val="both"/>
              <w:rPr>
                <w:rFonts w:eastAsia="Calibri"/>
              </w:rPr>
            </w:pPr>
            <w:r>
              <w:rPr>
                <w:rFonts w:eastAsia="Calibri"/>
              </w:rPr>
              <w:t xml:space="preserve">Расстояние от объектов капитального строительства до парковок определять по таблице 2 статьи 42.</w:t>
            </w:r>
            <w:r/>
          </w:p>
          <w:p>
            <w:pPr>
              <w:ind w:left="143" w:right="128"/>
              <w:jc w:val="both"/>
              <w:rPr>
                <w:shd w:val="clear" w:color="auto" w:fill="ffffff"/>
              </w:rPr>
            </w:pPr>
            <w:r>
              <w:rPr>
                <w:rFonts w:eastAsia="Calibri"/>
              </w:rPr>
              <w:t xml:space="preserve">При отсутствии в материалах проектной документации расчета СЗЗ, СЗЗ принимать в соответствии с СанПиНом</w:t>
            </w:r>
            <w:r>
              <w:rPr>
                <w:shd w:val="clear" w:color="auto" w:fill="ffffff"/>
              </w:rPr>
              <w:t xml:space="preserve">2.2.1/2.1.1.1200-03 "</w:t>
            </w:r>
            <w:r>
              <w:rPr>
                <w:bCs/>
                <w:shd w:val="clear" w:color="auto" w:fill="ffffff"/>
              </w:rPr>
              <w:t xml:space="preserve">Санитарно </w:t>
            </w:r>
            <w:r>
              <w:rPr>
                <w:shd w:val="clear" w:color="auto" w:fill="ffffff"/>
              </w:rPr>
              <w:t xml:space="preserve">- </w:t>
            </w:r>
            <w:r>
              <w:rPr>
                <w:bCs/>
                <w:shd w:val="clear" w:color="auto" w:fill="ffffff"/>
              </w:rPr>
              <w:t xml:space="preserve">защитные</w:t>
            </w:r>
            <w:r>
              <w:rPr>
                <w:shd w:val="clear" w:color="auto" w:fill="ffffff"/>
              </w:rPr>
              <w:t xml:space="preserve"> </w:t>
            </w:r>
            <w:r>
              <w:rPr>
                <w:bCs/>
                <w:shd w:val="clear" w:color="auto" w:fill="ffffff"/>
              </w:rPr>
              <w:t xml:space="preserve">зоны</w:t>
            </w:r>
            <w:r>
              <w:rPr>
                <w:shd w:val="clear" w:color="auto" w:fill="ffffff"/>
              </w:rPr>
              <w:t xml:space="preserve"> и </w:t>
            </w:r>
            <w:r>
              <w:rPr>
                <w:bCs/>
                <w:shd w:val="clear" w:color="auto" w:fill="ffffff"/>
              </w:rPr>
              <w:t xml:space="preserve">санитарная</w:t>
            </w:r>
            <w:r>
              <w:rPr>
                <w:shd w:val="clear" w:color="auto" w:fill="ffffff"/>
              </w:rPr>
              <w:t xml:space="preserve"> </w:t>
            </w:r>
            <w:r>
              <w:rPr>
                <w:bCs/>
                <w:shd w:val="clear" w:color="auto" w:fill="ffffff"/>
              </w:rPr>
              <w:t xml:space="preserve">классификация</w:t>
            </w:r>
            <w:r>
              <w:rPr>
                <w:shd w:val="clear" w:color="auto" w:fill="ffffff"/>
              </w:rPr>
              <w:t xml:space="preserve"> </w:t>
            </w:r>
            <w:r>
              <w:rPr>
                <w:bCs/>
                <w:shd w:val="clear" w:color="auto" w:fill="ffffff"/>
              </w:rPr>
              <w:t xml:space="preserve">предприятий</w:t>
            </w:r>
            <w:r>
              <w:rPr>
                <w:shd w:val="clear" w:color="auto" w:fill="ffffff"/>
              </w:rPr>
              <w:t xml:space="preserve">, </w:t>
            </w:r>
            <w:r>
              <w:rPr>
                <w:bCs/>
                <w:shd w:val="clear" w:color="auto" w:fill="ffffff"/>
              </w:rPr>
              <w:t xml:space="preserve">сооружений</w:t>
            </w:r>
            <w:r>
              <w:rPr>
                <w:shd w:val="clear" w:color="auto" w:fill="ffffff"/>
              </w:rPr>
              <w:t xml:space="preserve"> и иных объектов".</w:t>
            </w:r>
            <w:r/>
          </w:p>
          <w:p>
            <w:pPr>
              <w:ind w:left="132" w:right="132"/>
              <w:jc w:val="both"/>
              <w:rPr>
                <w:shd w:val="clear" w:color="auto" w:fill="ffffff"/>
              </w:rPr>
            </w:pPr>
            <w:r>
              <w:rPr>
                <w:shd w:val="clear" w:color="auto" w:fill="ffffff"/>
              </w:rPr>
              <w:t xml:space="preserve">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w:t>
            </w:r>
            <w:r/>
          </w:p>
          <w:p>
            <w:pPr>
              <w:ind w:left="132" w:right="132"/>
              <w:jc w:val="both"/>
              <w:rPr>
                <w:shd w:val="clear" w:color="auto" w:fill="ffffff"/>
              </w:rPr>
            </w:pPr>
            <w:r>
              <w:rPr>
                <w:shd w:val="clear" w:color="auto" w:fill="ffffff"/>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w:t>
            </w:r>
            <w:r>
              <w:rPr>
                <w:shd w:val="clear" w:color="auto" w:fill="ffffff"/>
              </w:rPr>
              <w:t xml:space="preserve">склады сырья и полупродуктов д</w:t>
            </w:r>
            <w:r>
              <w:rPr>
                <w:shd w:val="clear" w:color="auto" w:fill="ffffff"/>
              </w:rPr>
              <w:t xml:space="preserve">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r/>
          </w:p>
          <w:p>
            <w:pPr>
              <w:ind w:left="132" w:right="132" w:firstLine="284"/>
              <w:jc w:val="both"/>
              <w:rPr>
                <w:shd w:val="clear" w:color="auto" w:fill="ffffff"/>
              </w:rPr>
            </w:pPr>
            <w:r>
              <w:rPr>
                <w:shd w:val="clear" w:color="auto" w:fill="ffffff"/>
              </w:rPr>
              <w:t xml:space="preserve">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r/>
          </w:p>
          <w:p>
            <w:pPr>
              <w:ind w:left="131" w:right="114" w:firstLine="142"/>
              <w:jc w:val="both"/>
            </w:pPr>
            <w:r>
              <w:rPr>
                <w:shd w:val="clear" w:color="auto" w:fill="ffffff"/>
              </w:rPr>
              <w:t xml:space="preserve">В материалах проектной документации необходимо указывать функциональное назначение складских помещений в целях определения их класса опасности.</w:t>
            </w:r>
            <w:r/>
          </w:p>
        </w:tc>
      </w:tr>
      <w:tr>
        <w:trPr>
          <w:trHeight w:val="369"/>
        </w:trPr>
        <w:tc>
          <w:tcPr>
            <w:tcBorders>
              <w:top w:val="single" w:color="000000" w:sz="4" w:space="0"/>
              <w:left w:val="single" w:color="000000" w:sz="8" w:space="0"/>
              <w:bottom w:val="single" w:color="000000" w:sz="8" w:space="0"/>
              <w:right w:val="none" w:color="000000" w:sz="4" w:space="0"/>
            </w:tcBorders>
            <w:tcW w:w="2859" w:type="dxa"/>
            <w:textDirection w:val="lrTb"/>
            <w:noWrap w:val="false"/>
          </w:tcPr>
          <w:p>
            <w:pPr>
              <w:ind w:left="156"/>
            </w:pPr>
            <w:r>
              <w:t xml:space="preserve">[4.9.1]  Объекты дорожного сервиса</w:t>
            </w:r>
            <w:r/>
          </w:p>
        </w:tc>
        <w:tc>
          <w:tcPr>
            <w:tcBorders>
              <w:top w:val="single" w:color="000000" w:sz="8" w:space="0"/>
              <w:left w:val="single" w:color="000000" w:sz="8" w:space="0"/>
              <w:bottom w:val="single" w:color="000000" w:sz="8" w:space="0"/>
              <w:right w:val="none" w:color="000000" w:sz="4" w:space="0"/>
            </w:tcBorders>
            <w:tcW w:w="4111" w:type="dxa"/>
            <w:textDirection w:val="lrTb"/>
            <w:noWrap w:val="false"/>
          </w:tcPr>
          <w:p>
            <w:pPr>
              <w:ind w:left="122" w:right="132" w:firstLine="10"/>
              <w:jc w:val="both"/>
              <w:widowControl/>
            </w:pPr>
            <w: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92" w:tooltip="../Правила/Кавказская%20зона%202020%20новое%20ИЗМЕНЕНИЯ.doc#sub_14911" w:anchor="sub_14911" w:history="1">
              <w:r>
                <w:rPr>
                  <w:bCs/>
                </w:rPr>
                <w:t xml:space="preserve">кодами 4.9.1.1 - 4.9.1.4</w:t>
              </w:r>
            </w:hyperlink>
            <w:r/>
            <w:r/>
          </w:p>
        </w:tc>
        <w:tc>
          <w:tcPr>
            <w:tcBorders>
              <w:top w:val="single" w:color="000000" w:sz="8" w:space="0"/>
              <w:left w:val="single" w:color="000000" w:sz="8" w:space="0"/>
              <w:bottom w:val="single" w:color="000000" w:sz="8" w:space="0"/>
              <w:right w:val="single" w:color="auto" w:sz="4" w:space="0"/>
            </w:tcBorders>
            <w:tcW w:w="3969" w:type="dxa"/>
            <w:textDirection w:val="lrTb"/>
            <w:noWrap w:val="false"/>
          </w:tcPr>
          <w:p>
            <w:pPr>
              <w:ind w:left="132" w:right="131"/>
              <w:jc w:val="both"/>
            </w:pPr>
            <w:r>
              <w:t xml:space="preserve">Минимальная/максимальная площадь земельных участков – 300/5000 кв. м;</w:t>
            </w:r>
            <w:r/>
          </w:p>
          <w:p>
            <w:pPr>
              <w:ind w:left="132" w:right="131"/>
              <w:jc w:val="both"/>
            </w:pPr>
            <w:r>
              <w:t xml:space="preserve">максимальный процент застройки в границах земельного участка –50%;</w:t>
            </w:r>
            <w:r/>
          </w:p>
          <w:p>
            <w:pPr>
              <w:ind w:left="132" w:right="131"/>
              <w:jc w:val="both"/>
            </w:pPr>
            <w:r>
              <w:t xml:space="preserve">максимальная высота зданий, строений, сооружений от уровня земли – 12 м;</w:t>
            </w:r>
            <w:r/>
          </w:p>
          <w:p>
            <w:pPr>
              <w:ind w:left="132" w:right="131"/>
              <w:jc w:val="both"/>
            </w:pPr>
            <w:r>
              <w:t xml:space="preserve">минимальные отступы от красной линии – 5 м; от иных границ – 3 м.</w:t>
            </w:r>
            <w:r/>
          </w:p>
        </w:tc>
        <w:tc>
          <w:tcPr>
            <w:tcBorders>
              <w:left w:val="single" w:color="auto" w:sz="4" w:space="0"/>
              <w:bottom w:val="single" w:color="auto" w:sz="4" w:space="0"/>
              <w:right w:val="single" w:color="000000" w:sz="8" w:space="0"/>
            </w:tcBorders>
            <w:tcW w:w="3969" w:type="dxa"/>
            <w:vMerge w:val="continue"/>
            <w:textDirection w:val="lrTb"/>
            <w:noWrap w:val="false"/>
          </w:tcPr>
          <w:p>
            <w:pPr>
              <w:ind w:left="708"/>
            </w:pPr>
            <w:r/>
            <w:r/>
          </w:p>
        </w:tc>
      </w:tr>
      <w:tr>
        <w:trPr>
          <w:trHeight w:val="1718"/>
        </w:trPr>
        <w:tc>
          <w:tcPr>
            <w:tcBorders>
              <w:top w:val="single" w:color="000000" w:sz="4" w:space="0"/>
              <w:left w:val="single" w:color="000000" w:sz="8" w:space="0"/>
              <w:bottom w:val="single" w:color="auto" w:sz="4" w:space="0"/>
              <w:right w:val="none" w:color="000000" w:sz="4" w:space="0"/>
            </w:tcBorders>
            <w:tcW w:w="2859" w:type="dxa"/>
            <w:textDirection w:val="lrTb"/>
            <w:noWrap w:val="false"/>
          </w:tcPr>
          <w:p>
            <w:pPr>
              <w:ind w:left="156"/>
            </w:pPr>
            <w:r>
              <w:t xml:space="preserve">[4.9.1.2]  Обеспечение дорожного отдыха</w:t>
            </w:r>
            <w:r/>
          </w:p>
        </w:tc>
        <w:tc>
          <w:tcPr>
            <w:tcBorders>
              <w:top w:val="single" w:color="000000" w:sz="8" w:space="0"/>
              <w:left w:val="single" w:color="000000" w:sz="8" w:space="0"/>
              <w:bottom w:val="single" w:color="auto" w:sz="4" w:space="0"/>
              <w:right w:val="none" w:color="000000" w:sz="4" w:space="0"/>
            </w:tcBorders>
            <w:tcW w:w="4111" w:type="dxa"/>
            <w:textDirection w:val="lrTb"/>
            <w:noWrap w:val="false"/>
          </w:tcPr>
          <w:p>
            <w:pPr>
              <w:ind w:left="122" w:right="132" w:firstLine="10"/>
              <w:jc w:val="both"/>
              <w:widowControl/>
            </w:pPr>
            <w: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r/>
          </w:p>
        </w:tc>
        <w:tc>
          <w:tcPr>
            <w:tcBorders>
              <w:top w:val="single" w:color="000000" w:sz="8" w:space="0"/>
              <w:left w:val="single" w:color="000000" w:sz="8" w:space="0"/>
              <w:bottom w:val="single" w:color="auto" w:sz="4" w:space="0"/>
              <w:right w:val="single" w:color="auto" w:sz="4" w:space="0"/>
            </w:tcBorders>
            <w:tcW w:w="3969" w:type="dxa"/>
            <w:textDirection w:val="lrTb"/>
            <w:noWrap w:val="false"/>
          </w:tcPr>
          <w:p>
            <w:pPr>
              <w:ind w:left="132" w:right="131"/>
              <w:jc w:val="both"/>
            </w:pPr>
            <w:r>
              <w:t xml:space="preserve">Минимальная/максимальная площадь земельных участков – 300/5000 кв. м;</w:t>
            </w:r>
            <w:r/>
          </w:p>
          <w:p>
            <w:pPr>
              <w:ind w:left="132" w:right="131"/>
              <w:jc w:val="both"/>
            </w:pPr>
            <w:r>
              <w:t xml:space="preserve">максимальный процент застройки в границах земельного участка –50%;</w:t>
            </w:r>
            <w:r/>
          </w:p>
          <w:p>
            <w:pPr>
              <w:ind w:left="132" w:right="131"/>
              <w:jc w:val="both"/>
            </w:pPr>
            <w:r>
              <w:t xml:space="preserve">максимальная высота зданий, строений, сооружений от уровня земли - 12 м;</w:t>
            </w:r>
            <w:r/>
          </w:p>
          <w:p>
            <w:pPr>
              <w:ind w:left="132" w:right="131"/>
              <w:jc w:val="both"/>
            </w:pPr>
            <w:r>
              <w:t xml:space="preserve">минимальные отступы от красной линии – 5 м; от иных границ – 3 м.</w:t>
            </w:r>
            <w:r/>
          </w:p>
        </w:tc>
        <w:tc>
          <w:tcPr>
            <w:tcBorders>
              <w:left w:val="single" w:color="auto" w:sz="4" w:space="0"/>
              <w:bottom w:val="single" w:color="auto" w:sz="4" w:space="0"/>
              <w:right w:val="single" w:color="000000" w:sz="8" w:space="0"/>
            </w:tcBorders>
            <w:tcW w:w="3969" w:type="dxa"/>
            <w:vMerge w:val="continue"/>
            <w:textDirection w:val="lrTb"/>
            <w:noWrap w:val="false"/>
          </w:tcPr>
          <w:p>
            <w:pPr>
              <w:ind w:left="708"/>
            </w:pPr>
            <w:r/>
            <w:r/>
          </w:p>
        </w:tc>
      </w:tr>
      <w:tr>
        <w:trPr>
          <w:trHeight w:val="279"/>
        </w:trPr>
        <w:tc>
          <w:tcPr>
            <w:tcBorders>
              <w:top w:val="single" w:color="auto" w:sz="4" w:space="0"/>
              <w:left w:val="single" w:color="000000" w:sz="8" w:space="0"/>
              <w:bottom w:val="single" w:color="auto" w:sz="4" w:space="0"/>
              <w:right w:val="none" w:color="000000" w:sz="4" w:space="0"/>
            </w:tcBorders>
            <w:tcW w:w="2859" w:type="dxa"/>
            <w:textDirection w:val="lrTb"/>
            <w:noWrap w:val="false"/>
          </w:tcPr>
          <w:p>
            <w:pPr>
              <w:ind w:left="156"/>
            </w:pPr>
            <w:r>
              <w:t xml:space="preserve">[4.9.1.3]  Автомобильные мойки</w:t>
            </w:r>
            <w:r/>
          </w:p>
        </w:tc>
        <w:tc>
          <w:tcPr>
            <w:tcBorders>
              <w:top w:val="single" w:color="auto" w:sz="4" w:space="0"/>
              <w:left w:val="single" w:color="000000" w:sz="8" w:space="0"/>
              <w:bottom w:val="single" w:color="auto" w:sz="4" w:space="0"/>
              <w:right w:val="none" w:color="000000" w:sz="4" w:space="0"/>
            </w:tcBorders>
            <w:tcW w:w="4111" w:type="dxa"/>
            <w:textDirection w:val="lrTb"/>
            <w:noWrap w:val="false"/>
          </w:tcPr>
          <w:p>
            <w:pPr>
              <w:ind w:left="122" w:right="132" w:firstLine="10"/>
              <w:jc w:val="both"/>
              <w:widowControl/>
            </w:pPr>
            <w:r>
              <w:t xml:space="preserve">Размещение автомобильных моек, а также размещение магазинов сопутствующей торговли</w:t>
            </w:r>
            <w:r/>
          </w:p>
        </w:tc>
        <w:tc>
          <w:tcPr>
            <w:tcBorders>
              <w:top w:val="single" w:color="auto" w:sz="4" w:space="0"/>
              <w:left w:val="single" w:color="000000" w:sz="8" w:space="0"/>
              <w:bottom w:val="single" w:color="auto" w:sz="4" w:space="0"/>
              <w:right w:val="single" w:color="auto" w:sz="4" w:space="0"/>
            </w:tcBorders>
            <w:tcW w:w="3969" w:type="dxa"/>
            <w:textDirection w:val="lrTb"/>
            <w:noWrap w:val="false"/>
          </w:tcPr>
          <w:p>
            <w:pPr>
              <w:ind w:left="132" w:right="131"/>
              <w:jc w:val="both"/>
            </w:pPr>
            <w:r>
              <w:t xml:space="preserve">Минимальная/максимальная площадь земельных участков – 300/5000 кв. м;</w:t>
            </w:r>
            <w:r/>
          </w:p>
          <w:p>
            <w:pPr>
              <w:ind w:left="132" w:right="131"/>
              <w:jc w:val="both"/>
            </w:pPr>
            <w:r>
              <w:t xml:space="preserve">максимальный процент застройки в границах земельного участка –50%;</w:t>
            </w:r>
            <w:r/>
          </w:p>
          <w:p>
            <w:pPr>
              <w:ind w:left="132" w:right="131"/>
              <w:jc w:val="both"/>
            </w:pPr>
            <w:r>
              <w:t xml:space="preserve">максимальная высота зданий, строений, сооружений от уровня земли – 12 м;</w:t>
            </w:r>
            <w:r/>
          </w:p>
          <w:p>
            <w:pPr>
              <w:ind w:left="132" w:right="131"/>
              <w:jc w:val="both"/>
            </w:pPr>
            <w:r>
              <w:t xml:space="preserve">минимальные отступы от красной линии – 5 м; от иных границ – 3 м.</w:t>
            </w:r>
            <w:r/>
          </w:p>
        </w:tc>
        <w:tc>
          <w:tcPr>
            <w:tcBorders>
              <w:left w:val="single" w:color="auto" w:sz="4" w:space="0"/>
              <w:bottom w:val="single" w:color="auto" w:sz="4" w:space="0"/>
              <w:right w:val="single" w:color="000000" w:sz="8" w:space="0"/>
            </w:tcBorders>
            <w:tcW w:w="3969" w:type="dxa"/>
            <w:vMerge w:val="continue"/>
            <w:textDirection w:val="lrTb"/>
            <w:noWrap w:val="false"/>
          </w:tcPr>
          <w:p>
            <w:pPr>
              <w:ind w:left="708"/>
            </w:pPr>
            <w:r/>
            <w:r/>
          </w:p>
        </w:tc>
      </w:tr>
      <w:tr>
        <w:trPr>
          <w:trHeight w:val="295"/>
        </w:trPr>
        <w:tc>
          <w:tcPr>
            <w:tcBorders>
              <w:top w:val="single" w:color="auto" w:sz="4" w:space="0"/>
              <w:left w:val="single" w:color="000000" w:sz="8" w:space="0"/>
              <w:bottom w:val="single" w:color="auto" w:sz="4" w:space="0"/>
              <w:right w:val="none" w:color="000000" w:sz="4" w:space="0"/>
            </w:tcBorders>
            <w:tcW w:w="2859" w:type="dxa"/>
            <w:textDirection w:val="lrTb"/>
            <w:noWrap w:val="false"/>
          </w:tcPr>
          <w:p>
            <w:pPr>
              <w:ind w:left="156"/>
            </w:pPr>
            <w:r>
              <w:t xml:space="preserve">[4.9.1.4]  Ремонт автомобилей</w:t>
            </w:r>
            <w:r/>
          </w:p>
        </w:tc>
        <w:tc>
          <w:tcPr>
            <w:tcBorders>
              <w:top w:val="single" w:color="auto" w:sz="4" w:space="0"/>
              <w:left w:val="single" w:color="000000" w:sz="8" w:space="0"/>
              <w:bottom w:val="single" w:color="auto" w:sz="4" w:space="0"/>
              <w:right w:val="none" w:color="000000" w:sz="4" w:space="0"/>
            </w:tcBorders>
            <w:tcW w:w="4111" w:type="dxa"/>
            <w:textDirection w:val="lrTb"/>
            <w:noWrap w:val="false"/>
          </w:tcPr>
          <w:p>
            <w:pPr>
              <w:ind w:left="122" w:right="132" w:firstLine="10"/>
              <w:jc w:val="both"/>
              <w:widowControl/>
            </w:pPr>
            <w:r>
              <w:t xml:space="preserve">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r/>
          </w:p>
        </w:tc>
        <w:tc>
          <w:tcPr>
            <w:tcBorders>
              <w:top w:val="single" w:color="auto" w:sz="4" w:space="0"/>
              <w:left w:val="single" w:color="000000" w:sz="8" w:space="0"/>
              <w:bottom w:val="single" w:color="auto" w:sz="4" w:space="0"/>
              <w:right w:val="single" w:color="auto" w:sz="4" w:space="0"/>
            </w:tcBorders>
            <w:tcW w:w="3969" w:type="dxa"/>
            <w:textDirection w:val="lrTb"/>
            <w:noWrap w:val="false"/>
          </w:tcPr>
          <w:p>
            <w:pPr>
              <w:ind w:left="132" w:right="131"/>
              <w:jc w:val="both"/>
            </w:pPr>
            <w:r>
              <w:t xml:space="preserve">Минимальная/максимальная площадь земельных участков – 300/5000 кв. м;</w:t>
            </w:r>
            <w:r/>
          </w:p>
          <w:p>
            <w:pPr>
              <w:ind w:left="132" w:right="131"/>
              <w:jc w:val="both"/>
            </w:pPr>
            <w:r>
              <w:t xml:space="preserve">максимальный процент застройки в границах земельного участка –50%;</w:t>
            </w:r>
            <w:r/>
          </w:p>
          <w:p>
            <w:pPr>
              <w:ind w:left="132" w:right="131"/>
              <w:jc w:val="both"/>
            </w:pPr>
            <w:r>
              <w:t xml:space="preserve">максимальная высота зданий, строений, сооружений от уровня земли - 12 м;</w:t>
            </w:r>
            <w:r/>
          </w:p>
          <w:p>
            <w:pPr>
              <w:ind w:left="132" w:right="131"/>
              <w:jc w:val="both"/>
            </w:pPr>
            <w:r>
              <w:t xml:space="preserve">от иных границ – 3 м.</w:t>
            </w:r>
            <w:r/>
          </w:p>
        </w:tc>
        <w:tc>
          <w:tcPr>
            <w:tcBorders>
              <w:left w:val="single" w:color="auto" w:sz="4" w:space="0"/>
              <w:bottom w:val="single" w:color="auto" w:sz="4" w:space="0"/>
              <w:right w:val="single" w:color="000000" w:sz="8" w:space="0"/>
            </w:tcBorders>
            <w:tcW w:w="3969" w:type="dxa"/>
            <w:vMerge w:val="continue"/>
            <w:textDirection w:val="lrTb"/>
            <w:noWrap w:val="false"/>
          </w:tcPr>
          <w:p>
            <w:pPr>
              <w:ind w:left="708"/>
            </w:pPr>
            <w:r/>
            <w:r/>
          </w:p>
        </w:tc>
      </w:tr>
    </w:tbl>
    <w:p>
      <w:pPr>
        <w:ind w:firstLine="567"/>
        <w:jc w:val="center"/>
        <w:tabs>
          <w:tab w:val="left" w:pos="2520" w:leader="none"/>
        </w:tabs>
      </w:pPr>
      <w:r/>
      <w:r/>
    </w:p>
    <w:p>
      <w:pPr>
        <w:ind w:firstLine="567"/>
        <w:jc w:val="center"/>
        <w:tabs>
          <w:tab w:val="left" w:pos="2520" w:leader="none"/>
        </w:tabs>
      </w:pPr>
      <w:r>
        <w:rPr>
          <w:b/>
          <w:color w:val="000000"/>
        </w:rPr>
        <w:t xml:space="preserve">ВСПОМОГАТЕЛЬНЫЕ ВИДЫ И ПАРАМЕТРЫ РАЗРЕШЕННОГО ИСПОЛЬЗОВАНИЯ ЗЕМЕЛЬНЫХ УЧАСТКОВ И ОБЪЕКТОВ КАПИТАЛЬНОГО СТРОИТЕЛЬСТВА</w:t>
      </w:r>
      <w:r/>
    </w:p>
    <w:p>
      <w:pPr>
        <w:ind w:firstLine="567"/>
        <w:jc w:val="center"/>
        <w:tabs>
          <w:tab w:val="left" w:pos="2520" w:leader="none"/>
        </w:tabs>
      </w:pPr>
      <w:r/>
      <w:r/>
    </w:p>
    <w:p>
      <w:pPr>
        <w:ind w:firstLine="567"/>
        <w:jc w:val="both"/>
      </w:pPr>
      <w:r>
        <w:rPr>
          <w:sz w:val="24"/>
          <w:szCs w:val="24"/>
          <w:lang w:eastAsia="ru-RU" w:bidi="ru-RU"/>
        </w:rPr>
        <w:t xml:space="preserve">Вспомогательные</w:t>
      </w:r>
      <w:r>
        <w:rPr>
          <w:sz w:val="24"/>
          <w:szCs w:val="24"/>
          <w:lang w:eastAsia="ru-RU" w:bidi="ru-RU"/>
        </w:rPr>
        <w:t xml:space="preserve"> </w:t>
      </w:r>
      <w:r>
        <w:rPr>
          <w:sz w:val="24"/>
          <w:szCs w:val="24"/>
          <w:lang w:eastAsia="ru-RU" w:bidi="ru-RU"/>
        </w:rPr>
        <w:t xml:space="preserve">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Pr>
          <w:rFonts w:eastAsia="SimSun"/>
          <w:sz w:val="24"/>
          <w:szCs w:val="24"/>
          <w:lang w:eastAsia="zh-CN" w:bidi="ru-RU"/>
        </w:rPr>
        <w:t xml:space="preserve"> Предельные (мин</w:t>
      </w:r>
      <w:r>
        <w:rPr>
          <w:rFonts w:eastAsia="SimSun"/>
          <w:sz w:val="24"/>
          <w:szCs w:val="24"/>
          <w:lang w:eastAsia="zh-CN" w:bidi="ru-RU"/>
        </w:rPr>
        <w:t xml:space="preserve">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r/>
    </w:p>
    <w:p>
      <w:pPr>
        <w:ind w:firstLine="567"/>
        <w:jc w:val="center"/>
        <w:tabs>
          <w:tab w:val="left" w:pos="2520" w:leader="none"/>
        </w:tabs>
      </w:pPr>
      <w:r/>
      <w:r/>
    </w:p>
    <w:tbl>
      <w:tblPr>
        <w:tblW w:w="0" w:type="auto"/>
        <w:tblLayout w:type="fixed"/>
        <w:tblCellMar>
          <w:left w:w="10" w:type="dxa"/>
          <w:right w:w="10" w:type="dxa"/>
        </w:tblCellMar>
        <w:tblLook w:val="04A0" w:firstRow="1" w:lastRow="0" w:firstColumn="1" w:lastColumn="0" w:noHBand="0" w:noVBand="1"/>
      </w:tblPr>
      <w:tblGrid>
        <w:gridCol w:w="5557"/>
        <w:gridCol w:w="5670"/>
        <w:gridCol w:w="3686"/>
      </w:tblGrid>
      <w:tr>
        <w:trPr>
          <w:trHeight w:val="552"/>
        </w:trPr>
        <w:tc>
          <w:tcPr>
            <w:tcBorders>
              <w:top w:val="single" w:color="000000" w:sz="4" w:space="0"/>
              <w:left w:val="single" w:color="000000" w:sz="4" w:space="0"/>
              <w:bottom w:val="single" w:color="000000" w:sz="4" w:space="0"/>
              <w:right w:val="none" w:color="000000" w:sz="4" w:space="0"/>
            </w:tcBorders>
            <w:tcW w:w="5557" w:type="dxa"/>
            <w:vAlign w:val="center"/>
            <w:textDirection w:val="lrTb"/>
            <w:noWrap w:val="false"/>
          </w:tcPr>
          <w:p>
            <w:pPr>
              <w:ind w:left="-10"/>
              <w:jc w:val="center"/>
              <w:tabs>
                <w:tab w:val="left" w:pos="2520" w:leader="none"/>
              </w:tabs>
              <w:rPr>
                <w:b/>
              </w:rPr>
            </w:pPr>
            <w:r>
              <w:rPr>
                <w:b/>
              </w:rPr>
              <w:t xml:space="preserve">ВИДЫ ВСПОМОГАТЕЛЬНЫХ ОБЪЕКТОВ КАПИТАЛЬНОГО</w:t>
            </w:r>
            <w:r>
              <w:rPr>
                <w:b/>
              </w:rPr>
              <w:br/>
              <w:t xml:space="preserve"> СТРОИТЕЛЬСТВА</w:t>
            </w:r>
            <w:r/>
          </w:p>
        </w:tc>
        <w:tc>
          <w:tcPr>
            <w:tcBorders>
              <w:top w:val="single" w:color="000000" w:sz="4" w:space="0"/>
              <w:left w:val="single" w:color="000000" w:sz="4" w:space="0"/>
              <w:bottom w:val="single" w:color="000000" w:sz="4" w:space="0"/>
              <w:right w:val="single" w:color="auto" w:sz="4" w:space="0"/>
            </w:tcBorders>
            <w:tcW w:w="5670" w:type="dxa"/>
            <w:vAlign w:val="center"/>
            <w:textDirection w:val="lrTb"/>
            <w:noWrap w:val="false"/>
          </w:tcPr>
          <w:p>
            <w:pPr>
              <w:ind w:right="131" w:firstLine="132"/>
              <w:jc w:val="center"/>
              <w:tabs>
                <w:tab w:val="left" w:pos="2520" w:leader="none"/>
              </w:tabs>
              <w:rPr>
                <w:b/>
              </w:rPr>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Borders>
              <w:top w:val="single" w:color="000000" w:sz="4" w:space="0"/>
              <w:left w:val="single" w:color="auto" w:sz="4" w:space="0"/>
              <w:bottom w:val="single" w:color="000000" w:sz="4" w:space="0"/>
              <w:right w:val="single" w:color="000000" w:sz="4" w:space="0"/>
            </w:tcBorders>
            <w:tcW w:w="3686" w:type="dxa"/>
            <w:vAlign w:val="center"/>
            <w:textDirection w:val="lrTb"/>
            <w:noWrap w:val="false"/>
          </w:tcPr>
          <w:p>
            <w:pPr>
              <w:ind w:left="132" w:right="132"/>
              <w:jc w:val="center"/>
              <w:tabs>
                <w:tab w:val="left" w:pos="3534" w:leader="none"/>
              </w:tabs>
              <w:rPr>
                <w:b/>
              </w:rPr>
            </w:pPr>
            <w:r>
              <w:rPr>
                <w:b/>
              </w:rPr>
              <w:t xml:space="preserve">ОСОБЫЕ УСЛОВИЯ РЕАЛИЗАЦИИ РЕГЛАМЕНТА</w:t>
            </w:r>
            <w:r/>
          </w:p>
          <w:p>
            <w:pPr>
              <w:ind w:right="557" w:firstLine="356"/>
              <w:jc w:val="center"/>
              <w:tabs>
                <w:tab w:val="left" w:pos="3071" w:leader="none"/>
              </w:tabs>
              <w:rPr>
                <w:b/>
              </w:rPr>
            </w:pPr>
            <w:r>
              <w:rPr>
                <w:b/>
              </w:rPr>
            </w:r>
            <w:r/>
          </w:p>
        </w:tc>
      </w:tr>
      <w:tr>
        <w:trPr>
          <w:trHeight w:val="3159"/>
        </w:trPr>
        <w:tc>
          <w:tcPr>
            <w:tcBorders>
              <w:top w:val="single" w:color="000000" w:sz="4" w:space="0"/>
              <w:left w:val="single" w:color="000000" w:sz="4" w:space="0"/>
              <w:bottom w:val="single" w:color="auto" w:sz="4" w:space="0"/>
              <w:right w:val="none" w:color="000000" w:sz="4" w:space="0"/>
            </w:tcBorders>
            <w:tcW w:w="5557" w:type="dxa"/>
            <w:textDirection w:val="lrTb"/>
            <w:noWrap w:val="false"/>
          </w:tcPr>
          <w:p>
            <w:pPr>
              <w:ind w:left="161"/>
              <w:tabs>
                <w:tab w:val="left" w:pos="2520" w:leader="none"/>
              </w:tabs>
            </w:pPr>
            <w:r>
              <w:t xml:space="preserve">Объекты обслуживания закрытой сети:</w:t>
            </w:r>
            <w:r/>
          </w:p>
          <w:p>
            <w:pPr>
              <w:ind w:left="161"/>
              <w:tabs>
                <w:tab w:val="left" w:pos="2520" w:leader="none"/>
              </w:tabs>
            </w:pPr>
            <w:r>
              <w:t xml:space="preserve">медицинский пункт (при списочной численности от 50 до 300 работающих);</w:t>
            </w:r>
            <w:r/>
          </w:p>
          <w:p>
            <w:pPr>
              <w:ind w:left="161"/>
              <w:tabs>
                <w:tab w:val="left" w:pos="2520" w:leader="none"/>
              </w:tabs>
            </w:pPr>
            <w:r>
              <w:t xml:space="preserve">фельдшерский или врачебный здравпункт (при списочной численности более 300 работающих);</w:t>
            </w:r>
            <w:r/>
          </w:p>
          <w:p>
            <w:pPr>
              <w:ind w:left="161"/>
              <w:tabs>
                <w:tab w:val="left" w:pos="2520" w:leader="none"/>
              </w:tabs>
            </w:pPr>
            <w:r>
              <w:t xml:space="preserve">организации общественного питания:</w:t>
            </w:r>
            <w:r/>
          </w:p>
          <w:p>
            <w:pPr>
              <w:ind w:left="161"/>
            </w:pPr>
            <w:r>
              <w:t xml:space="preserve">комната приема пищи (при численности работающих в смену менее 30 человек);</w:t>
            </w:r>
            <w:r/>
          </w:p>
          <w:p>
            <w:pPr>
              <w:ind w:left="161"/>
              <w:tabs>
                <w:tab w:val="left" w:pos="2520" w:leader="none"/>
              </w:tabs>
            </w:pPr>
            <w:r>
              <w:t xml:space="preserve">столовая работающая на полуфабрикатах (при численности работающих в смену более 200 человек);</w:t>
            </w:r>
            <w:r/>
          </w:p>
          <w:p>
            <w:pPr>
              <w:ind w:left="161"/>
              <w:tabs>
                <w:tab w:val="left" w:pos="2520" w:leader="none"/>
              </w:tabs>
            </w:pPr>
            <w:r>
              <w:t xml:space="preserve">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r/>
          </w:p>
          <w:p>
            <w:pPr>
              <w:ind w:left="161"/>
              <w:tabs>
                <w:tab w:val="left" w:pos="2520" w:leader="none"/>
              </w:tabs>
            </w:pPr>
            <w:r>
              <w:t xml:space="preserve">контрольно-пропускные пункты, пункты охраны, проходные.</w:t>
            </w:r>
            <w:r/>
          </w:p>
        </w:tc>
        <w:tc>
          <w:tcPr>
            <w:tcBorders>
              <w:top w:val="single" w:color="000000" w:sz="4" w:space="0"/>
              <w:left w:val="single" w:color="000000" w:sz="4" w:space="0"/>
              <w:bottom w:val="single" w:color="auto" w:sz="4" w:space="0"/>
              <w:right w:val="single" w:color="auto" w:sz="4" w:space="0"/>
            </w:tcBorders>
            <w:tcW w:w="5670" w:type="dxa"/>
            <w:textDirection w:val="lrTb"/>
            <w:noWrap w:val="false"/>
          </w:tcPr>
          <w:p>
            <w:pPr>
              <w:ind w:left="132"/>
              <w:jc w:val="both"/>
            </w:pPr>
            <w:r>
              <w:t xml:space="preserve">Площадь медицинского пункта следует принимать:</w:t>
            </w:r>
            <w:r/>
          </w:p>
          <w:p>
            <w:pPr>
              <w:ind w:left="132"/>
              <w:jc w:val="both"/>
            </w:pPr>
            <w:r>
              <w:t xml:space="preserve">12 м2 - при списочной численности от 50 до 150 работающих;</w:t>
            </w:r>
            <w:r/>
          </w:p>
          <w:p>
            <w:pPr>
              <w:ind w:left="132"/>
              <w:jc w:val="both"/>
            </w:pPr>
            <w:r>
              <w:t xml:space="preserve">18 м2 - при списочной численности от 151 до 300 работающих.</w:t>
            </w:r>
            <w:r/>
          </w:p>
          <w:p>
            <w:pPr>
              <w:ind w:left="132"/>
              <w:jc w:val="both"/>
            </w:pPr>
            <w:r>
              <w:t xml:space="preserve">Минимальные отступы от границ земельных участков до объектов вспомогательного назначения:</w:t>
            </w:r>
            <w:r/>
          </w:p>
          <w:p>
            <w:pPr>
              <w:ind w:left="132"/>
              <w:jc w:val="both"/>
            </w:pPr>
            <w:r>
              <w:t xml:space="preserve">от красной линии – 5 м; от иных границ – 1 м.</w:t>
            </w:r>
            <w:r/>
          </w:p>
          <w:p>
            <w:pPr>
              <w:ind w:firstLine="182"/>
              <w:jc w:val="both"/>
            </w:pPr>
            <w:r/>
            <w:r/>
          </w:p>
        </w:tc>
        <w:tc>
          <w:tcPr>
            <w:tcBorders>
              <w:top w:val="single" w:color="000000" w:sz="4" w:space="0"/>
              <w:left w:val="single" w:color="auto" w:sz="4" w:space="0"/>
              <w:right w:val="single" w:color="000000" w:sz="4" w:space="0"/>
            </w:tcBorders>
            <w:tcW w:w="3686" w:type="dxa"/>
            <w:vMerge w:val="restart"/>
            <w:textDirection w:val="lrTb"/>
            <w:noWrap w:val="false"/>
          </w:tcPr>
          <w:p>
            <w:pPr>
              <w:ind w:left="143" w:right="142" w:hanging="11"/>
              <w:jc w:val="both"/>
              <w:tabs>
                <w:tab w:val="left" w:pos="3071" w:leader="none"/>
              </w:tabs>
              <w:rPr>
                <w:shd w:val="clear" w:color="auto" w:fill="ffffff"/>
              </w:rPr>
            </w:pPr>
            <w:r>
              <w:rPr>
                <w:shd w:val="clear" w:color="auto" w:fill="ffffff"/>
              </w:rPr>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r/>
          </w:p>
          <w:p>
            <w:pPr>
              <w:ind w:left="143" w:right="142" w:hanging="11"/>
              <w:jc w:val="both"/>
              <w:tabs>
                <w:tab w:val="left" w:pos="3071" w:leader="none"/>
              </w:tabs>
            </w:pPr>
            <w:r/>
            <w:r/>
          </w:p>
          <w:p>
            <w:pPr>
              <w:ind w:left="143" w:right="142" w:hanging="11"/>
              <w:jc w:val="both"/>
              <w:tabs>
                <w:tab w:val="left" w:pos="3071" w:leader="none"/>
              </w:tabs>
            </w:pPr>
            <w: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статье 29 настоящих Правил.</w:t>
            </w:r>
            <w:r/>
          </w:p>
          <w:p>
            <w:pPr>
              <w:ind w:left="132" w:right="102" w:hanging="11"/>
              <w:jc w:val="both"/>
            </w:pPr>
            <w:r>
              <w:rPr>
                <w:rFonts w:eastAsia="SimSun"/>
                <w:lang w:eastAsia="zh-CN" w:bidi="ru-RU"/>
              </w:rPr>
              <w:t xml:space="preserve">Любые вспомогательные виды разрешённого использования объектов капитального строительства не могут по своим суммарным характеристикам (стр</w:t>
            </w:r>
            <w:r>
              <w:rPr>
                <w:rFonts w:eastAsia="SimSun"/>
                <w:lang w:eastAsia="zh-CN" w:bidi="ru-RU"/>
              </w:rPr>
              <w:t xml:space="preserve">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r/>
          </w:p>
        </w:tc>
      </w:tr>
      <w:tr>
        <w:trPr>
          <w:trHeight w:val="275"/>
        </w:trPr>
        <w:tc>
          <w:tcPr>
            <w:tcBorders>
              <w:top w:val="single" w:color="auto" w:sz="4" w:space="0"/>
              <w:left w:val="single" w:color="000000" w:sz="4" w:space="0"/>
              <w:bottom w:val="single" w:color="000000" w:sz="4" w:space="0"/>
              <w:right w:val="none" w:color="000000" w:sz="4" w:space="0"/>
            </w:tcBorders>
            <w:tcW w:w="5557" w:type="dxa"/>
            <w:textDirection w:val="lrTb"/>
            <w:noWrap w:val="false"/>
          </w:tcPr>
          <w:p>
            <w:pPr>
              <w:ind w:left="161" w:right="131"/>
              <w:jc w:val="both"/>
              <w:rPr>
                <w:rFonts w:eastAsia="SimSun"/>
                <w:lang w:eastAsia="zh-CN" w:bidi="ru-RU"/>
              </w:rPr>
            </w:pPr>
            <w:r>
              <w:rPr>
                <w:rFonts w:eastAsia="SimSun"/>
                <w:lang w:eastAsia="zh-CN" w:bidi="ru-RU"/>
              </w:rPr>
              <w:t xml:space="preserve">Гостевые автостоянки для парковки легковых автомобилей посетителей.</w:t>
            </w:r>
            <w:r/>
          </w:p>
        </w:tc>
        <w:tc>
          <w:tcPr>
            <w:tcBorders>
              <w:top w:val="single" w:color="auto" w:sz="4" w:space="0"/>
              <w:left w:val="single" w:color="000000" w:sz="4" w:space="0"/>
              <w:bottom w:val="single" w:color="000000" w:sz="4" w:space="0"/>
              <w:right w:val="single" w:color="auto" w:sz="4" w:space="0"/>
            </w:tcBorders>
            <w:tcW w:w="5670" w:type="dxa"/>
            <w:textDirection w:val="lrTb"/>
            <w:noWrap w:val="false"/>
          </w:tcPr>
          <w:p>
            <w:pPr>
              <w:ind w:left="132" w:right="132"/>
              <w:jc w:val="both"/>
              <w:widowControl/>
              <w:rPr>
                <w:lang w:eastAsia="ru-RU"/>
              </w:rPr>
            </w:pPr>
            <w:r>
              <w:rPr>
                <w:lang w:eastAsia="ru-RU"/>
              </w:rPr>
              <w:t xml:space="preserve">Нормативное количество парковочных мест определяется по таблице 1 ст. 42 Правил.</w:t>
            </w:r>
            <w:r/>
          </w:p>
          <w:p>
            <w:pPr>
              <w:ind w:left="132" w:right="132"/>
              <w:jc w:val="both"/>
              <w:rPr>
                <w:rFonts w:eastAsia="SimSun"/>
                <w:lang w:eastAsia="zh-CN" w:bidi="ru-RU"/>
              </w:rPr>
            </w:pPr>
            <w:r>
              <w:rPr>
                <w:lang w:eastAsia="ru-RU"/>
              </w:rPr>
              <w:t xml:space="preserve">Расстояние от объектов капитального строительства принимать по таблице 2 ст. 42 Правил.</w:t>
            </w:r>
            <w:r/>
          </w:p>
        </w:tc>
        <w:tc>
          <w:tcPr>
            <w:tcBorders>
              <w:top w:val="single" w:color="000000" w:sz="4" w:space="0"/>
              <w:left w:val="single" w:color="auto" w:sz="4" w:space="0"/>
              <w:right w:val="single" w:color="000000" w:sz="4" w:space="0"/>
            </w:tcBorders>
            <w:tcW w:w="3686" w:type="dxa"/>
            <w:vMerge w:val="continue"/>
            <w:textDirection w:val="lrTb"/>
            <w:noWrap w:val="false"/>
          </w:tcPr>
          <w:p>
            <w:pPr>
              <w:ind w:left="143" w:right="142" w:firstLine="195"/>
              <w:jc w:val="both"/>
              <w:tabs>
                <w:tab w:val="left" w:pos="3071" w:leader="none"/>
              </w:tabs>
              <w:rPr>
                <w:shd w:val="clear" w:color="auto" w:fill="ffffff"/>
              </w:rPr>
            </w:pPr>
            <w:r>
              <w:rPr>
                <w:shd w:val="clear" w:color="auto" w:fill="ffffff"/>
              </w:rPr>
            </w:r>
            <w:r/>
          </w:p>
        </w:tc>
      </w:tr>
      <w:tr>
        <w:trPr>
          <w:trHeight w:val="786"/>
        </w:trPr>
        <w:tc>
          <w:tcPr>
            <w:tcBorders>
              <w:top w:val="single" w:color="000000" w:sz="4" w:space="0"/>
              <w:left w:val="single" w:color="000000" w:sz="4" w:space="0"/>
              <w:bottom w:val="single" w:color="auto" w:sz="4" w:space="0"/>
              <w:right w:val="none" w:color="000000" w:sz="4" w:space="0"/>
            </w:tcBorders>
            <w:tcW w:w="5557" w:type="dxa"/>
            <w:textDirection w:val="lrTb"/>
            <w:noWrap w:val="false"/>
          </w:tcPr>
          <w:p>
            <w:pPr>
              <w:ind w:left="161"/>
            </w:pPr>
            <w:r>
              <w:t xml:space="preserve">Площадки для мусоросборников</w:t>
            </w:r>
            <w:r/>
          </w:p>
        </w:tc>
        <w:tc>
          <w:tcPr>
            <w:tcBorders>
              <w:top w:val="single" w:color="000000" w:sz="4" w:space="0"/>
              <w:left w:val="single" w:color="000000" w:sz="4" w:space="0"/>
              <w:bottom w:val="single" w:color="auto" w:sz="4" w:space="0"/>
              <w:right w:val="single" w:color="auto" w:sz="4" w:space="0"/>
            </w:tcBorders>
            <w:tcW w:w="5670" w:type="dxa"/>
            <w:textDirection w:val="lrTb"/>
            <w:noWrap w:val="false"/>
          </w:tcPr>
          <w:p>
            <w:pPr>
              <w:ind w:left="132" w:right="131"/>
              <w:jc w:val="both"/>
            </w:pPr>
            <w:r>
              <w:t xml:space="preserve">Расстояние от площадок для мусоросборников до производственных и вспомогательных помещений не менее - 30 м.</w:t>
            </w:r>
            <w:r/>
          </w:p>
        </w:tc>
        <w:tc>
          <w:tcPr>
            <w:tcBorders>
              <w:left w:val="single" w:color="auto" w:sz="4" w:space="0"/>
              <w:right w:val="single" w:color="000000" w:sz="4" w:space="0"/>
            </w:tcBorders>
            <w:tcW w:w="3686" w:type="dxa"/>
            <w:vMerge w:val="continue"/>
            <w:textDirection w:val="lrTb"/>
            <w:noWrap w:val="false"/>
          </w:tcPr>
          <w:p>
            <w:pPr>
              <w:ind w:firstLine="426"/>
            </w:pPr>
            <w:r/>
            <w:r/>
          </w:p>
        </w:tc>
      </w:tr>
      <w:tr>
        <w:trPr>
          <w:trHeight w:val="1146"/>
        </w:trPr>
        <w:tc>
          <w:tcPr>
            <w:tcBorders>
              <w:top w:val="single" w:color="auto" w:sz="4" w:space="0"/>
              <w:left w:val="single" w:color="000000" w:sz="4" w:space="0"/>
              <w:bottom w:val="single" w:color="auto" w:sz="4" w:space="0"/>
              <w:right w:val="none" w:color="000000" w:sz="4" w:space="0"/>
            </w:tcBorders>
            <w:tcW w:w="5557" w:type="dxa"/>
            <w:textDirection w:val="lrTb"/>
            <w:noWrap w:val="false"/>
          </w:tcPr>
          <w:p>
            <w:pPr>
              <w:ind w:firstLine="161"/>
            </w:pPr>
            <w:r>
              <w:t xml:space="preserve">Площадки для сбора твердых бытовых отходов.</w:t>
            </w:r>
            <w:r/>
          </w:p>
        </w:tc>
        <w:tc>
          <w:tcPr>
            <w:tcBorders>
              <w:top w:val="single" w:color="auto" w:sz="4" w:space="0"/>
              <w:left w:val="single" w:color="000000" w:sz="4" w:space="0"/>
              <w:bottom w:val="single" w:color="auto" w:sz="4" w:space="0"/>
              <w:right w:val="single" w:color="auto" w:sz="4" w:space="0"/>
            </w:tcBorders>
            <w:tcW w:w="5670" w:type="dxa"/>
            <w:textDirection w:val="lrTb"/>
            <w:noWrap w:val="false"/>
          </w:tcPr>
          <w:p>
            <w:pPr>
              <w:ind w:left="132" w:right="132"/>
              <w:jc w:val="both"/>
            </w:pPr>
            <w: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r/>
          </w:p>
          <w:p>
            <w:pPr>
              <w:ind w:right="132"/>
              <w:jc w:val="both"/>
            </w:pPr>
            <w:r>
              <w:t xml:space="preserve">   Общее количество контейнеров не более 5 шт.</w:t>
            </w:r>
            <w:r/>
          </w:p>
        </w:tc>
        <w:tc>
          <w:tcPr>
            <w:tcBorders>
              <w:left w:val="single" w:color="auto" w:sz="4" w:space="0"/>
              <w:right w:val="single" w:color="000000" w:sz="4" w:space="0"/>
            </w:tcBorders>
            <w:tcW w:w="3686" w:type="dxa"/>
            <w:vMerge w:val="continue"/>
            <w:textDirection w:val="lrTb"/>
            <w:noWrap w:val="false"/>
          </w:tcPr>
          <w:p>
            <w:pPr>
              <w:ind w:firstLine="426"/>
            </w:pPr>
            <w:r/>
            <w:r/>
          </w:p>
        </w:tc>
      </w:tr>
      <w:tr>
        <w:trPr>
          <w:trHeight w:val="620"/>
        </w:trPr>
        <w:tc>
          <w:tcPr>
            <w:tcBorders>
              <w:top w:val="single" w:color="auto" w:sz="4" w:space="0"/>
              <w:left w:val="single" w:color="000000" w:sz="4" w:space="0"/>
              <w:bottom w:val="single" w:color="000000" w:sz="4" w:space="0"/>
              <w:right w:val="none" w:color="000000" w:sz="4" w:space="0"/>
            </w:tcBorders>
            <w:tcW w:w="5557" w:type="dxa"/>
            <w:textDirection w:val="lrTb"/>
            <w:noWrap w:val="false"/>
          </w:tcPr>
          <w:p>
            <w:pPr>
              <w:ind w:left="161"/>
              <w:jc w:val="both"/>
              <w:rPr>
                <w:rFonts w:eastAsia="SimSun"/>
                <w:lang w:eastAsia="zh-CN" w:bidi="ru-RU"/>
              </w:rPr>
            </w:pPr>
            <w:r>
              <w:rPr>
                <w:rFonts w:eastAsia="SimSun"/>
                <w:lang w:eastAsia="zh-CN" w:bidi="ru-RU"/>
              </w:rPr>
              <w:t xml:space="preserve">Площадки для складирования и (или) разгрузки товаров</w:t>
            </w:r>
            <w:r/>
          </w:p>
        </w:tc>
        <w:tc>
          <w:tcPr>
            <w:tcBorders>
              <w:top w:val="single" w:color="auto" w:sz="4" w:space="0"/>
              <w:left w:val="single" w:color="000000" w:sz="4" w:space="0"/>
              <w:bottom w:val="single" w:color="000000" w:sz="4" w:space="0"/>
              <w:right w:val="single" w:color="auto" w:sz="4" w:space="0"/>
            </w:tcBorders>
            <w:tcW w:w="5670" w:type="dxa"/>
            <w:textDirection w:val="lrTb"/>
            <w:noWrap w:val="false"/>
          </w:tcPr>
          <w:p>
            <w:pPr>
              <w:ind w:left="132" w:right="132"/>
              <w:jc w:val="both"/>
              <w:rPr>
                <w:lang w:eastAsia="ru-RU"/>
              </w:rPr>
            </w:pPr>
            <w:r>
              <w:rPr>
                <w:rFonts w:eastAsia="SimSun"/>
                <w:lang w:eastAsia="zh-CN" w:bidi="ru-RU"/>
              </w:rPr>
              <w:t xml:space="preserve">Площадки для складирования и (или) разгрузки товаров размещать в пределах отведенного участка</w:t>
            </w:r>
            <w:r/>
          </w:p>
        </w:tc>
        <w:tc>
          <w:tcPr>
            <w:tcBorders>
              <w:left w:val="single" w:color="auto" w:sz="4" w:space="0"/>
              <w:bottom w:val="single" w:color="000000" w:sz="4" w:space="0"/>
              <w:right w:val="single" w:color="000000" w:sz="4" w:space="0"/>
            </w:tcBorders>
            <w:tcW w:w="3686" w:type="dxa"/>
            <w:vMerge w:val="continue"/>
            <w:textDirection w:val="lrTb"/>
            <w:noWrap w:val="false"/>
          </w:tcPr>
          <w:p>
            <w:pPr>
              <w:ind w:firstLine="426"/>
            </w:pPr>
            <w:r/>
            <w:r/>
          </w:p>
        </w:tc>
      </w:tr>
    </w:tbl>
    <w:p>
      <w:pPr>
        <w:ind w:firstLine="567"/>
        <w:rPr>
          <w:shd w:val="clear" w:color="auto" w:fill="ffffff"/>
        </w:rPr>
      </w:pPr>
      <w:r>
        <w:rPr>
          <w:shd w:val="clear" w:color="auto" w:fill="ffffff"/>
        </w:rPr>
        <w:t xml:space="preserve">Примечание:</w:t>
      </w:r>
      <w:r/>
    </w:p>
    <w:p>
      <w:pPr>
        <w:ind w:firstLine="567"/>
        <w:jc w:val="both"/>
        <w:rPr>
          <w:shd w:val="clear" w:color="auto" w:fill="ffffff"/>
        </w:rPr>
      </w:pPr>
      <w:r>
        <w:rPr>
          <w:shd w:val="clear" w:color="auto" w:fill="ffffff"/>
        </w:rPr>
        <w:t xml:space="preserve">Предельные (минимальные и (или) максимальные) размеры земельных участков и максимальный процент застройки для вспомогательных видов не подлежат установлению.</w:t>
      </w:r>
      <w:r/>
    </w:p>
    <w:p>
      <w:pPr>
        <w:ind w:firstLine="567"/>
        <w:jc w:val="both"/>
        <w:rPr>
          <w:shd w:val="clear" w:color="auto" w:fill="ffffff"/>
        </w:rPr>
      </w:pPr>
      <w:r>
        <w:rPr>
          <w:shd w:val="clear" w:color="auto" w:fill="ffffff"/>
        </w:rPr>
        <w:t xml:space="preserve">Общая площадь некапитального объекта принята до 25 кв.м. Этажность отдельно стоящих нек</w:t>
      </w:r>
      <w:r>
        <w:rPr>
          <w:shd w:val="clear" w:color="auto" w:fill="ffffff"/>
        </w:rPr>
        <w:t xml:space="preserve">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w:t>
      </w:r>
      <w:r>
        <w:t xml:space="preserve">Дмитриевского</w:t>
      </w:r>
      <w:r>
        <w:t xml:space="preserve"> сельского поселения Кавказского района Краснодарского края</w:t>
      </w:r>
      <w:r>
        <w:rPr>
          <w:shd w:val="clear" w:color="auto" w:fill="ffffff"/>
        </w:rPr>
        <w:t xml:space="preserve">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w:t>
      </w:r>
      <w:r>
        <w:rPr>
          <w:shd w:val="clear" w:color="auto" w:fill="ffffff"/>
        </w:rPr>
        <w:t xml:space="preserve">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r/>
    </w:p>
    <w:p>
      <w:pPr>
        <w:ind w:firstLine="567"/>
        <w:jc w:val="center"/>
      </w:pPr>
      <w:r/>
      <w:r/>
    </w:p>
    <w:p>
      <w:pPr>
        <w:ind w:firstLine="567"/>
        <w:jc w:val="center"/>
      </w:pPr>
      <w:r>
        <w:rPr>
          <w:b/>
          <w:sz w:val="24"/>
          <w:szCs w:val="24"/>
        </w:rPr>
        <w:t xml:space="preserve">КОММУНАЛЬНО-СКЛАДСКАЯ ЗОНА</w:t>
      </w:r>
      <w:r/>
    </w:p>
    <w:p>
      <w:pPr>
        <w:ind w:firstLine="567"/>
        <w:jc w:val="both"/>
      </w:pPr>
      <w:r>
        <w:rPr>
          <w:color w:val="000000" w:themeColor="text1"/>
          <w:sz w:val="24"/>
          <w:szCs w:val="24"/>
        </w:rPr>
        <w:t xml:space="preserve">Кодовое обозначение – КС</w:t>
      </w:r>
      <w:r/>
    </w:p>
    <w:p>
      <w:pPr>
        <w:ind w:firstLine="567"/>
        <w:jc w:val="both"/>
      </w:pPr>
      <w:r>
        <w:rPr>
          <w:sz w:val="24"/>
          <w:szCs w:val="24"/>
          <w:shd w:val="clear" w:color="auto" w:fill="ffffff"/>
        </w:rPr>
        <w:t xml:space="preserve">Зона транспортной инфраструктуры выделяется для размещения объектов транспорта и обеспечения правовых условий градостроительной деятельности в части размещения предприятий и объектов ее обслуживания.</w:t>
      </w:r>
      <w:r/>
    </w:p>
    <w:p>
      <w:pPr>
        <w:ind w:firstLine="567"/>
        <w:jc w:val="center"/>
      </w:pPr>
      <w:r/>
      <w:r/>
    </w:p>
    <w:p>
      <w:pPr>
        <w:ind w:firstLine="567"/>
        <w:jc w:val="center"/>
      </w:pPr>
      <w:r/>
      <w:r/>
    </w:p>
    <w:p>
      <w:pPr>
        <w:ind w:firstLine="567"/>
        <w:jc w:val="center"/>
        <w:tabs>
          <w:tab w:val="left" w:pos="2520" w:leader="none"/>
        </w:tabs>
      </w:pPr>
      <w:r>
        <w:rPr>
          <w:b/>
          <w:color w:val="000000"/>
        </w:rPr>
        <w:t xml:space="preserve">ОСНОВНЫЕ ВИДЫ И ПАРАМЕТРЫ РАЗРЕШЕННОГО ИСПОЛЬЗОВАНИЯ ЗЕМЕЛЬНЫХ УЧАСТКОВ И ОБЪЕКТОВ КАПИТАЛЬНОГО СТРОИТЕЛЬСТВА</w:t>
      </w:r>
      <w:r/>
    </w:p>
    <w:p>
      <w:pPr>
        <w:ind w:firstLine="567"/>
        <w:jc w:val="center"/>
        <w:tabs>
          <w:tab w:val="left" w:pos="2520" w:leader="none"/>
        </w:tabs>
      </w:pPr>
      <w:r/>
      <w:r/>
    </w:p>
    <w:tbl>
      <w:tblPr>
        <w:tblStyle w:val="1312"/>
        <w:tblW w:w="15276" w:type="dxa"/>
        <w:tblLayout w:type="fixed"/>
        <w:tblLook w:val="04A0" w:firstRow="1" w:lastRow="0" w:firstColumn="1" w:lastColumn="0" w:noHBand="0" w:noVBand="1"/>
      </w:tblPr>
      <w:tblGrid>
        <w:gridCol w:w="3129"/>
        <w:gridCol w:w="4536"/>
        <w:gridCol w:w="3642"/>
        <w:gridCol w:w="3969"/>
      </w:tblGrid>
      <w:tr>
        <w:trPr>
          <w:trHeight w:val="23"/>
        </w:trPr>
        <w:tc>
          <w:tcPr>
            <w:tcW w:w="3129" w:type="dxa"/>
            <w:textDirection w:val="lrTb"/>
            <w:noWrap/>
          </w:tcPr>
          <w:p>
            <w:pPr>
              <w:ind w:left="142" w:right="117"/>
              <w:jc w:val="center"/>
              <w:tabs>
                <w:tab w:val="left" w:pos="2520" w:leader="none"/>
              </w:tabs>
            </w:pPr>
            <w:r>
              <w:rPr>
                <w:rFonts w:eastAsia="SimSun"/>
                <w:lang w:eastAsia="zh-CN" w:bidi="ru-RU"/>
              </w:rPr>
              <w:t xml:space="preserve">[</w:t>
            </w:r>
            <w:r>
              <w:rPr>
                <w:b/>
              </w:rPr>
              <w:t xml:space="preserve">КОД (ЧИСЛОВОЕ ОБОЗНАЧЕНИЕ)</w:t>
            </w:r>
            <w:r>
              <w:rPr>
                <w:rFonts w:eastAsia="SimSun"/>
                <w:lang w:eastAsia="zh-CN" w:bidi="ru-RU"/>
              </w:rPr>
              <w:t xml:space="preserve">]-</w:t>
            </w:r>
            <w:r>
              <w:rPr>
                <w:b/>
              </w:rPr>
              <w:t xml:space="preserve"> НАИМЕНОВАНИЕ ВИДАРАЗРЕШЕННОГО ИСПОЛЬЗОВАНИЯ ЗЕМЕЛЬНЫХ УЧАСТКОВ</w:t>
            </w:r>
            <w:r/>
          </w:p>
        </w:tc>
        <w:tc>
          <w:tcPr>
            <w:tcW w:w="4536" w:type="dxa"/>
            <w:textDirection w:val="lrTb"/>
            <w:noWrap/>
          </w:tcPr>
          <w:p>
            <w:pPr>
              <w:ind w:left="142" w:right="117"/>
              <w:jc w:val="center"/>
              <w:tabs>
                <w:tab w:val="left" w:pos="2520" w:leader="none"/>
              </w:tabs>
            </w:pPr>
            <w:r>
              <w:rPr>
                <w:b/>
              </w:rPr>
              <w:t xml:space="preserve">ВИДЫ ОБЪЕКТОВ КАПИТАЛЬНОГО СТРОИТЕЛЬСТВА</w:t>
            </w:r>
            <w:r/>
          </w:p>
        </w:tc>
        <w:tc>
          <w:tcPr>
            <w:tcW w:w="3642" w:type="dxa"/>
            <w:textDirection w:val="lrTb"/>
            <w:noWrap/>
          </w:tcPr>
          <w:p>
            <w:pPr>
              <w:ind w:left="142" w:right="117"/>
              <w:jc w:val="center"/>
              <w:tabs>
                <w:tab w:val="left" w:pos="2520" w:leader="none"/>
              </w:tabs>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W w:w="3969" w:type="dxa"/>
            <w:textDirection w:val="lrTb"/>
            <w:noWrap/>
          </w:tcPr>
          <w:p>
            <w:pPr>
              <w:ind w:left="105" w:right="142"/>
              <w:jc w:val="center"/>
              <w:tabs>
                <w:tab w:val="left" w:pos="3071" w:leader="none"/>
              </w:tabs>
            </w:pPr>
            <w:r>
              <w:rPr>
                <w:b/>
              </w:rPr>
              <w:t xml:space="preserve">ОСОБЫЕ УСЛОВИЯ РЕАЛИЗАЦИИ РЕГЛАМЕНТА</w:t>
            </w:r>
            <w:r/>
          </w:p>
        </w:tc>
      </w:tr>
      <w:tr>
        <w:trPr>
          <w:trHeight w:val="2176"/>
        </w:trPr>
        <w:tc>
          <w:tcPr>
            <w:tcW w:w="3129" w:type="dxa"/>
            <w:textDirection w:val="lrTb"/>
            <w:noWrap/>
          </w:tcPr>
          <w:p>
            <w:r>
              <w:t xml:space="preserve">[6.6] Строительная промышленность</w:t>
            </w:r>
            <w:r/>
          </w:p>
        </w:tc>
        <w:tc>
          <w:tcPr>
            <w:tcW w:w="4536" w:type="dxa"/>
            <w:textDirection w:val="lrTb"/>
            <w:noWrap/>
          </w:tcPr>
          <w:p>
            <w:pPr>
              <w:ind w:left="132" w:right="132" w:firstLine="283"/>
              <w:jc w:val="both"/>
            </w:pPr>
            <w:r>
              <w:t xml:space="preserve">Размещение объектов капитального строительства, предназначенных для про</w:t>
            </w:r>
            <w:r>
              <w:t xml:space="preserve">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r/>
          </w:p>
        </w:tc>
        <w:tc>
          <w:tcPr>
            <w:tcW w:w="3642" w:type="dxa"/>
            <w:textDirection w:val="lrTb"/>
            <w:noWrap/>
          </w:tcPr>
          <w:p>
            <w:pPr>
              <w:ind w:left="132" w:right="131" w:hanging="2"/>
              <w:jc w:val="both"/>
            </w:pPr>
            <w:r>
              <w:t xml:space="preserve">Минимальная/максимальная площадь земельных участков 500-50000 кв. м;</w:t>
            </w:r>
            <w:r/>
          </w:p>
          <w:p>
            <w:pPr>
              <w:ind w:left="132" w:right="131" w:hanging="2"/>
              <w:jc w:val="both"/>
            </w:pPr>
            <w:r>
              <w:t xml:space="preserve">максимальный процент застройки в границах земельного участка – 75%;</w:t>
            </w:r>
            <w:r/>
          </w:p>
          <w:p>
            <w:pPr>
              <w:ind w:left="132" w:right="131" w:hanging="2"/>
              <w:jc w:val="both"/>
            </w:pPr>
            <w:r>
              <w:t xml:space="preserve">максимальная высота зданий, строений, сооружений от уровня земли - 100 м;</w:t>
            </w:r>
            <w:r/>
          </w:p>
          <w:p>
            <w:pPr>
              <w:ind w:left="132" w:right="131" w:hanging="2"/>
              <w:jc w:val="both"/>
            </w:pPr>
            <w:r>
              <w:t xml:space="preserve">минимальные отступы от красной линии – 5 м; от иных границ – 3 м. </w:t>
            </w:r>
            <w:r/>
          </w:p>
        </w:tc>
        <w:tc>
          <w:tcPr>
            <w:tcW w:w="3969" w:type="dxa"/>
            <w:vMerge w:val="restart"/>
            <w:textDirection w:val="lrTb"/>
            <w:noWrap/>
          </w:tcPr>
          <w:p>
            <w:pPr>
              <w:ind w:right="65" w:firstLine="142"/>
              <w:jc w:val="both"/>
              <w:tabs>
                <w:tab w:val="left" w:pos="2761" w:leader="none"/>
                <w:tab w:val="left" w:pos="3071" w:leader="none"/>
              </w:tabs>
              <w:rPr>
                <w:shd w:val="clear" w:color="auto" w:fill="ffffff"/>
              </w:rPr>
            </w:pPr>
            <w:r>
              <w:rPr>
                <w:shd w:val="clear" w:color="auto" w:fill="ffffff"/>
              </w:rPr>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21 настоящих Правил.</w:t>
            </w:r>
            <w:r/>
          </w:p>
          <w:p>
            <w:pPr>
              <w:ind w:right="65" w:firstLine="142"/>
              <w:jc w:val="both"/>
              <w:tabs>
                <w:tab w:val="left" w:pos="2761" w:leader="none"/>
                <w:tab w:val="left" w:pos="3071" w:leader="none"/>
              </w:tabs>
            </w:pPr>
            <w:r/>
            <w:r/>
          </w:p>
          <w:p>
            <w:pPr>
              <w:ind w:right="65" w:firstLine="142"/>
              <w:jc w:val="both"/>
              <w:tabs>
                <w:tab w:val="left" w:pos="2761" w:leader="none"/>
                <w:tab w:val="left" w:pos="3071" w:leader="none"/>
              </w:tabs>
            </w:pPr>
            <w: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r/>
          </w:p>
          <w:p>
            <w:pPr>
              <w:ind w:right="65" w:firstLine="142"/>
              <w:jc w:val="both"/>
              <w:widowControl/>
              <w:tabs>
                <w:tab w:val="left" w:pos="2761" w:leader="none"/>
              </w:tabs>
              <w:rPr>
                <w:lang w:eastAsia="ru-RU"/>
              </w:rPr>
            </w:pPr>
            <w:r>
              <w:rPr>
                <w:lang w:eastAsia="ru-RU"/>
              </w:rPr>
              <w:t xml:space="preserve">Допускает</w:t>
            </w:r>
            <w:r>
              <w:rPr>
                <w:lang w:eastAsia="ru-RU"/>
              </w:rPr>
              <w:t xml:space="preserve">ся блокировка зданий, строений и сооружений, расположенных на смежных земельных участках, по письменному согласию правообладателей смежных земельных участков и (или) объектов капитального строительства, подпись которых должна быть удостоверена нотариально;</w:t>
            </w:r>
            <w:r/>
          </w:p>
          <w:p>
            <w:pPr>
              <w:ind w:right="65" w:firstLine="142"/>
              <w:jc w:val="both"/>
              <w:widowControl/>
              <w:tabs>
                <w:tab w:val="left" w:pos="2761" w:leader="none"/>
              </w:tabs>
              <w:rPr>
                <w:lang w:eastAsia="ru-RU"/>
              </w:rPr>
            </w:pPr>
            <w:r>
              <w:rPr>
                <w:lang w:eastAsia="ru-RU"/>
              </w:rPr>
              <w:t xml:space="preserve">поднятие уровня земельного участка путем отсыпки грунта при наличии письменного согласия правообладателей смежных земельных участков, подпись которых должна быть удостоверена нотариально.</w:t>
            </w:r>
            <w:r/>
          </w:p>
          <w:p>
            <w:pPr>
              <w:ind w:right="207" w:firstLine="142"/>
              <w:jc w:val="both"/>
              <w:tabs>
                <w:tab w:val="left" w:pos="2761" w:leader="none"/>
                <w:tab w:val="left" w:pos="3071" w:leader="none"/>
              </w:tabs>
            </w:pPr>
            <w:r/>
            <w:r/>
          </w:p>
          <w:p>
            <w:pPr>
              <w:ind w:right="207" w:firstLine="142"/>
              <w:jc w:val="both"/>
              <w:tabs>
                <w:tab w:val="left" w:pos="2761" w:leader="none"/>
                <w:tab w:val="left" w:pos="3071" w:leader="none"/>
              </w:tabs>
              <w:rPr>
                <w:rFonts w:eastAsia="SimSun"/>
                <w:lang w:eastAsia="zh-CN" w:bidi="ru-RU"/>
              </w:rPr>
            </w:pPr>
            <w:r>
              <w:rPr>
                <w:rFonts w:eastAsia="SimSun"/>
                <w:lang w:eastAsia="zh-CN" w:bidi="ru-RU"/>
              </w:rPr>
              <w:t xml:space="preserve">Наземные стоянки и парковки для обеспечения планируемых к </w:t>
            </w:r>
            <w:r>
              <w:rPr>
                <w:rFonts w:eastAsia="SimSun"/>
                <w:lang w:eastAsia="zh-CN" w:bidi="ru-RU"/>
              </w:rPr>
              <w:t xml:space="preserve">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r/>
          </w:p>
          <w:p>
            <w:pPr>
              <w:ind w:right="207" w:firstLine="142"/>
              <w:jc w:val="both"/>
              <w:tabs>
                <w:tab w:val="left" w:pos="2761" w:leader="none"/>
                <w:tab w:val="left" w:pos="3071" w:leader="none"/>
              </w:tabs>
              <w:rPr>
                <w:rFonts w:eastAsia="SimSun"/>
                <w:lang w:eastAsia="zh-CN" w:bidi="ru-RU"/>
              </w:rPr>
            </w:pPr>
            <w:r>
              <w:rPr>
                <w:rFonts w:eastAsia="SimSun"/>
                <w:lang w:eastAsia="zh-CN" w:bidi="ru-RU"/>
              </w:rPr>
            </w:r>
            <w:r/>
          </w:p>
          <w:p>
            <w:pPr>
              <w:ind w:right="207" w:firstLine="142"/>
              <w:jc w:val="both"/>
              <w:tabs>
                <w:tab w:val="left" w:pos="2761" w:leader="none"/>
                <w:tab w:val="left" w:pos="3071" w:leader="none"/>
              </w:tabs>
            </w:pPr>
            <w: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r/>
          </w:p>
          <w:p>
            <w:pPr>
              <w:ind w:right="207" w:firstLine="142"/>
              <w:jc w:val="both"/>
              <w:widowControl/>
              <w:tabs>
                <w:tab w:val="left" w:pos="2761" w:leader="none"/>
              </w:tabs>
              <w:rPr>
                <w:lang w:eastAsia="ru-RU"/>
              </w:rPr>
            </w:pPr>
            <w:r>
              <w:rPr>
                <w:lang w:eastAsia="ru-RU"/>
              </w:rPr>
            </w:r>
            <w:r/>
          </w:p>
          <w:p>
            <w:pPr>
              <w:ind w:right="207" w:firstLine="142"/>
              <w:jc w:val="both"/>
              <w:widowControl/>
              <w:tabs>
                <w:tab w:val="left" w:pos="2761" w:leader="none"/>
              </w:tabs>
              <w:rPr>
                <w:lang w:eastAsia="ru-RU"/>
              </w:rPr>
            </w:pPr>
            <w:r>
              <w:rPr>
                <w:lang w:eastAsia="ru-RU"/>
              </w:rPr>
              <w:t xml:space="preserve">Объекты по оказанию услуг и обслуживанию населения допускается размещать в отдельно стоящих, встроенных или пристроенных строениях с изолированными от жилых зданий или их частей входами с учетом следующих условий:</w:t>
            </w:r>
            <w:r/>
          </w:p>
          <w:p>
            <w:pPr>
              <w:ind w:right="207" w:firstLine="142"/>
              <w:jc w:val="both"/>
              <w:widowControl/>
              <w:tabs>
                <w:tab w:val="left" w:pos="2761" w:leader="none"/>
              </w:tabs>
              <w:rPr>
                <w:lang w:eastAsia="ru-RU"/>
              </w:rPr>
            </w:pPr>
            <w:r>
              <w:rPr>
                <w:lang w:eastAsia="ru-RU"/>
              </w:rPr>
              <w:t xml:space="preserve">обустройство входа с созданием условий для беспрепятственного доступа маломобильных граждан к месту получения услуги (обслуживания);</w:t>
            </w:r>
            <w:r/>
          </w:p>
          <w:p>
            <w:pPr>
              <w:ind w:right="207" w:firstLine="142"/>
              <w:widowControl/>
              <w:tabs>
                <w:tab w:val="left" w:pos="2761" w:leader="none"/>
              </w:tabs>
              <w:rPr>
                <w:lang w:eastAsia="ru-RU"/>
              </w:rPr>
            </w:pPr>
            <w:r>
              <w:rPr>
                <w:lang w:eastAsia="ru-RU"/>
              </w:rPr>
              <w:t xml:space="preserve">оборудование площадок для стоянки автомобилей посетителей;</w:t>
            </w:r>
            <w:r/>
          </w:p>
          <w:p>
            <w:pPr>
              <w:ind w:right="207" w:firstLine="142"/>
              <w:jc w:val="both"/>
              <w:widowControl/>
              <w:tabs>
                <w:tab w:val="left" w:pos="416" w:leader="none"/>
                <w:tab w:val="left" w:pos="1266" w:leader="none"/>
                <w:tab w:val="left" w:pos="2761" w:leader="none"/>
              </w:tabs>
              <w:rPr>
                <w:lang w:eastAsia="ru-RU"/>
              </w:rPr>
            </w:pPr>
            <w:r>
              <w:rPr>
                <w:lang w:eastAsia="ru-RU"/>
              </w:rPr>
              <w:t xml:space="preserve">соблюдение норм благоустройства, установленных соответствующими муниципальными правовыми актами.</w:t>
            </w:r>
            <w:r/>
          </w:p>
          <w:p>
            <w:pPr>
              <w:ind w:right="207" w:firstLine="142"/>
              <w:jc w:val="both"/>
              <w:widowControl/>
              <w:tabs>
                <w:tab w:val="left" w:pos="416" w:leader="none"/>
                <w:tab w:val="left" w:pos="1266" w:leader="none"/>
                <w:tab w:val="left" w:pos="2761" w:leader="none"/>
              </w:tabs>
              <w:rPr>
                <w:lang w:eastAsia="ru-RU"/>
              </w:rPr>
            </w:pPr>
            <w:r>
              <w:rPr>
                <w:lang w:eastAsia="ru-RU"/>
              </w:rPr>
            </w:r>
            <w:r/>
          </w:p>
          <w:p>
            <w:pPr>
              <w:ind w:right="207" w:firstLine="142"/>
              <w:jc w:val="both"/>
              <w:tabs>
                <w:tab w:val="left" w:pos="2761" w:leader="none"/>
              </w:tabs>
              <w:rPr>
                <w:rFonts w:eastAsia="Calibri"/>
              </w:rPr>
            </w:pPr>
            <w:r>
              <w:rPr>
                <w:rFonts w:eastAsia="Calibri"/>
              </w:rPr>
              <w:t xml:space="preserve">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r/>
          </w:p>
          <w:p>
            <w:pPr>
              <w:ind w:right="207" w:firstLine="142"/>
              <w:jc w:val="both"/>
              <w:tabs>
                <w:tab w:val="left" w:pos="2761" w:leader="none"/>
              </w:tabs>
              <w:rPr>
                <w:rFonts w:eastAsia="Calibri"/>
              </w:rPr>
            </w:pPr>
            <w:r>
              <w:rPr>
                <w:lang w:eastAsia="ru-RU"/>
              </w:rPr>
              <w:t xml:space="preserve">Расчетное количество машино-мест (парковочных мест) на автостоянках для парковки автомобилей в границах отведенного земельного участка для объектов общественного назначения следует принимать в значениях, указанных в части 8 статьи 21 настоящих Правил.</w:t>
            </w:r>
            <w:r/>
          </w:p>
          <w:p>
            <w:pPr>
              <w:ind w:right="207" w:firstLine="142"/>
              <w:jc w:val="both"/>
              <w:tabs>
                <w:tab w:val="left" w:pos="2761" w:leader="none"/>
              </w:tabs>
              <w:rPr>
                <w:rFonts w:eastAsia="Calibri"/>
              </w:rPr>
            </w:pPr>
            <w:r>
              <w:rPr>
                <w:rFonts w:eastAsia="Calibri"/>
              </w:rPr>
            </w:r>
            <w:r/>
          </w:p>
          <w:p>
            <w:pPr>
              <w:ind w:right="207" w:firstLine="142"/>
              <w:jc w:val="both"/>
              <w:tabs>
                <w:tab w:val="left" w:pos="2761" w:leader="none"/>
              </w:tabs>
              <w:rPr>
                <w:rFonts w:eastAsia="Calibri"/>
              </w:rPr>
            </w:pPr>
            <w:r>
              <w:rPr>
                <w:rFonts w:eastAsia="Calibri"/>
              </w:rPr>
              <w:t xml:space="preserve">Допус</w:t>
            </w:r>
            <w:r>
              <w:rPr>
                <w:rFonts w:eastAsia="Calibri"/>
              </w:rPr>
              <w:t xml:space="preserve">кается размещение парковок на землях общего пользования при наличии таких парковок с необходимым количеством парковочных мест по письменному согласованию с органами местного самоуправления сельского поселения в соответствии с действующим законодательством.</w:t>
            </w:r>
            <w:r/>
          </w:p>
          <w:p>
            <w:pPr>
              <w:ind w:right="207" w:firstLine="142"/>
              <w:jc w:val="both"/>
              <w:tabs>
                <w:tab w:val="left" w:pos="2761" w:leader="none"/>
              </w:tabs>
              <w:rPr>
                <w:rFonts w:eastAsia="Calibri"/>
              </w:rPr>
            </w:pPr>
            <w:r>
              <w:rPr>
                <w:rFonts w:eastAsia="Calibri"/>
              </w:rPr>
            </w:r>
            <w:r/>
          </w:p>
          <w:p>
            <w:pPr>
              <w:ind w:right="207" w:firstLine="142"/>
              <w:jc w:val="both"/>
              <w:tabs>
                <w:tab w:val="left" w:pos="2761" w:leader="none"/>
              </w:tabs>
              <w:rPr>
                <w:shd w:val="clear" w:color="auto" w:fill="ffffff"/>
              </w:rPr>
            </w:pPr>
            <w:r>
              <w:rPr>
                <w:rFonts w:eastAsia="Calibri"/>
              </w:rPr>
              <w:t xml:space="preserve">При отсутствии в материалах проектной документации расчета СЗЗ, СЗЗ принимать в соответствии с СанПиН</w:t>
            </w:r>
            <w:r>
              <w:rPr>
                <w:shd w:val="clear" w:color="auto" w:fill="ffffff"/>
              </w:rPr>
              <w:t xml:space="preserve">2.2.1/2.1.1.1200-03"</w:t>
            </w:r>
            <w:r>
              <w:rPr>
                <w:bCs/>
                <w:shd w:val="clear" w:color="auto" w:fill="ffffff"/>
              </w:rPr>
              <w:t xml:space="preserve">Санитарно-защитные</w:t>
            </w:r>
            <w:r>
              <w:rPr>
                <w:shd w:val="clear" w:color="auto" w:fill="ffffff"/>
              </w:rPr>
              <w:t xml:space="preserve"> </w:t>
            </w:r>
            <w:r>
              <w:rPr>
                <w:bCs/>
                <w:shd w:val="clear" w:color="auto" w:fill="ffffff"/>
              </w:rPr>
              <w:t xml:space="preserve">зоны</w:t>
            </w:r>
            <w:r>
              <w:rPr>
                <w:shd w:val="clear" w:color="auto" w:fill="ffffff"/>
              </w:rPr>
              <w:t xml:space="preserve"> и </w:t>
            </w:r>
            <w:r>
              <w:rPr>
                <w:bCs/>
                <w:shd w:val="clear" w:color="auto" w:fill="ffffff"/>
              </w:rPr>
              <w:t xml:space="preserve">санитарная</w:t>
            </w:r>
            <w:r>
              <w:rPr>
                <w:shd w:val="clear" w:color="auto" w:fill="ffffff"/>
              </w:rPr>
              <w:t xml:space="preserve"> </w:t>
            </w:r>
            <w:r>
              <w:rPr>
                <w:bCs/>
                <w:shd w:val="clear" w:color="auto" w:fill="ffffff"/>
              </w:rPr>
              <w:t xml:space="preserve">классификация</w:t>
            </w:r>
            <w:r>
              <w:rPr>
                <w:shd w:val="clear" w:color="auto" w:fill="ffffff"/>
              </w:rPr>
              <w:t xml:space="preserve"> </w:t>
            </w:r>
            <w:r>
              <w:rPr>
                <w:bCs/>
                <w:shd w:val="clear" w:color="auto" w:fill="ffffff"/>
              </w:rPr>
              <w:t xml:space="preserve">предприятий</w:t>
            </w:r>
            <w:r>
              <w:rPr>
                <w:shd w:val="clear" w:color="auto" w:fill="ffffff"/>
              </w:rPr>
              <w:t xml:space="preserve">, </w:t>
            </w:r>
            <w:r>
              <w:rPr>
                <w:bCs/>
                <w:shd w:val="clear" w:color="auto" w:fill="ffffff"/>
              </w:rPr>
              <w:t xml:space="preserve">сооружений</w:t>
            </w:r>
            <w:r>
              <w:rPr>
                <w:shd w:val="clear" w:color="auto" w:fill="ffffff"/>
              </w:rPr>
              <w:t xml:space="preserve"> и иных объектов".</w:t>
            </w:r>
            <w:r/>
          </w:p>
          <w:p>
            <w:pPr>
              <w:ind w:right="207" w:firstLine="142"/>
              <w:jc w:val="both"/>
              <w:tabs>
                <w:tab w:val="left" w:pos="2761" w:leader="none"/>
                <w:tab w:val="left" w:pos="3071" w:leader="none"/>
              </w:tabs>
              <w:rPr>
                <w:rFonts w:eastAsia="SimSun"/>
                <w:lang w:eastAsia="zh-CN" w:bidi="ru-RU"/>
              </w:rPr>
            </w:pPr>
            <w:r>
              <w:rPr>
                <w:rFonts w:eastAsia="SimSun"/>
                <w:lang w:eastAsia="zh-CN" w:bidi="ru-RU"/>
              </w:rPr>
            </w:r>
            <w:r/>
          </w:p>
          <w:p>
            <w:pPr>
              <w:ind w:right="207" w:firstLine="142"/>
              <w:jc w:val="both"/>
              <w:tabs>
                <w:tab w:val="left" w:pos="2761" w:leader="none"/>
              </w:tabs>
              <w:rPr>
                <w:rFonts w:eastAsia="Calibri"/>
              </w:rPr>
            </w:pPr>
            <w:r>
              <w:rPr>
                <w:shd w:val="clear" w:color="auto" w:fill="ffffff"/>
              </w:rPr>
              <w:t xml:space="preserve">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w:t>
            </w:r>
            <w:r/>
          </w:p>
          <w:p>
            <w:pPr>
              <w:ind w:right="207" w:firstLine="142"/>
              <w:jc w:val="both"/>
              <w:tabs>
                <w:tab w:val="left" w:pos="2761" w:leader="none"/>
              </w:tabs>
              <w:rPr>
                <w:rFonts w:cs="Arial"/>
                <w:lang w:eastAsia="ru-RU"/>
              </w:rPr>
            </w:pPr>
            <w:r>
              <w:rPr>
                <w:rFonts w:cs="Arial"/>
                <w:lang w:eastAsia="ru-RU"/>
              </w:rPr>
              <w:t xml:space="preserve">Режимы использования земель и требования к градостроительным регламентам в границах зон охраны объекта культурного наследия не применяются к правоотношениям, связанны</w:t>
            </w:r>
            <w:r>
              <w:rPr>
                <w:rFonts w:cs="Arial"/>
                <w:lang w:eastAsia="ru-RU"/>
              </w:rPr>
              <w:t xml:space="preserve">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 до вступления в силу правового акта об утверждении зон охраны объекта культурного наследия.</w:t>
            </w:r>
            <w:r/>
          </w:p>
          <w:p>
            <w:pPr>
              <w:ind w:right="207" w:firstLine="142"/>
              <w:jc w:val="both"/>
              <w:tabs>
                <w:tab w:val="left" w:pos="2761" w:leader="none"/>
              </w:tabs>
              <w:rPr>
                <w:rFonts w:cs="Arial"/>
                <w:lang w:eastAsia="ru-RU"/>
              </w:rPr>
            </w:pPr>
            <w:r>
              <w:rPr>
                <w:rFonts w:cs="Arial"/>
                <w:lang w:eastAsia="ru-RU"/>
              </w:rPr>
              <w:t xml:space="preserve">Реконструкция объектов капитального строительства и их частей может осуществляться только путем приведения таких объектов в </w:t>
            </w:r>
            <w:r>
              <w:rPr>
                <w:rFonts w:cs="Arial"/>
                <w:lang w:eastAsia="ru-RU"/>
              </w:rPr>
              <w:t xml:space="preserve">соответствие с режимами использования земель и градостроительными регламентами, установленными в границах зон охраны объекта культурного наследия, или путем уменьшения их несоответствия установленным предельным параметрам разрешенного строительства.</w:t>
            </w:r>
            <w:r/>
          </w:p>
          <w:p>
            <w:pPr>
              <w:ind w:right="207" w:firstLine="142"/>
              <w:jc w:val="both"/>
              <w:tabs>
                <w:tab w:val="left" w:pos="2761" w:leader="none"/>
              </w:tabs>
              <w:rPr>
                <w:rFonts w:cs="Arial"/>
                <w:lang w:eastAsia="ru-RU"/>
              </w:rPr>
            </w:pPr>
            <w:r>
              <w:rPr>
                <w:rFonts w:cs="Arial"/>
                <w:lang w:eastAsia="ru-RU"/>
              </w:rPr>
              <w:t xml:space="preserve">На территориях общего пользования не разрешается возведение объектов капитального с</w:t>
            </w:r>
            <w:r>
              <w:rPr>
                <w:rFonts w:cs="Arial"/>
                <w:lang w:eastAsia="ru-RU"/>
              </w:rPr>
              <w:t xml:space="preserve">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r/>
          </w:p>
          <w:p>
            <w:pPr>
              <w:ind w:right="207" w:firstLine="142"/>
              <w:jc w:val="both"/>
              <w:tabs>
                <w:tab w:val="left" w:pos="2761" w:leader="none"/>
              </w:tabs>
            </w:pPr>
            <w:r>
              <w:rPr>
                <w:rFonts w:cs="Arial"/>
                <w:lang w:eastAsia="ru-RU"/>
              </w:rPr>
              <w:t xml:space="preserve">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r/>
          </w:p>
          <w:p>
            <w:pPr>
              <w:ind w:left="118" w:right="165"/>
              <w:jc w:val="both"/>
            </w:pPr>
            <w:r/>
            <w:r/>
          </w:p>
        </w:tc>
      </w:tr>
      <w:tr>
        <w:trPr>
          <w:trHeight w:val="1780"/>
        </w:trPr>
        <w:tc>
          <w:tcPr>
            <w:tcBorders>
              <w:top w:val="single" w:color="000000" w:sz="4" w:space="0"/>
            </w:tcBorders>
            <w:tcW w:w="3129" w:type="dxa"/>
            <w:textDirection w:val="lrTb"/>
            <w:noWrap/>
          </w:tcPr>
          <w:p>
            <w:pPr>
              <w:ind w:left="156"/>
            </w:pPr>
            <w:r>
              <w:t xml:space="preserve">[4.9.1.3]  Автомобильные мойки</w:t>
            </w:r>
            <w:r/>
          </w:p>
        </w:tc>
        <w:tc>
          <w:tcPr>
            <w:tcBorders>
              <w:top w:val="single" w:color="000000" w:sz="4" w:space="0"/>
            </w:tcBorders>
            <w:tcW w:w="4536" w:type="dxa"/>
            <w:textDirection w:val="lrTb"/>
            <w:noWrap/>
          </w:tcPr>
          <w:p>
            <w:pPr>
              <w:ind w:left="122" w:right="132" w:firstLine="10"/>
              <w:jc w:val="both"/>
              <w:widowControl/>
            </w:pPr>
            <w:r>
              <w:t xml:space="preserve">Размещение автомобильных моек, а также размещение магазинов сопутствующей торговли</w:t>
            </w:r>
            <w:r/>
          </w:p>
        </w:tc>
        <w:tc>
          <w:tcPr>
            <w:tcBorders>
              <w:top w:val="single" w:color="000000" w:sz="4" w:space="0"/>
            </w:tcBorders>
            <w:tcW w:w="3642" w:type="dxa"/>
            <w:textDirection w:val="lrTb"/>
            <w:noWrap/>
          </w:tcPr>
          <w:p>
            <w:pPr>
              <w:ind w:left="132" w:right="131"/>
              <w:jc w:val="both"/>
            </w:pPr>
            <w:r>
              <w:t xml:space="preserve">Минимальная/максимальная площадь земельных участков – 300/5000 кв. м;</w:t>
            </w:r>
            <w:r/>
          </w:p>
          <w:p>
            <w:pPr>
              <w:ind w:left="132" w:right="131"/>
              <w:jc w:val="both"/>
            </w:pPr>
            <w:r>
              <w:t xml:space="preserve">максимальный процент застройки в границах земельного участка –50%;</w:t>
            </w:r>
            <w:r/>
          </w:p>
          <w:p>
            <w:pPr>
              <w:ind w:left="132" w:right="131"/>
              <w:jc w:val="both"/>
            </w:pPr>
            <w:r>
              <w:t xml:space="preserve">максимальная высота зданий, строений, сооружений от уровня земли – 12 м;</w:t>
            </w:r>
            <w:r/>
          </w:p>
          <w:p>
            <w:pPr>
              <w:ind w:left="132" w:right="131"/>
              <w:jc w:val="both"/>
            </w:pPr>
            <w:r>
              <w:t xml:space="preserve">минимальные отступы от красной линии – 5 м; от иных границ – 3 м.</w:t>
            </w:r>
            <w:r/>
          </w:p>
        </w:tc>
        <w:tc>
          <w:tcPr>
            <w:tcW w:w="3969" w:type="dxa"/>
            <w:vMerge w:val="continue"/>
            <w:textDirection w:val="lrTb"/>
            <w:noWrap/>
          </w:tcPr>
          <w:p>
            <w:pPr>
              <w:ind w:right="142" w:firstLine="567"/>
              <w:jc w:val="center"/>
              <w:tabs>
                <w:tab w:val="left" w:pos="3071" w:leader="none"/>
              </w:tabs>
            </w:pPr>
            <w:r/>
            <w:r/>
          </w:p>
        </w:tc>
      </w:tr>
      <w:tr>
        <w:trPr>
          <w:trHeight w:val="23"/>
        </w:trPr>
        <w:tc>
          <w:tcPr>
            <w:tcW w:w="3129" w:type="dxa"/>
            <w:textDirection w:val="lrTb"/>
            <w:noWrap/>
          </w:tcPr>
          <w:p>
            <w:pPr>
              <w:ind w:left="156"/>
            </w:pPr>
            <w:r>
              <w:t xml:space="preserve">[4.9.1.4]  Ремонт автомобилей</w:t>
            </w:r>
            <w:r/>
          </w:p>
        </w:tc>
        <w:tc>
          <w:tcPr>
            <w:tcW w:w="4536" w:type="dxa"/>
            <w:textDirection w:val="lrTb"/>
            <w:noWrap/>
          </w:tcPr>
          <w:p>
            <w:pPr>
              <w:ind w:left="122" w:right="132" w:firstLine="10"/>
              <w:jc w:val="both"/>
              <w:widowControl/>
            </w:pPr>
            <w:r>
              <w:t xml:space="preserve">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r/>
          </w:p>
        </w:tc>
        <w:tc>
          <w:tcPr>
            <w:tcW w:w="3642" w:type="dxa"/>
            <w:textDirection w:val="lrTb"/>
            <w:noWrap/>
          </w:tcPr>
          <w:p>
            <w:pPr>
              <w:ind w:left="132" w:right="131"/>
              <w:jc w:val="both"/>
            </w:pPr>
            <w:r>
              <w:t xml:space="preserve">Минимальная/максимальная площадь земельных участков – 300/5000 кв. м;</w:t>
            </w:r>
            <w:r/>
          </w:p>
          <w:p>
            <w:pPr>
              <w:ind w:left="132" w:right="131"/>
              <w:jc w:val="both"/>
            </w:pPr>
            <w:r>
              <w:t xml:space="preserve">максимальный процент застройки в границах земельного участка –50%;</w:t>
            </w:r>
            <w:r/>
          </w:p>
          <w:p>
            <w:pPr>
              <w:ind w:left="132" w:right="131"/>
              <w:jc w:val="both"/>
            </w:pPr>
            <w:r>
              <w:t xml:space="preserve">максимальная высота зданий, строений, сооружений от уровня земли - 12 м;</w:t>
            </w:r>
            <w:r/>
          </w:p>
          <w:p>
            <w:pPr>
              <w:ind w:left="132" w:right="131"/>
              <w:jc w:val="both"/>
            </w:pPr>
            <w:r>
              <w:t xml:space="preserve">от иных границ – 3 м.</w:t>
            </w:r>
            <w:r/>
          </w:p>
        </w:tc>
        <w:tc>
          <w:tcPr>
            <w:tcW w:w="3969" w:type="dxa"/>
            <w:vMerge w:val="continue"/>
            <w:textDirection w:val="lrTb"/>
            <w:noWrap/>
          </w:tcPr>
          <w:p>
            <w:pPr>
              <w:ind w:right="142" w:firstLine="567"/>
              <w:jc w:val="center"/>
              <w:tabs>
                <w:tab w:val="left" w:pos="3071" w:leader="none"/>
              </w:tabs>
            </w:pPr>
            <w:r/>
            <w:r/>
          </w:p>
        </w:tc>
      </w:tr>
      <w:tr>
        <w:trPr>
          <w:trHeight w:val="23"/>
        </w:trPr>
        <w:tc>
          <w:tcPr>
            <w:tcW w:w="3129" w:type="dxa"/>
            <w:textDirection w:val="lrTb"/>
            <w:noWrap/>
          </w:tcPr>
          <w:p>
            <w:pPr>
              <w:ind w:left="161"/>
            </w:pPr>
            <w:r>
              <w:t xml:space="preserve">[6.9] Склад</w:t>
            </w:r>
            <w:r/>
          </w:p>
        </w:tc>
        <w:tc>
          <w:tcPr>
            <w:tcW w:w="4536" w:type="dxa"/>
            <w:textDirection w:val="lrTb"/>
            <w:noWrap/>
          </w:tcPr>
          <w:p>
            <w:pPr>
              <w:ind w:left="132" w:right="132" w:firstLine="1"/>
              <w:jc w:val="both"/>
            </w:pPr>
            <w: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w:t>
            </w:r>
            <w:r>
              <w:t xml:space="preserve">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r/>
          </w:p>
        </w:tc>
        <w:tc>
          <w:tcPr>
            <w:tcW w:w="3642" w:type="dxa"/>
            <w:textDirection w:val="lrTb"/>
            <w:noWrap/>
          </w:tcPr>
          <w:p>
            <w:pPr>
              <w:ind w:left="132" w:right="131" w:hanging="2"/>
              <w:jc w:val="both"/>
            </w:pPr>
            <w:r>
              <w:t xml:space="preserve">Минимальная/максимальная площадь земельных участков 1000/50000 кв. м;</w:t>
            </w:r>
            <w:r/>
          </w:p>
          <w:p>
            <w:pPr>
              <w:ind w:left="132" w:right="131" w:hanging="2"/>
              <w:jc w:val="both"/>
            </w:pPr>
            <w:r>
              <w:t xml:space="preserve">максимальный процент застройки в границах земельного участка – 75%;</w:t>
            </w:r>
            <w:r/>
          </w:p>
          <w:p>
            <w:pPr>
              <w:ind w:left="132" w:right="131" w:hanging="2"/>
              <w:jc w:val="both"/>
            </w:pPr>
            <w:r>
              <w:t xml:space="preserve">максимальная высота зданий, строений, сооружений от уровня земли - 100 м;</w:t>
            </w:r>
            <w:r/>
          </w:p>
          <w:p>
            <w:pPr>
              <w:ind w:left="132" w:right="131" w:hanging="2"/>
              <w:jc w:val="both"/>
            </w:pPr>
            <w:r>
              <w:t xml:space="preserve">минимальные отступы от красной линии – 5 м; от иных границ – 3 м.  </w:t>
            </w:r>
            <w:r/>
          </w:p>
          <w:p>
            <w:pPr>
              <w:ind w:left="132" w:right="131" w:firstLine="283"/>
              <w:jc w:val="both"/>
            </w:pPr>
            <w:r/>
            <w:r/>
          </w:p>
        </w:tc>
        <w:tc>
          <w:tcPr>
            <w:tcW w:w="3969" w:type="dxa"/>
            <w:vMerge w:val="continue"/>
            <w:textDirection w:val="lrTb"/>
            <w:noWrap/>
          </w:tcPr>
          <w:p>
            <w:pPr>
              <w:ind w:right="142" w:firstLine="567"/>
              <w:jc w:val="center"/>
              <w:tabs>
                <w:tab w:val="left" w:pos="3071" w:leader="none"/>
              </w:tabs>
            </w:pPr>
            <w:r/>
            <w:r/>
          </w:p>
        </w:tc>
      </w:tr>
      <w:tr>
        <w:trPr>
          <w:trHeight w:val="1822"/>
        </w:trPr>
        <w:tc>
          <w:tcPr>
            <w:tcW w:w="3129" w:type="dxa"/>
            <w:textDirection w:val="lrTb"/>
            <w:noWrap/>
          </w:tcPr>
          <w:p>
            <w:pPr>
              <w:ind w:left="161"/>
            </w:pPr>
            <w:r>
              <w:t xml:space="preserve">[6.9.1] Складские площадки</w:t>
            </w:r>
            <w:r/>
          </w:p>
        </w:tc>
        <w:tc>
          <w:tcPr>
            <w:tcW w:w="4536" w:type="dxa"/>
            <w:textDirection w:val="lrTb"/>
            <w:noWrap/>
          </w:tcPr>
          <w:p>
            <w:pPr>
              <w:ind w:left="132" w:right="132" w:firstLine="1"/>
              <w:jc w:val="both"/>
            </w:pPr>
            <w:r>
              <w:t xml:space="preserve">Временное хранение, распределение и перевалка грузов (за исключением хранения стратегических запасов) на открытом воздухе</w:t>
            </w:r>
            <w:r/>
          </w:p>
        </w:tc>
        <w:tc>
          <w:tcPr>
            <w:tcW w:w="3642" w:type="dxa"/>
            <w:textDirection w:val="lrTb"/>
            <w:noWrap/>
          </w:tcPr>
          <w:p>
            <w:pPr>
              <w:ind w:left="132" w:right="131" w:hanging="2"/>
              <w:jc w:val="both"/>
            </w:pPr>
            <w:r>
              <w:t xml:space="preserve">Минимальная/максимальная площадь земельных участков 1000/50000 кв. м;</w:t>
            </w:r>
            <w:r/>
          </w:p>
          <w:p>
            <w:pPr>
              <w:ind w:left="132" w:right="131" w:hanging="2"/>
              <w:jc w:val="both"/>
            </w:pPr>
            <w:r>
              <w:t xml:space="preserve">максимальный процент застройки в границах земельного участка – 75%;</w:t>
            </w:r>
            <w:r/>
          </w:p>
          <w:p>
            <w:pPr>
              <w:ind w:left="132" w:right="131" w:hanging="2"/>
              <w:jc w:val="both"/>
            </w:pPr>
            <w:r>
              <w:t xml:space="preserve">максимальная высота зданий, строений, сооружений от уровня земли - 100 м;</w:t>
            </w:r>
            <w:r/>
          </w:p>
          <w:p>
            <w:pPr>
              <w:ind w:left="132" w:right="131" w:hanging="2"/>
              <w:jc w:val="both"/>
            </w:pPr>
            <w:r>
              <w:t xml:space="preserve">минимальные отступы от красной линии – 5 м; от иных границ – 3 м.</w:t>
            </w:r>
            <w:r/>
          </w:p>
        </w:tc>
        <w:tc>
          <w:tcPr>
            <w:tcW w:w="3969" w:type="dxa"/>
            <w:vMerge w:val="continue"/>
            <w:textDirection w:val="lrTb"/>
            <w:noWrap/>
          </w:tcPr>
          <w:p>
            <w:pPr>
              <w:ind w:right="142" w:firstLine="567"/>
              <w:jc w:val="center"/>
              <w:tabs>
                <w:tab w:val="left" w:pos="3071" w:leader="none"/>
              </w:tabs>
            </w:pPr>
            <w:r/>
            <w:r/>
          </w:p>
        </w:tc>
      </w:tr>
      <w:tr>
        <w:trPr>
          <w:trHeight w:val="1822"/>
        </w:trPr>
        <w:tc>
          <w:tcPr>
            <w:tcW w:w="3129" w:type="dxa"/>
            <w:textDirection w:val="lrTb"/>
            <w:noWrap/>
          </w:tcPr>
          <w:p>
            <w:pPr>
              <w:ind w:left="140"/>
              <w:rPr>
                <w:rFonts w:eastAsia="SimSun"/>
                <w:lang w:eastAsia="zh-CN" w:bidi="ru-RU"/>
              </w:rPr>
            </w:pPr>
            <w:r>
              <w:rPr>
                <w:rFonts w:eastAsia="SimSun"/>
                <w:lang w:eastAsia="zh-CN" w:bidi="ru-RU"/>
              </w:rPr>
              <w:t xml:space="preserve">[</w:t>
            </w:r>
            <w:r>
              <w:rPr>
                <w:lang w:eastAsia="zh-CN" w:bidi="ru-RU"/>
              </w:rPr>
              <w:t xml:space="preserve">3.3</w:t>
            </w:r>
            <w:r>
              <w:rPr>
                <w:rFonts w:eastAsia="SimSun"/>
                <w:lang w:eastAsia="zh-CN" w:bidi="ru-RU"/>
              </w:rPr>
              <w:t xml:space="preserve">] - Бытовое обслуживание</w:t>
            </w:r>
            <w:r/>
          </w:p>
          <w:p>
            <w:pPr>
              <w:ind w:left="140"/>
              <w:rPr>
                <w:rFonts w:eastAsia="SimSun"/>
                <w:lang w:eastAsia="zh-CN" w:bidi="ru-RU"/>
              </w:rPr>
            </w:pPr>
            <w:r>
              <w:rPr>
                <w:rFonts w:eastAsia="SimSun"/>
                <w:lang w:eastAsia="zh-CN" w:bidi="ru-RU"/>
              </w:rPr>
            </w:r>
            <w:r/>
          </w:p>
        </w:tc>
        <w:tc>
          <w:tcPr>
            <w:tcW w:w="4536" w:type="dxa"/>
            <w:textDirection w:val="lrTb"/>
            <w:noWrap/>
          </w:tcPr>
          <w:p>
            <w:pPr>
              <w:ind w:left="131" w:right="132" w:firstLine="146"/>
              <w:jc w:val="both"/>
              <w:rPr>
                <w:rFonts w:eastAsia="SimSun"/>
                <w:lang w:eastAsia="zh-CN" w:bidi="ru-RU"/>
              </w:rPr>
            </w:pPr>
            <w:r>
              <w:rPr>
                <w:lang w:eastAsia="ru-RU" w:bidi="ru-RU"/>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p>
        </w:tc>
        <w:tc>
          <w:tcPr>
            <w:tcW w:w="3642" w:type="dxa"/>
            <w:textDirection w:val="lrTb"/>
            <w:noWrap/>
          </w:tcPr>
          <w:p>
            <w:pPr>
              <w:ind w:left="132" w:right="116"/>
              <w:jc w:val="both"/>
              <w:tabs>
                <w:tab w:val="left" w:pos="3071" w:leader="none"/>
              </w:tabs>
            </w:pPr>
            <w:r>
              <w:t xml:space="preserve">Минимальная/максимальная площадь земельных участков   – 100/1000 кв. м;</w:t>
            </w:r>
            <w:r/>
          </w:p>
          <w:p>
            <w:pPr>
              <w:ind w:left="141" w:right="116"/>
              <w:jc w:val="both"/>
              <w:tabs>
                <w:tab w:val="left" w:pos="3071" w:leader="none"/>
              </w:tabs>
            </w:pPr>
            <w:r>
              <w:t xml:space="preserve">максимальное количество надземных этажей зданий – 2 этажа; </w:t>
            </w:r>
            <w:r/>
          </w:p>
          <w:p>
            <w:pPr>
              <w:ind w:left="160" w:right="116"/>
              <w:jc w:val="both"/>
              <w:tabs>
                <w:tab w:val="left" w:pos="3071" w:leader="none"/>
              </w:tabs>
            </w:pPr>
            <w:r>
              <w:t xml:space="preserve">максимальная высота зданий от уровня земли до верха перекрытия последнего этажа (или конька кровли) - 12 м;</w:t>
            </w:r>
            <w:r/>
          </w:p>
          <w:p>
            <w:pPr>
              <w:jc w:val="both"/>
            </w:pPr>
            <w:r>
              <w:t xml:space="preserve">   максимальный процент застройки – 60%;</w:t>
            </w:r>
            <w:r/>
          </w:p>
          <w:p>
            <w:pPr>
              <w:ind w:left="132" w:right="134"/>
              <w:jc w:val="both"/>
            </w:pPr>
            <w:r>
              <w:t xml:space="preserve">минимальные отступы от красной линии -5 м; </w:t>
            </w:r>
            <w:r/>
          </w:p>
          <w:p>
            <w:pPr>
              <w:ind w:left="132" w:right="134"/>
              <w:jc w:val="both"/>
            </w:pPr>
            <w:r>
              <w:t xml:space="preserve">от иных границ – 3 м;  </w:t>
            </w:r>
            <w:r/>
          </w:p>
          <w:p>
            <w:pPr>
              <w:ind w:left="132" w:right="134"/>
              <w:jc w:val="both"/>
              <w:rPr>
                <w:rFonts w:eastAsia="SimSun"/>
                <w:lang w:eastAsia="zh-CN" w:bidi="ru-RU"/>
              </w:rPr>
            </w:pPr>
            <w:r>
              <w:rPr>
                <w:rFonts w:eastAsia="SimSun"/>
                <w:lang w:eastAsia="zh-CN" w:bidi="ru-RU"/>
              </w:rPr>
              <w:t xml:space="preserve">минимальный процент озеленения земельного участка 10%.</w:t>
            </w:r>
            <w:r/>
          </w:p>
        </w:tc>
        <w:tc>
          <w:tcPr>
            <w:tcW w:w="3969" w:type="dxa"/>
            <w:vMerge w:val="continue"/>
            <w:textDirection w:val="lrTb"/>
            <w:noWrap/>
          </w:tcPr>
          <w:p>
            <w:pPr>
              <w:ind w:right="142" w:firstLine="567"/>
              <w:jc w:val="center"/>
              <w:tabs>
                <w:tab w:val="left" w:pos="3071" w:leader="none"/>
              </w:tabs>
            </w:pPr>
            <w:r/>
            <w:r/>
          </w:p>
        </w:tc>
      </w:tr>
      <w:tr>
        <w:trPr>
          <w:trHeight w:val="23"/>
        </w:trPr>
        <w:tc>
          <w:tcPr>
            <w:tcW w:w="3129" w:type="dxa"/>
            <w:textDirection w:val="lrTb"/>
            <w:noWrap/>
          </w:tcPr>
          <w:p>
            <w:pPr>
              <w:pStyle w:val="1308"/>
              <w:ind w:left="172"/>
              <w:rPr>
                <w:spacing w:val="-4"/>
                <w:sz w:val="20"/>
                <w:lang w:val="ru-RU"/>
              </w:rPr>
            </w:pPr>
            <w:r>
              <w:rPr>
                <w:sz w:val="20"/>
              </w:rPr>
              <w:t xml:space="preserve">[8.3]</w:t>
            </w:r>
            <w:r>
              <w:rPr>
                <w:spacing w:val="-4"/>
                <w:sz w:val="20"/>
              </w:rPr>
              <w:t xml:space="preserve"> </w:t>
            </w:r>
            <w:r/>
          </w:p>
          <w:p>
            <w:pPr>
              <w:pStyle w:val="1308"/>
              <w:ind w:left="172"/>
              <w:jc w:val="both"/>
              <w:rPr>
                <w:sz w:val="20"/>
              </w:rPr>
            </w:pPr>
            <w:r>
              <w:rPr>
                <w:sz w:val="20"/>
                <w:szCs w:val="20"/>
                <w:lang w:val="ru-RU" w:eastAsia="ar-SA"/>
              </w:rPr>
              <w:t xml:space="preserve">Обеспечение внутреннего правопорядка</w:t>
            </w:r>
            <w:r/>
          </w:p>
        </w:tc>
        <w:tc>
          <w:tcPr>
            <w:tcW w:w="4536" w:type="dxa"/>
            <w:textDirection w:val="lrTb"/>
            <w:noWrap/>
          </w:tcPr>
          <w:p>
            <w:pPr>
              <w:pStyle w:val="1308"/>
              <w:ind w:firstLine="175"/>
              <w:jc w:val="both"/>
              <w:rPr>
                <w:sz w:val="20"/>
                <w:lang w:val="ru-RU"/>
              </w:rPr>
            </w:pPr>
            <w:r>
              <w:rPr>
                <w:sz w:val="20"/>
                <w:lang w:val="ru-RU"/>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w:t>
            </w:r>
            <w:r>
              <w:rPr>
                <w:sz w:val="20"/>
                <w:lang w:val="ru-RU"/>
              </w:rPr>
              <w:t xml:space="preserve">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r/>
          </w:p>
        </w:tc>
        <w:tc>
          <w:tcPr>
            <w:tcW w:w="3642" w:type="dxa"/>
            <w:textDirection w:val="lrTb"/>
            <w:noWrap/>
          </w:tcPr>
          <w:p>
            <w:pPr>
              <w:ind w:left="34"/>
              <w:jc w:val="both"/>
            </w:pPr>
            <w:r>
              <w:t xml:space="preserve">Минимальная/максимальная</w:t>
            </w:r>
            <w:r>
              <w:tab/>
              <w:t xml:space="preserve">площадь</w:t>
            </w:r>
            <w:r/>
          </w:p>
          <w:p>
            <w:pPr>
              <w:ind w:left="34"/>
              <w:jc w:val="both"/>
            </w:pPr>
            <w:r>
              <w:t xml:space="preserve">земельных участков –200/15000 кв. м; максимальный процент застройки в </w:t>
            </w:r>
            <w:r>
              <w:t xml:space="preserve">границах земельного участка –60%;</w:t>
            </w:r>
            <w:r/>
          </w:p>
          <w:p>
            <w:pPr>
              <w:ind w:left="34"/>
              <w:jc w:val="both"/>
            </w:pPr>
            <w:r>
              <w:t xml:space="preserve">максимальное количество надземных этажей зданий – 4 этажа;</w:t>
            </w:r>
            <w:r/>
          </w:p>
          <w:p>
            <w:pPr>
              <w:ind w:left="34"/>
              <w:jc w:val="both"/>
            </w:pPr>
            <w:r>
              <w:t xml:space="preserve">максимальная</w:t>
            </w:r>
            <w:r>
              <w:tab/>
              <w:t xml:space="preserve">высота</w:t>
            </w:r>
            <w:r>
              <w:tab/>
              <w:t xml:space="preserve">зданий,</w:t>
            </w:r>
            <w:r>
              <w:tab/>
              <w:t xml:space="preserve">строений, сооружений от уровня земли - 20 м;</w:t>
            </w:r>
            <w:r/>
          </w:p>
          <w:p>
            <w:pPr>
              <w:ind w:left="34"/>
              <w:jc w:val="both"/>
            </w:pPr>
            <w:r>
              <w:t xml:space="preserve">минимальные отступы от красной линии – 5 м; от иных границ – 3 м.</w:t>
            </w:r>
            <w:r/>
          </w:p>
        </w:tc>
        <w:tc>
          <w:tcPr>
            <w:tcW w:w="3969" w:type="dxa"/>
            <w:vMerge w:val="continue"/>
            <w:textDirection w:val="lrTb"/>
            <w:noWrap/>
          </w:tcPr>
          <w:p>
            <w:pPr>
              <w:ind w:right="142" w:firstLine="567"/>
              <w:jc w:val="center"/>
              <w:tabs>
                <w:tab w:val="left" w:pos="3071" w:leader="none"/>
              </w:tabs>
            </w:pPr>
            <w:r/>
            <w:r/>
          </w:p>
        </w:tc>
      </w:tr>
      <w:tr>
        <w:trPr>
          <w:trHeight w:val="23"/>
        </w:trPr>
        <w:tc>
          <w:tcPr>
            <w:tcW w:w="3129" w:type="dxa"/>
            <w:textDirection w:val="lrTb"/>
            <w:noWrap/>
          </w:tcPr>
          <w:p>
            <w:pPr>
              <w:ind w:left="161"/>
            </w:pPr>
            <w:r>
              <w:t xml:space="preserve">[3.1.1.] Предоставление коммунальных услуг</w:t>
            </w:r>
            <w:r/>
          </w:p>
        </w:tc>
        <w:tc>
          <w:tcPr>
            <w:tcW w:w="4536" w:type="dxa"/>
            <w:textDirection w:val="lrTb"/>
            <w:noWrap/>
          </w:tcPr>
          <w:p>
            <w:pPr>
              <w:jc w:val="both"/>
            </w:pPr>
            <w:r>
              <w:t xml:space="preserve"> Размещение зданий и сооружений, обеспечивающих поставку воды, тепла, электричества, газа, отвод канализационных стоков, очистку и уборку объектов н</w:t>
            </w:r>
            <w:r>
              <w:t xml:space="preserve">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w:t>
            </w:r>
            <w:r>
              <w:br/>
              <w:t xml:space="preserve"> и аварийной техники, сооружений, необходимых для сбора и плавки снега)</w:t>
            </w:r>
            <w:r/>
          </w:p>
        </w:tc>
        <w:tc>
          <w:tcPr>
            <w:tcW w:w="3642" w:type="dxa"/>
            <w:textDirection w:val="lrTb"/>
            <w:noWrap/>
          </w:tcPr>
          <w:p>
            <w:pPr>
              <w:ind w:left="132" w:right="134"/>
              <w:jc w:val="both"/>
            </w:pPr>
            <w:r>
              <w:t xml:space="preserve">Минимальная площадь земельных участков - 10 кв. м;</w:t>
            </w:r>
            <w:r/>
          </w:p>
          <w:p>
            <w:pPr>
              <w:ind w:left="132" w:right="134"/>
              <w:jc w:val="both"/>
            </w:pPr>
            <w:r>
              <w:t xml:space="preserve">максимальное количество надземных этажей зданий –1;</w:t>
            </w:r>
            <w:r/>
          </w:p>
          <w:p>
            <w:pPr>
              <w:ind w:left="132" w:right="134"/>
              <w:jc w:val="both"/>
            </w:pPr>
            <w:r>
              <w:t xml:space="preserve">максимальный процент застройки в границах земельного участка – 80%;</w:t>
            </w:r>
            <w:r/>
          </w:p>
          <w:p>
            <w:pPr>
              <w:ind w:left="132" w:right="134"/>
              <w:jc w:val="both"/>
            </w:pPr>
            <w:r>
              <w:t xml:space="preserve">минимальные отступы от красной линии – 5 м; от иных границ – 3 м;  </w:t>
            </w:r>
            <w:r/>
          </w:p>
          <w:p>
            <w:pPr>
              <w:ind w:left="132" w:right="134"/>
              <w:jc w:val="both"/>
            </w:pPr>
            <w:r>
              <w:t xml:space="preserve">для линейных объектов минимальные отступы – не регламентируются</w:t>
            </w:r>
            <w:r/>
          </w:p>
        </w:tc>
        <w:tc>
          <w:tcPr>
            <w:tcW w:w="3969" w:type="dxa"/>
            <w:vMerge w:val="continue"/>
            <w:textDirection w:val="lrTb"/>
            <w:noWrap/>
          </w:tcPr>
          <w:p>
            <w:pPr>
              <w:ind w:right="142" w:firstLine="567"/>
              <w:jc w:val="center"/>
              <w:tabs>
                <w:tab w:val="left" w:pos="3071" w:leader="none"/>
              </w:tabs>
            </w:pPr>
            <w:r/>
            <w:r/>
          </w:p>
        </w:tc>
      </w:tr>
      <w:tr>
        <w:trPr>
          <w:trHeight w:val="23"/>
        </w:trPr>
        <w:tc>
          <w:tcPr>
            <w:tcW w:w="3129" w:type="dxa"/>
            <w:textDirection w:val="lrTb"/>
            <w:noWrap/>
          </w:tcPr>
          <w:p>
            <w:pPr>
              <w:jc w:val="both"/>
            </w:pPr>
            <w:r>
              <w:t xml:space="preserve">[3.1.2.] Административные здания организаций, обеспечивающих</w:t>
            </w:r>
            <w:r>
              <w:br/>
              <w:t xml:space="preserve">предоставление коммунальных услуг</w:t>
            </w:r>
            <w:r/>
          </w:p>
        </w:tc>
        <w:tc>
          <w:tcPr>
            <w:tcW w:w="4536" w:type="dxa"/>
            <w:textDirection w:val="lrTb"/>
            <w:noWrap/>
          </w:tcPr>
          <w:p>
            <w:pPr>
              <w:ind w:left="132" w:right="131" w:firstLine="142"/>
              <w:jc w:val="both"/>
            </w:pPr>
            <w:r>
              <w:t xml:space="preserve">Размещение зданий, предназначены</w:t>
            </w:r>
            <w:r>
              <w:br/>
              <w:t xml:space="preserve"> для приема физических и юридических лиц в связи с предоставлением им коммунальных услуг.</w:t>
            </w:r>
            <w:r/>
          </w:p>
        </w:tc>
        <w:tc>
          <w:tcPr>
            <w:tcW w:w="3642" w:type="dxa"/>
            <w:textDirection w:val="lrTb"/>
            <w:noWrap/>
          </w:tcPr>
          <w:p>
            <w:pPr>
              <w:ind w:left="132" w:right="116"/>
              <w:jc w:val="both"/>
            </w:pPr>
            <w:r>
              <w:t xml:space="preserve">Минимальная/максимальная площадь земельных участков  – 50 /1000 кв. м.;</w:t>
            </w:r>
            <w:r/>
          </w:p>
          <w:p>
            <w:pPr>
              <w:ind w:left="132" w:right="116"/>
              <w:jc w:val="both"/>
              <w:tabs>
                <w:tab w:val="left" w:pos="1134" w:leader="none"/>
              </w:tabs>
            </w:pPr>
            <w:r>
              <w:t xml:space="preserve">максимальное количество надземных этажей зданий – 2 этажа;</w:t>
            </w:r>
            <w:r/>
          </w:p>
          <w:p>
            <w:pPr>
              <w:ind w:left="132" w:right="116"/>
              <w:jc w:val="both"/>
            </w:pPr>
            <w:r>
              <w:t xml:space="preserve">максимальная высота зданий, строений, сооружений от уровня земли - 20 м;</w:t>
            </w:r>
            <w:r/>
          </w:p>
          <w:p>
            <w:pPr>
              <w:ind w:left="132" w:right="116"/>
              <w:jc w:val="both"/>
            </w:pPr>
            <w:r>
              <w:t xml:space="preserve">максимальный процент застройки в границах земельного участка – 60 %;  </w:t>
            </w:r>
            <w:r/>
          </w:p>
          <w:p>
            <w:pPr>
              <w:ind w:left="132" w:right="103"/>
              <w:jc w:val="both"/>
            </w:pPr>
            <w:r>
              <w:t xml:space="preserve">минимальные отступы от  красной линии – 5 м от иных границ – 3 м</w:t>
            </w:r>
            <w:r>
              <w:rPr>
                <w:rFonts w:eastAsia="SimSun"/>
                <w:lang w:eastAsia="zh-CN" w:bidi="ru-RU"/>
              </w:rPr>
              <w:t xml:space="preserve">.</w:t>
            </w:r>
            <w:r/>
          </w:p>
          <w:p>
            <w:pPr>
              <w:ind w:left="140" w:right="116"/>
              <w:jc w:val="both"/>
              <w:rPr>
                <w:rFonts w:eastAsia="SimSun"/>
                <w:lang w:eastAsia="zh-CN" w:bidi="ru-RU"/>
              </w:rPr>
            </w:pPr>
            <w:r>
              <w:rPr>
                <w:rFonts w:eastAsia="SimSun"/>
                <w:lang w:eastAsia="zh-CN" w:bidi="ru-RU"/>
              </w:rPr>
              <w:t xml:space="preserve">Минимальный процент озеленения земельного участка 10%.</w:t>
            </w:r>
            <w:r/>
          </w:p>
        </w:tc>
        <w:tc>
          <w:tcPr>
            <w:tcW w:w="3969" w:type="dxa"/>
            <w:vMerge w:val="continue"/>
            <w:textDirection w:val="lrTb"/>
            <w:noWrap/>
          </w:tcPr>
          <w:p>
            <w:pPr>
              <w:ind w:right="142" w:firstLine="567"/>
              <w:jc w:val="center"/>
              <w:tabs>
                <w:tab w:val="left" w:pos="3071" w:leader="none"/>
              </w:tabs>
            </w:pPr>
            <w:r/>
            <w:r/>
          </w:p>
        </w:tc>
      </w:tr>
      <w:tr>
        <w:trPr>
          <w:trHeight w:val="23"/>
        </w:trPr>
        <w:tc>
          <w:tcPr>
            <w:tcW w:w="3129" w:type="dxa"/>
            <w:textDirection w:val="lrTb"/>
            <w:noWrap/>
          </w:tcPr>
          <w:p>
            <w:pPr>
              <w:ind w:left="142" w:right="117"/>
              <w:tabs>
                <w:tab w:val="left" w:pos="2520" w:leader="none"/>
              </w:tabs>
            </w:pPr>
            <w:r>
              <w:rPr>
                <w:rFonts w:eastAsia="SimSun"/>
                <w:lang w:eastAsia="zh-CN" w:bidi="ru-RU"/>
              </w:rPr>
              <w:t xml:space="preserve">[</w:t>
            </w:r>
            <w:r>
              <w:rPr>
                <w:rFonts w:eastAsia="SimSun"/>
              </w:rPr>
              <w:t xml:space="preserve">12.0</w:t>
            </w:r>
            <w:r>
              <w:rPr>
                <w:rFonts w:eastAsia="SimSun"/>
                <w:lang w:eastAsia="zh-CN" w:bidi="ru-RU"/>
              </w:rPr>
              <w:t xml:space="preserve">]</w:t>
            </w:r>
            <w:r/>
          </w:p>
          <w:p>
            <w:pPr>
              <w:ind w:left="142" w:right="117"/>
              <w:tabs>
                <w:tab w:val="left" w:pos="2520" w:leader="none"/>
              </w:tabs>
              <w:rPr>
                <w:rFonts w:eastAsia="SimSun"/>
              </w:rPr>
            </w:pPr>
            <w:r>
              <w:t xml:space="preserve">Земельные участки (территории) общего пользования</w:t>
            </w:r>
            <w:r/>
          </w:p>
        </w:tc>
        <w:tc>
          <w:tcPr>
            <w:tcW w:w="4536" w:type="dxa"/>
            <w:textDirection w:val="lrTb"/>
            <w:noWrap/>
          </w:tcPr>
          <w:p>
            <w:pPr>
              <w:pStyle w:val="910"/>
            </w:pPr>
            <w:r>
              <w:rPr>
                <w:sz w:val="20"/>
                <w:szCs w:val="20"/>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tooltip="#Par580" w:anchor="Par580" w:history="1">
              <w:r>
                <w:rPr>
                  <w:sz w:val="20"/>
                  <w:szCs w:val="20"/>
                </w:rPr>
                <w:t xml:space="preserve">кодами 12.0.1</w:t>
              </w:r>
            </w:hyperlink>
            <w:r>
              <w:rPr>
                <w:bCs/>
                <w:iCs/>
                <w:sz w:val="20"/>
                <w:szCs w:val="20"/>
              </w:rPr>
              <w:t xml:space="preserve">– </w:t>
            </w:r>
            <w:hyperlink w:tooltip="#Par583" w:anchor="Par583" w:history="1">
              <w:r>
                <w:rPr>
                  <w:sz w:val="20"/>
                  <w:szCs w:val="20"/>
                </w:rPr>
                <w:t xml:space="preserve">12.0.2</w:t>
              </w:r>
            </w:hyperlink>
            <w:r/>
            <w:r/>
          </w:p>
          <w:p>
            <w:pPr>
              <w:ind w:left="142" w:right="117"/>
              <w:jc w:val="both"/>
              <w:tabs>
                <w:tab w:val="left" w:pos="2520" w:leader="none"/>
              </w:tabs>
            </w:pPr>
            <w:r/>
            <w:r/>
          </w:p>
        </w:tc>
        <w:tc>
          <w:tcPr>
            <w:tcW w:w="3642" w:type="dxa"/>
            <w:textDirection w:val="lrTb"/>
            <w:noWrap/>
          </w:tcPr>
          <w:p>
            <w:pPr>
              <w:ind w:left="142" w:right="117"/>
              <w:jc w:val="center"/>
              <w:tabs>
                <w:tab w:val="left" w:pos="2520" w:leader="none"/>
              </w:tabs>
            </w:pPr>
            <w:r>
              <w:rPr>
                <w:rFonts w:eastAsia="Calibri"/>
              </w:rPr>
              <w:t xml:space="preserve">Не подлежит установлению</w:t>
            </w:r>
            <w:r/>
          </w:p>
          <w:p>
            <w:pPr>
              <w:ind w:left="142" w:right="117"/>
              <w:jc w:val="both"/>
              <w:tabs>
                <w:tab w:val="left" w:pos="2520" w:leader="none"/>
              </w:tabs>
              <w:rPr>
                <w:rFonts w:eastAsia="SimSun"/>
                <w:lang w:eastAsia="zh-CN" w:bidi="ru-RU"/>
              </w:rPr>
            </w:pPr>
            <w:r>
              <w:rPr>
                <w:rFonts w:eastAsia="SimSun"/>
                <w:lang w:eastAsia="zh-CN" w:bidi="ru-RU"/>
              </w:rPr>
            </w:r>
            <w:r/>
          </w:p>
        </w:tc>
        <w:tc>
          <w:tcPr>
            <w:tcW w:w="3969" w:type="dxa"/>
            <w:vMerge w:val="continue"/>
            <w:textDirection w:val="lrTb"/>
            <w:noWrap/>
          </w:tcPr>
          <w:p>
            <w:pPr>
              <w:ind w:right="142" w:firstLine="567"/>
              <w:jc w:val="center"/>
              <w:tabs>
                <w:tab w:val="left" w:pos="3071" w:leader="none"/>
              </w:tabs>
            </w:pPr>
            <w:r/>
            <w:r/>
          </w:p>
        </w:tc>
      </w:tr>
      <w:tr>
        <w:trPr>
          <w:trHeight w:val="3401"/>
        </w:trPr>
        <w:tc>
          <w:tcPr>
            <w:tcW w:w="3129" w:type="dxa"/>
            <w:textDirection w:val="lrTb"/>
            <w:noWrap/>
          </w:tcPr>
          <w:p>
            <w:pPr>
              <w:ind w:left="142" w:right="117"/>
              <w:tabs>
                <w:tab w:val="left" w:pos="2520" w:leader="none"/>
              </w:tabs>
            </w:pPr>
            <w:r>
              <w:rPr>
                <w:rFonts w:eastAsia="SimSun"/>
                <w:lang w:val="en-US" w:eastAsia="zh-CN" w:bidi="ru-RU"/>
              </w:rPr>
              <w:t xml:space="preserve">[</w:t>
            </w:r>
            <w:r>
              <w:rPr>
                <w:rFonts w:eastAsia="SimSun"/>
                <w:lang w:eastAsia="zh-CN" w:bidi="ru-RU"/>
              </w:rPr>
              <w:t xml:space="preserve">12.0.1]</w:t>
            </w:r>
            <w:r/>
          </w:p>
          <w:p>
            <w:pPr>
              <w:ind w:left="142" w:right="117"/>
              <w:tabs>
                <w:tab w:val="left" w:pos="2520" w:leader="none"/>
              </w:tabs>
              <w:rPr>
                <w:rFonts w:eastAsia="SimSun"/>
              </w:rPr>
            </w:pPr>
            <w:r>
              <w:rPr>
                <w:rFonts w:eastAsia="SimSun"/>
                <w:lang w:eastAsia="zh-CN" w:bidi="ru-RU"/>
              </w:rPr>
              <w:t xml:space="preserve">Улично-дорожная сеть</w:t>
            </w:r>
            <w:r/>
          </w:p>
        </w:tc>
        <w:tc>
          <w:tcPr>
            <w:tcW w:w="4536" w:type="dxa"/>
            <w:textDirection w:val="lrTb"/>
            <w:noWrap/>
          </w:tcPr>
          <w:p>
            <w:pPr>
              <w:ind w:left="142" w:right="117"/>
              <w:jc w:val="both"/>
              <w:tabs>
                <w:tab w:val="left" w:pos="2520" w:leader="none"/>
              </w:tabs>
            </w:pPr>
            <w: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p>
          <w:p>
            <w:pPr>
              <w:ind w:left="142" w:right="117"/>
              <w:jc w:val="both"/>
              <w:tabs>
                <w:tab w:val="left" w:pos="2520" w:leader="none"/>
              </w:tabs>
            </w:pPr>
            <w:r>
              <w:t xml:space="preserve">размещение придо</w:t>
            </w:r>
            <w:r>
              <w:t xml:space="preserve">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r/>
          </w:p>
        </w:tc>
        <w:tc>
          <w:tcPr>
            <w:tcBorders>
              <w:top w:val="none" w:color="000000" w:sz="4" w:space="0"/>
            </w:tcBorders>
            <w:tcW w:w="3642" w:type="dxa"/>
            <w:textDirection w:val="lrTb"/>
            <w:noWrap/>
          </w:tcPr>
          <w:p>
            <w:pPr>
              <w:ind w:left="142" w:right="117"/>
              <w:jc w:val="center"/>
              <w:tabs>
                <w:tab w:val="left" w:pos="2520" w:leader="none"/>
              </w:tabs>
            </w:pPr>
            <w:r>
              <w:rPr>
                <w:rFonts w:eastAsia="SimSun"/>
                <w:lang w:eastAsia="zh-CN" w:bidi="ru-RU"/>
              </w:rPr>
              <w:t xml:space="preserve">Регламенты не распространяются</w:t>
            </w:r>
            <w:r/>
          </w:p>
          <w:p>
            <w:pPr>
              <w:ind w:left="142" w:right="117"/>
              <w:jc w:val="center"/>
              <w:tabs>
                <w:tab w:val="left" w:pos="2520" w:leader="none"/>
              </w:tabs>
              <w:rPr>
                <w:rFonts w:eastAsia="SimSun"/>
              </w:rPr>
            </w:pPr>
            <w:r>
              <w:rPr>
                <w:rFonts w:eastAsia="SimSun"/>
                <w:lang w:eastAsia="zh-CN" w:bidi="ru-RU"/>
              </w:rPr>
              <w:t xml:space="preserve">(не подлежит установлению)</w:t>
            </w:r>
            <w:r/>
          </w:p>
        </w:tc>
        <w:tc>
          <w:tcPr>
            <w:tcW w:w="3969" w:type="dxa"/>
            <w:vMerge w:val="continue"/>
            <w:textDirection w:val="lrTb"/>
            <w:noWrap/>
          </w:tcPr>
          <w:p>
            <w:pPr>
              <w:ind w:right="142" w:hanging="37"/>
              <w:jc w:val="both"/>
              <w:tabs>
                <w:tab w:val="left" w:pos="3071" w:leader="none"/>
              </w:tabs>
            </w:pPr>
            <w:r/>
            <w:r/>
          </w:p>
        </w:tc>
      </w:tr>
      <w:tr>
        <w:trPr>
          <w:trHeight w:val="23"/>
        </w:trPr>
        <w:tc>
          <w:tcPr>
            <w:tcW w:w="3129" w:type="dxa"/>
            <w:textDirection w:val="lrTb"/>
            <w:noWrap/>
          </w:tcPr>
          <w:p>
            <w:pPr>
              <w:ind w:left="142" w:right="117"/>
            </w:pPr>
            <w:r>
              <w:rPr>
                <w:lang w:val="en-US"/>
              </w:rPr>
              <w:t xml:space="preserve">[</w:t>
            </w:r>
            <w:r>
              <w:t xml:space="preserve">12.0.2</w:t>
            </w:r>
            <w:r>
              <w:rPr>
                <w:lang w:val="en-US"/>
              </w:rPr>
              <w:t xml:space="preserve">]</w:t>
            </w:r>
            <w:r/>
          </w:p>
          <w:p>
            <w:pPr>
              <w:ind w:left="142" w:right="117"/>
              <w:rPr>
                <w:highlight w:val="yellow"/>
              </w:rPr>
            </w:pPr>
            <w:r>
              <w:t xml:space="preserve">Благоустройство территории</w:t>
            </w:r>
            <w:r/>
          </w:p>
        </w:tc>
        <w:tc>
          <w:tcPr>
            <w:tcW w:w="4536" w:type="dxa"/>
            <w:textDirection w:val="lrTb"/>
            <w:noWrap/>
          </w:tcPr>
          <w:p>
            <w:pPr>
              <w:ind w:left="142" w:right="117"/>
              <w:jc w:val="both"/>
            </w:pPr>
            <w:r>
              <w:t xml:space="preserve">Размещение декоративных, технических, планировочных, конструктивных устройств, эле</w:t>
            </w:r>
            <w:r>
              <w:t xml:space="preserve">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r/>
          </w:p>
        </w:tc>
        <w:tc>
          <w:tcPr>
            <w:tcW w:w="3642" w:type="dxa"/>
            <w:textDirection w:val="lrTb"/>
            <w:noWrap/>
          </w:tcPr>
          <w:p>
            <w:pPr>
              <w:ind w:left="142" w:right="117"/>
              <w:jc w:val="center"/>
            </w:pPr>
            <w:r>
              <w:t xml:space="preserve">Регламенты не распространяются</w:t>
            </w:r>
            <w:r/>
          </w:p>
          <w:p>
            <w:pPr>
              <w:ind w:left="142" w:right="117"/>
              <w:jc w:val="center"/>
            </w:pPr>
            <w:r>
              <w:t xml:space="preserve">(не подлежит установлению)</w:t>
            </w:r>
            <w:r/>
          </w:p>
        </w:tc>
        <w:tc>
          <w:tcPr>
            <w:tcW w:w="3969" w:type="dxa"/>
            <w:vMerge w:val="continue"/>
            <w:textDirection w:val="lrTb"/>
            <w:noWrap/>
          </w:tcPr>
          <w:p>
            <w:pPr>
              <w:ind w:right="136" w:firstLine="567"/>
              <w:jc w:val="both"/>
            </w:pPr>
            <w:r/>
            <w:r/>
          </w:p>
        </w:tc>
      </w:tr>
    </w:tbl>
    <w:p>
      <w:pPr>
        <w:ind w:firstLine="567"/>
        <w:jc w:val="center"/>
        <w:tabs>
          <w:tab w:val="left" w:pos="2520" w:leader="none"/>
        </w:tabs>
      </w:pPr>
      <w:r/>
      <w:r/>
    </w:p>
    <w:p>
      <w:pPr>
        <w:ind w:firstLine="567"/>
        <w:jc w:val="center"/>
        <w:tabs>
          <w:tab w:val="left" w:pos="2520" w:leader="none"/>
        </w:tabs>
      </w:pPr>
      <w:r>
        <w:rPr>
          <w:b/>
          <w:color w:val="000000"/>
        </w:rPr>
        <w:t xml:space="preserve">УСЛОВНО РАЗРЕШЕННЫЕ ВИДЫ И ПАРАМЕТРЫ ИСПОЛЬЗОВАНИЯ ЗЕМЕЛЬНЫХ УЧАСТКОВ И ОБЪЕКТОВ КАПИТАЛЬНОГО СТРОИТЕЛЬСТВА</w:t>
      </w:r>
      <w:r/>
    </w:p>
    <w:p>
      <w:pPr>
        <w:tabs>
          <w:tab w:val="left" w:pos="2520" w:leader="none"/>
        </w:tabs>
      </w:pPr>
      <w:r/>
      <w:r/>
    </w:p>
    <w:tbl>
      <w:tblPr>
        <w:tblW w:w="14908"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left w:w="10" w:type="dxa"/>
          <w:right w:w="10" w:type="dxa"/>
        </w:tblCellMar>
        <w:tblLook w:val="04A0" w:firstRow="1" w:lastRow="0" w:firstColumn="1" w:lastColumn="0" w:noHBand="0" w:noVBand="1"/>
      </w:tblPr>
      <w:tblGrid>
        <w:gridCol w:w="2859"/>
        <w:gridCol w:w="4111"/>
        <w:gridCol w:w="3969"/>
        <w:gridCol w:w="3969"/>
      </w:tblGrid>
      <w:tr>
        <w:trPr>
          <w:trHeight w:val="23"/>
        </w:trPr>
        <w:tc>
          <w:tcPr>
            <w:tcW w:w="2859" w:type="dxa"/>
            <w:vAlign w:val="center"/>
            <w:textDirection w:val="lrTb"/>
            <w:noWrap w:val="false"/>
          </w:tcPr>
          <w:p>
            <w:pPr>
              <w:jc w:val="center"/>
              <w:tabs>
                <w:tab w:val="left" w:pos="2520" w:leader="none"/>
              </w:tabs>
              <w:rPr>
                <w:b/>
              </w:rPr>
            </w:pPr>
            <w:r>
              <w:rPr>
                <w:rFonts w:eastAsia="SimSun"/>
                <w:lang w:eastAsia="zh-CN" w:bidi="ru-RU"/>
              </w:rPr>
              <w:t xml:space="preserve">[</w:t>
            </w:r>
            <w:r>
              <w:rPr>
                <w:b/>
              </w:rPr>
              <w:t xml:space="preserve">КОД (ЧИСЛОВОЕ ОБОЗНАЧЕНИЕ)</w:t>
            </w:r>
            <w:r>
              <w:rPr>
                <w:rFonts w:eastAsia="SimSun"/>
                <w:lang w:eastAsia="zh-CN" w:bidi="ru-RU"/>
              </w:rPr>
              <w:t xml:space="preserve">]-</w:t>
            </w:r>
            <w:r>
              <w:rPr>
                <w:b/>
              </w:rPr>
              <w:t xml:space="preserve"> НАИМЕНОВАНИЕ ВИДАРАЗРЕШЕННОГОИСПОЛЬЗОВАНИЯ ЗЕМЕЛЬНЫХ УЧАСТКОВ</w:t>
            </w:r>
            <w:r/>
          </w:p>
        </w:tc>
        <w:tc>
          <w:tcPr>
            <w:tcW w:w="4111" w:type="dxa"/>
            <w:vAlign w:val="center"/>
            <w:textDirection w:val="lrTb"/>
            <w:noWrap w:val="false"/>
          </w:tcPr>
          <w:p>
            <w:pPr>
              <w:ind w:left="-10"/>
              <w:jc w:val="center"/>
              <w:tabs>
                <w:tab w:val="left" w:pos="2520" w:leader="none"/>
              </w:tabs>
              <w:rPr>
                <w:b/>
              </w:rPr>
            </w:pPr>
            <w:r>
              <w:rPr>
                <w:b/>
              </w:rPr>
              <w:t xml:space="preserve">ВИДЫ ОБЪЕКТОВ КАПИТАЛЬНОГО</w:t>
            </w:r>
            <w:r>
              <w:rPr>
                <w:b/>
              </w:rPr>
              <w:br/>
              <w:t xml:space="preserve"> СТРОИТЕЛЬСТВА</w:t>
            </w:r>
            <w:r/>
          </w:p>
        </w:tc>
        <w:tc>
          <w:tcPr>
            <w:tcW w:w="3969" w:type="dxa"/>
            <w:vAlign w:val="center"/>
            <w:textDirection w:val="lrTb"/>
            <w:noWrap w:val="false"/>
          </w:tcPr>
          <w:p>
            <w:pPr>
              <w:ind w:right="132"/>
              <w:jc w:val="center"/>
              <w:tabs>
                <w:tab w:val="left" w:pos="2520" w:leader="none"/>
              </w:tabs>
              <w:rPr>
                <w:b/>
              </w:rPr>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W w:w="3969" w:type="dxa"/>
            <w:vAlign w:val="center"/>
            <w:textDirection w:val="lrTb"/>
            <w:noWrap w:val="false"/>
          </w:tcPr>
          <w:p>
            <w:pPr>
              <w:ind w:left="143" w:right="142"/>
              <w:jc w:val="center"/>
              <w:tabs>
                <w:tab w:val="left" w:pos="3071" w:leader="none"/>
              </w:tabs>
              <w:rPr>
                <w:b/>
              </w:rPr>
            </w:pPr>
            <w:r>
              <w:rPr>
                <w:b/>
              </w:rPr>
              <w:t xml:space="preserve">ОСОБЫЕ УСЛОВИЯ РЕАЛИЗАЦИИ РЕГЛАМЕНТА</w:t>
            </w:r>
            <w:r/>
          </w:p>
        </w:tc>
      </w:tr>
      <w:tr>
        <w:trPr>
          <w:trHeight w:val="282"/>
        </w:trPr>
        <w:tc>
          <w:tcPr>
            <w:tcW w:w="2859" w:type="dxa"/>
            <w:textDirection w:val="lrTb"/>
            <w:noWrap w:val="false"/>
          </w:tcPr>
          <w:p>
            <w:pPr>
              <w:ind w:left="156"/>
            </w:pPr>
            <w:r>
              <w:t xml:space="preserve">[4.4]  Магазины </w:t>
            </w:r>
            <w:r/>
          </w:p>
        </w:tc>
        <w:tc>
          <w:tcPr>
            <w:tcW w:w="4111" w:type="dxa"/>
            <w:textDirection w:val="lrTb"/>
            <w:noWrap w:val="false"/>
          </w:tcPr>
          <w:p>
            <w:pPr>
              <w:ind w:left="122" w:right="132" w:firstLine="10"/>
              <w:jc w:val="both"/>
            </w:pPr>
            <w:r>
              <w:t xml:space="preserve">Размещение объектов капитального строительства, предназначенных для оптовой продажи товаров.</w:t>
            </w:r>
            <w:r/>
          </w:p>
        </w:tc>
        <w:tc>
          <w:tcPr>
            <w:tcW w:w="3969" w:type="dxa"/>
            <w:textDirection w:val="lrTb"/>
            <w:noWrap w:val="false"/>
          </w:tcPr>
          <w:p>
            <w:pPr>
              <w:ind w:left="132" w:right="131"/>
              <w:jc w:val="both"/>
            </w:pPr>
            <w:r>
              <w:t xml:space="preserve">Минимальная/максимальная площадь земельных участков – 100/5000 кв. м;</w:t>
            </w:r>
            <w:r/>
          </w:p>
          <w:p>
            <w:pPr>
              <w:ind w:left="132" w:right="131"/>
              <w:jc w:val="both"/>
            </w:pPr>
            <w:r>
              <w:t xml:space="preserve">максимальный процент застройки в границах земельного участка –50%;</w:t>
            </w:r>
            <w:r/>
          </w:p>
          <w:p>
            <w:pPr>
              <w:ind w:left="132" w:right="131"/>
              <w:jc w:val="both"/>
            </w:pPr>
            <w:r>
              <w:t xml:space="preserve">максимальное количество надземных этажей зданий – 3 этажа;</w:t>
            </w:r>
            <w:r/>
          </w:p>
          <w:p>
            <w:pPr>
              <w:ind w:left="132" w:right="131"/>
              <w:jc w:val="both"/>
            </w:pPr>
            <w:r>
              <w:t xml:space="preserve">максимальная высота зданий, строений, сооружений от уровня земли - 12 м;</w:t>
            </w:r>
            <w:r/>
          </w:p>
          <w:p>
            <w:pPr>
              <w:ind w:left="132" w:right="131"/>
              <w:jc w:val="both"/>
            </w:pPr>
            <w:r>
              <w:t xml:space="preserve">минимальные отступы от красной линии – 5 м; от иных границ – 3 м.</w:t>
            </w:r>
            <w:r/>
          </w:p>
        </w:tc>
        <w:tc>
          <w:tcPr>
            <w:tcW w:w="3969" w:type="dxa"/>
            <w:vMerge w:val="restart"/>
            <w:textDirection w:val="lrTb"/>
            <w:noWrap w:val="false"/>
          </w:tcPr>
          <w:p>
            <w:pPr>
              <w:ind w:left="132" w:right="140"/>
              <w:jc w:val="both"/>
              <w:tabs>
                <w:tab w:val="left" w:pos="3071" w:leader="none"/>
              </w:tabs>
              <w:rPr>
                <w:shd w:val="clear" w:color="auto" w:fill="ffffff"/>
              </w:rPr>
            </w:pPr>
            <w:r>
              <w:rPr>
                <w:shd w:val="clear" w:color="auto" w:fill="ffffff"/>
              </w:rPr>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r/>
          </w:p>
          <w:p>
            <w:pPr>
              <w:ind w:left="132" w:right="140"/>
              <w:jc w:val="both"/>
              <w:tabs>
                <w:tab w:val="left" w:pos="3071" w:leader="none"/>
              </w:tabs>
            </w:pPr>
            <w:r>
              <w:t xml:space="preserve">Использование земельных участков и объектов капитального строительства осуществлять с учетом режимов зон с </w:t>
            </w:r>
            <w:r>
              <w:t xml:space="preserve">особыми условиями использования территорий, приведенных в статьях 36 – 40 и статьей 41 настоящих Правил.</w:t>
            </w:r>
            <w:r/>
          </w:p>
          <w:p>
            <w:pPr>
              <w:ind w:left="132" w:right="132"/>
              <w:jc w:val="both"/>
              <w:rPr>
                <w:rFonts w:eastAsia="Calibri"/>
              </w:rPr>
            </w:pPr>
            <w:r>
              <w:rPr>
                <w:rFonts w:eastAsia="Calibri"/>
              </w:rPr>
              <w:t xml:space="preserve">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r/>
          </w:p>
          <w:p>
            <w:pPr>
              <w:ind w:left="132" w:right="132"/>
              <w:jc w:val="both"/>
              <w:rPr>
                <w:rFonts w:eastAsia="Calibri"/>
              </w:rPr>
            </w:pPr>
            <w:r>
              <w:rPr>
                <w:rFonts w:eastAsia="Calibri"/>
              </w:rPr>
              <w:t xml:space="preserve">При проектировании объекта расчетное количество парковочных мест для его обслуживания определять по таблице 1 ст. 42.</w:t>
            </w:r>
            <w:r/>
          </w:p>
          <w:p>
            <w:pPr>
              <w:ind w:left="132" w:right="132"/>
              <w:jc w:val="both"/>
              <w:rPr>
                <w:rFonts w:eastAsia="Calibri"/>
              </w:rPr>
            </w:pPr>
            <w:r>
              <w:rPr>
                <w:rFonts w:eastAsia="Calibri"/>
              </w:rPr>
              <w:t xml:space="preserve">Расстояние от объектов капитального строительства до парковок определять по таблице 2 статьи 42.</w:t>
            </w:r>
            <w:r/>
          </w:p>
          <w:p>
            <w:pPr>
              <w:ind w:left="143" w:right="128"/>
              <w:jc w:val="both"/>
              <w:rPr>
                <w:shd w:val="clear" w:color="auto" w:fill="ffffff"/>
              </w:rPr>
            </w:pPr>
            <w:r>
              <w:rPr>
                <w:rFonts w:eastAsia="Calibri"/>
              </w:rPr>
              <w:t xml:space="preserve">При отсутствии в материалах проектной документации расчета СЗЗ, СЗЗ принимать в соответствии с СанПиНом</w:t>
            </w:r>
            <w:r>
              <w:rPr>
                <w:shd w:val="clear" w:color="auto" w:fill="ffffff"/>
              </w:rPr>
              <w:t xml:space="preserve">2.2.1/2.1.1.1200-03 "</w:t>
            </w:r>
            <w:r>
              <w:rPr>
                <w:bCs/>
                <w:shd w:val="clear" w:color="auto" w:fill="ffffff"/>
              </w:rPr>
              <w:t xml:space="preserve">Санитарно </w:t>
            </w:r>
            <w:r>
              <w:rPr>
                <w:shd w:val="clear" w:color="auto" w:fill="ffffff"/>
              </w:rPr>
              <w:t xml:space="preserve">- </w:t>
            </w:r>
            <w:r>
              <w:rPr>
                <w:bCs/>
                <w:shd w:val="clear" w:color="auto" w:fill="ffffff"/>
              </w:rPr>
              <w:t xml:space="preserve">защитные</w:t>
            </w:r>
            <w:r>
              <w:rPr>
                <w:shd w:val="clear" w:color="auto" w:fill="ffffff"/>
              </w:rPr>
              <w:t xml:space="preserve"> </w:t>
            </w:r>
            <w:r>
              <w:rPr>
                <w:bCs/>
                <w:shd w:val="clear" w:color="auto" w:fill="ffffff"/>
              </w:rPr>
              <w:t xml:space="preserve">зоны</w:t>
            </w:r>
            <w:r>
              <w:rPr>
                <w:shd w:val="clear" w:color="auto" w:fill="ffffff"/>
              </w:rPr>
              <w:t xml:space="preserve"> и </w:t>
            </w:r>
            <w:r>
              <w:rPr>
                <w:bCs/>
                <w:shd w:val="clear" w:color="auto" w:fill="ffffff"/>
              </w:rPr>
              <w:t xml:space="preserve">санитарная</w:t>
            </w:r>
            <w:r>
              <w:rPr>
                <w:shd w:val="clear" w:color="auto" w:fill="ffffff"/>
              </w:rPr>
              <w:t xml:space="preserve"> </w:t>
            </w:r>
            <w:r>
              <w:rPr>
                <w:bCs/>
                <w:shd w:val="clear" w:color="auto" w:fill="ffffff"/>
              </w:rPr>
              <w:t xml:space="preserve">классификация</w:t>
            </w:r>
            <w:r>
              <w:rPr>
                <w:shd w:val="clear" w:color="auto" w:fill="ffffff"/>
              </w:rPr>
              <w:t xml:space="preserve"> </w:t>
            </w:r>
            <w:r>
              <w:rPr>
                <w:bCs/>
                <w:shd w:val="clear" w:color="auto" w:fill="ffffff"/>
              </w:rPr>
              <w:t xml:space="preserve">предприятий</w:t>
            </w:r>
            <w:r>
              <w:rPr>
                <w:shd w:val="clear" w:color="auto" w:fill="ffffff"/>
              </w:rPr>
              <w:t xml:space="preserve">, </w:t>
            </w:r>
            <w:r>
              <w:rPr>
                <w:bCs/>
                <w:shd w:val="clear" w:color="auto" w:fill="ffffff"/>
              </w:rPr>
              <w:t xml:space="preserve">сооружений</w:t>
            </w:r>
            <w:r>
              <w:rPr>
                <w:shd w:val="clear" w:color="auto" w:fill="ffffff"/>
              </w:rPr>
              <w:t xml:space="preserve"> и иных объектов".</w:t>
            </w:r>
            <w:r/>
          </w:p>
          <w:p>
            <w:pPr>
              <w:ind w:left="132" w:right="132"/>
              <w:jc w:val="both"/>
              <w:rPr>
                <w:shd w:val="clear" w:color="auto" w:fill="ffffff"/>
              </w:rPr>
            </w:pPr>
            <w:r>
              <w:rPr>
                <w:shd w:val="clear" w:color="auto" w:fill="ffffff"/>
              </w:rPr>
              <w:t xml:space="preserve">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w:t>
            </w:r>
            <w:r/>
          </w:p>
          <w:p>
            <w:pPr>
              <w:ind w:left="132" w:right="132"/>
              <w:jc w:val="both"/>
              <w:rPr>
                <w:shd w:val="clear" w:color="auto" w:fill="ffffff"/>
              </w:rPr>
            </w:pPr>
            <w:r>
              <w:rPr>
                <w:shd w:val="clear" w:color="auto" w:fill="ffffff"/>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w:t>
            </w:r>
            <w:r>
              <w:rPr>
                <w:shd w:val="clear" w:color="auto" w:fill="ffffff"/>
              </w:rPr>
              <w:t xml:space="preserve">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r/>
          </w:p>
          <w:p>
            <w:pPr>
              <w:ind w:left="132" w:right="132" w:firstLine="284"/>
              <w:jc w:val="both"/>
              <w:rPr>
                <w:shd w:val="clear" w:color="auto" w:fill="ffffff"/>
              </w:rPr>
            </w:pPr>
            <w:r>
              <w:rPr>
                <w:shd w:val="clear" w:color="auto" w:fill="ffffff"/>
              </w:rPr>
              <w:t xml:space="preserve">Санитарно-защитная зона или какая-</w:t>
            </w:r>
            <w:r>
              <w:rPr>
                <w:shd w:val="clear" w:color="auto" w:fill="ffffff"/>
              </w:rPr>
              <w:t xml:space="preserve">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r/>
          </w:p>
          <w:p>
            <w:pPr>
              <w:ind w:left="131" w:right="114" w:firstLine="142"/>
              <w:jc w:val="both"/>
            </w:pPr>
            <w:r>
              <w:rPr>
                <w:shd w:val="clear" w:color="auto" w:fill="ffffff"/>
              </w:rPr>
              <w:t xml:space="preserve">В материалах проектной документации необходимо указывать функциональное назначение складских помещений в целях определения их класса опасности.</w:t>
            </w:r>
            <w:r/>
          </w:p>
        </w:tc>
      </w:tr>
      <w:tr>
        <w:trPr>
          <w:trHeight w:val="369"/>
        </w:trPr>
        <w:tc>
          <w:tcPr>
            <w:tcW w:w="2859" w:type="dxa"/>
            <w:textDirection w:val="lrTb"/>
            <w:noWrap w:val="false"/>
          </w:tcPr>
          <w:p>
            <w:pPr>
              <w:ind w:left="156"/>
            </w:pPr>
            <w:r>
              <w:t xml:space="preserve">[4.9.1.1]  Заправка транспортных средств</w:t>
            </w:r>
            <w:r/>
          </w:p>
        </w:tc>
        <w:tc>
          <w:tcPr>
            <w:tcW w:w="4111" w:type="dxa"/>
            <w:textDirection w:val="lrTb"/>
            <w:noWrap w:val="false"/>
          </w:tcPr>
          <w:p>
            <w:pPr>
              <w:ind w:left="122" w:right="132" w:firstLine="10"/>
              <w:jc w:val="both"/>
              <w:widowControl/>
            </w:pPr>
            <w:r>
              <w:t xml:space="preserve">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r/>
          </w:p>
        </w:tc>
        <w:tc>
          <w:tcPr>
            <w:tcW w:w="3969" w:type="dxa"/>
            <w:textDirection w:val="lrTb"/>
            <w:noWrap w:val="false"/>
          </w:tcPr>
          <w:p>
            <w:pPr>
              <w:ind w:left="132" w:right="131"/>
              <w:jc w:val="both"/>
            </w:pPr>
            <w:r>
              <w:t xml:space="preserve">Минимальная/максимальная площадь земельных участков – 300/5000 кв. м;</w:t>
            </w:r>
            <w:r/>
          </w:p>
          <w:p>
            <w:pPr>
              <w:ind w:left="132" w:right="131"/>
              <w:jc w:val="both"/>
            </w:pPr>
            <w:r>
              <w:t xml:space="preserve">максимальный процент застройки в границах земельного участка –50%;</w:t>
            </w:r>
            <w:r/>
          </w:p>
          <w:p>
            <w:pPr>
              <w:ind w:left="132" w:right="131"/>
              <w:jc w:val="both"/>
            </w:pPr>
            <w:r>
              <w:t xml:space="preserve">максимальная высота зданий, строений, сооружений от уровня земли – 12 м;</w:t>
            </w:r>
            <w:r/>
          </w:p>
          <w:p>
            <w:pPr>
              <w:ind w:left="132" w:right="131"/>
              <w:jc w:val="both"/>
            </w:pPr>
            <w:r>
              <w:t xml:space="preserve">минимальные отступы от красной линии – 5 м; от иных границ – 3 м.</w:t>
            </w:r>
            <w:r/>
          </w:p>
        </w:tc>
        <w:tc>
          <w:tcPr>
            <w:tcW w:w="3969" w:type="dxa"/>
            <w:vMerge w:val="continue"/>
            <w:textDirection w:val="lrTb"/>
            <w:noWrap w:val="false"/>
          </w:tcPr>
          <w:p>
            <w:pPr>
              <w:ind w:left="708"/>
            </w:pPr>
            <w:r/>
            <w:r/>
          </w:p>
        </w:tc>
      </w:tr>
      <w:tr>
        <w:trPr>
          <w:trHeight w:val="369"/>
        </w:trPr>
        <w:tc>
          <w:tcPr>
            <w:tcW w:w="2859" w:type="dxa"/>
            <w:textDirection w:val="lrTb"/>
            <w:noWrap w:val="false"/>
          </w:tcPr>
          <w:p>
            <w:pPr>
              <w:ind w:left="142"/>
              <w:jc w:val="both"/>
              <w:tabs>
                <w:tab w:val="left" w:pos="2520" w:leader="none"/>
              </w:tabs>
              <w:rPr>
                <w:b/>
              </w:rPr>
            </w:pPr>
            <w:r>
              <w:rPr>
                <w:rFonts w:eastAsia="SimSun"/>
                <w:lang w:eastAsia="zh-CN" w:bidi="ru-RU"/>
              </w:rPr>
              <w:t xml:space="preserve">[4.6] </w:t>
            </w:r>
            <w:r>
              <w:rPr>
                <w:lang w:eastAsia="ru-RU" w:bidi="ru-RU"/>
              </w:rPr>
              <w:t xml:space="preserve">Общественное питание.</w:t>
            </w:r>
            <w:r/>
          </w:p>
        </w:tc>
        <w:tc>
          <w:tcPr>
            <w:tcW w:w="4111" w:type="dxa"/>
            <w:textDirection w:val="lrTb"/>
            <w:noWrap w:val="false"/>
          </w:tcPr>
          <w:p>
            <w:pPr>
              <w:ind w:left="142"/>
              <w:jc w:val="both"/>
              <w:tabs>
                <w:tab w:val="left" w:pos="2520" w:leader="none"/>
              </w:tabs>
              <w:rPr>
                <w:b/>
              </w:rPr>
            </w:pPr>
            <w:r>
              <w:rPr>
                <w:lang w:eastAsia="ru-RU" w:bidi="ru-RU"/>
              </w:rPr>
              <w:t xml:space="preserve">Размещение объектов капитального строительства в целях устройства мест общественного питания (рестораны, кафе, столовые, закусочные, бары)</w:t>
            </w:r>
            <w:r/>
          </w:p>
        </w:tc>
        <w:tc>
          <w:tcPr>
            <w:tcW w:w="3969" w:type="dxa"/>
            <w:textDirection w:val="lrTb"/>
            <w:noWrap w:val="false"/>
          </w:tcPr>
          <w:p>
            <w:pPr>
              <w:ind w:left="142" w:right="132"/>
              <w:jc w:val="both"/>
              <w:tabs>
                <w:tab w:val="left" w:pos="2520" w:leader="none"/>
              </w:tabs>
            </w:pPr>
            <w:r>
              <w:t xml:space="preserve">Минимальная/максимальная площадь земельных участков –200/1000 кв. м;</w:t>
            </w:r>
            <w:r/>
          </w:p>
          <w:p>
            <w:pPr>
              <w:ind w:left="142" w:right="132"/>
              <w:jc w:val="both"/>
              <w:tabs>
                <w:tab w:val="left" w:pos="2520" w:leader="none"/>
              </w:tabs>
            </w:pPr>
            <w:r>
              <w:t xml:space="preserve">максимальное количество надземных этажей зданий – 2 этажа (включая мансардный этаж); </w:t>
            </w:r>
            <w:r/>
          </w:p>
          <w:p>
            <w:pPr>
              <w:ind w:left="142" w:right="132"/>
              <w:jc w:val="both"/>
              <w:tabs>
                <w:tab w:val="left" w:pos="2520" w:leader="none"/>
              </w:tabs>
            </w:pPr>
            <w:r>
              <w:t xml:space="preserve">максимальная высота зданий, строений, сооружений от уровня земли - 12 м;</w:t>
            </w:r>
            <w:r/>
          </w:p>
          <w:p>
            <w:pPr>
              <w:ind w:left="142" w:right="132"/>
              <w:jc w:val="both"/>
              <w:tabs>
                <w:tab w:val="left" w:pos="2520" w:leader="none"/>
              </w:tabs>
            </w:pPr>
            <w:r>
              <w:t xml:space="preserve">максимальный процент застройки в границах земельного участка – 60%;</w:t>
            </w:r>
            <w:r/>
          </w:p>
          <w:p>
            <w:pPr>
              <w:ind w:left="142" w:right="132"/>
              <w:jc w:val="both"/>
              <w:tabs>
                <w:tab w:val="left" w:pos="2520" w:leader="none"/>
              </w:tabs>
            </w:pPr>
            <w:r>
              <w:t xml:space="preserve">минимальные отступы от красной линии – 5 м; от иных границ – 3 м;</w:t>
            </w:r>
            <w:r/>
          </w:p>
          <w:p>
            <w:pPr>
              <w:ind w:left="142"/>
              <w:jc w:val="both"/>
              <w:tabs>
                <w:tab w:val="left" w:pos="2520" w:leader="none"/>
              </w:tabs>
              <w:rPr>
                <w:b/>
              </w:rPr>
            </w:pPr>
            <w:r>
              <w:t xml:space="preserve">минимальный процент озеленения земельного участка 15%.</w:t>
            </w:r>
            <w:r/>
          </w:p>
        </w:tc>
        <w:tc>
          <w:tcPr>
            <w:tcW w:w="3969" w:type="dxa"/>
            <w:vMerge w:val="continue"/>
            <w:textDirection w:val="lrTb"/>
            <w:noWrap w:val="false"/>
          </w:tcPr>
          <w:p>
            <w:pPr>
              <w:ind w:left="708"/>
            </w:pPr>
            <w:r/>
            <w:r/>
          </w:p>
        </w:tc>
      </w:tr>
      <w:tr>
        <w:trPr>
          <w:trHeight w:val="369"/>
        </w:trPr>
        <w:tc>
          <w:tcPr>
            <w:tcW w:w="2859" w:type="dxa"/>
            <w:textDirection w:val="lrTb"/>
            <w:noWrap w:val="false"/>
          </w:tcPr>
          <w:p>
            <w:pPr>
              <w:ind w:left="142" w:right="117"/>
              <w:tabs>
                <w:tab w:val="left" w:pos="2520" w:leader="none"/>
              </w:tabs>
              <w:rPr>
                <w:rFonts w:eastAsia="SimSun"/>
                <w:lang w:eastAsia="zh-CN" w:bidi="ru-RU"/>
              </w:rPr>
            </w:pPr>
            <w:r>
              <w:rPr>
                <w:rFonts w:eastAsia="SimSun"/>
                <w:lang w:val="en-US" w:eastAsia="zh-CN" w:bidi="ru-RU"/>
              </w:rPr>
              <w:t xml:space="preserve">[</w:t>
            </w:r>
            <w:r>
              <w:rPr>
                <w:rFonts w:eastAsia="SimSun"/>
                <w:lang w:eastAsia="zh-CN" w:bidi="ru-RU"/>
              </w:rPr>
              <w:t xml:space="preserve">3.2.1</w:t>
            </w:r>
            <w:r>
              <w:rPr>
                <w:rFonts w:eastAsia="SimSun"/>
                <w:lang w:val="en-US" w:eastAsia="zh-CN" w:bidi="ru-RU"/>
              </w:rPr>
              <w:t xml:space="preserve">]</w:t>
            </w:r>
            <w:r/>
          </w:p>
          <w:p>
            <w:pPr>
              <w:ind w:left="142" w:right="117"/>
              <w:tabs>
                <w:tab w:val="left" w:pos="2520" w:leader="none"/>
              </w:tabs>
              <w:rPr>
                <w:rFonts w:eastAsia="SimSun"/>
                <w:lang w:eastAsia="zh-CN" w:bidi="ru-RU"/>
              </w:rPr>
            </w:pPr>
            <w:r>
              <w:rPr>
                <w:rFonts w:eastAsia="SimSun"/>
                <w:lang w:eastAsia="zh-CN" w:bidi="ru-RU"/>
              </w:rPr>
              <w:t xml:space="preserve">Дома социального обслуживания</w:t>
            </w:r>
            <w:r/>
          </w:p>
        </w:tc>
        <w:tc>
          <w:tcPr>
            <w:tcW w:w="4111" w:type="dxa"/>
            <w:textDirection w:val="lrTb"/>
            <w:noWrap w:val="false"/>
          </w:tcPr>
          <w:p>
            <w:pPr>
              <w:ind w:left="147" w:right="117" w:hanging="5"/>
              <w:jc w:val="both"/>
              <w:tabs>
                <w:tab w:val="left" w:pos="2520" w:leader="none"/>
              </w:tabs>
            </w:pPr>
            <w:r>
              <w:t xml:space="preserve">Размещение зданий, предназначенных для размещения домов престарелых, домов ребенка, детских домов, пунктов ночлега для бездомных граждан;</w:t>
            </w:r>
            <w:r/>
          </w:p>
          <w:p>
            <w:pPr>
              <w:ind w:left="147" w:right="117" w:hanging="5"/>
              <w:jc w:val="both"/>
              <w:tabs>
                <w:tab w:val="left" w:pos="2520" w:leader="none"/>
              </w:tabs>
            </w:pPr>
            <w:r>
              <w:t xml:space="preserve">размещение объектов капитального строительства для временного размещения вынужденных переселенцев, лиц, признанных беженцами</w:t>
            </w:r>
            <w:r/>
          </w:p>
          <w:p>
            <w:pPr>
              <w:ind w:right="117"/>
              <w:jc w:val="both"/>
              <w:tabs>
                <w:tab w:val="left" w:pos="2520" w:leader="none"/>
              </w:tabs>
            </w:pPr>
            <w:r/>
            <w:r/>
          </w:p>
        </w:tc>
        <w:tc>
          <w:tcPr>
            <w:tcW w:w="3969" w:type="dxa"/>
            <w:textDirection w:val="lrTb"/>
            <w:noWrap w:val="false"/>
          </w:tcPr>
          <w:p>
            <w:pPr>
              <w:ind w:left="142" w:right="117"/>
              <w:jc w:val="both"/>
            </w:pPr>
            <w:r>
              <w:t xml:space="preserve">Минимальная/максимальная площадь земельных участков – 400/5000 кв. м; </w:t>
            </w:r>
            <w:r/>
          </w:p>
          <w:p>
            <w:pPr>
              <w:ind w:left="142" w:right="117"/>
              <w:jc w:val="both"/>
            </w:pPr>
            <w:r>
              <w:t xml:space="preserve">ма</w:t>
            </w:r>
            <w:r>
              <w:t xml:space="preserve">ксимальное количество надземных этажей зданий – 3 (включая мансардный этаж);                                                                                                               максимальный процент застройки в границах земельного участка – 60%;  </w:t>
            </w:r>
            <w:r/>
          </w:p>
          <w:p>
            <w:pPr>
              <w:ind w:left="142" w:right="117"/>
              <w:jc w:val="both"/>
            </w:pPr>
            <w:r>
              <w:t xml:space="preserve">минимальные отступы от красной линии – 5 м; от иных границ – 3 м;</w:t>
            </w:r>
            <w:r/>
          </w:p>
          <w:p>
            <w:pPr>
              <w:ind w:left="142" w:right="117"/>
              <w:tabs>
                <w:tab w:val="left" w:pos="2520" w:leader="none"/>
              </w:tabs>
            </w:pPr>
            <w:r>
              <w:t xml:space="preserve">минимальный процент озеленения земельного участка 15%.</w:t>
            </w:r>
            <w:r/>
          </w:p>
        </w:tc>
        <w:tc>
          <w:tcPr>
            <w:tcW w:w="3969" w:type="dxa"/>
            <w:vMerge w:val="continue"/>
            <w:textDirection w:val="lrTb"/>
            <w:noWrap w:val="false"/>
          </w:tcPr>
          <w:p>
            <w:pPr>
              <w:ind w:left="708"/>
            </w:pPr>
            <w:r/>
            <w:r/>
          </w:p>
        </w:tc>
      </w:tr>
      <w:tr>
        <w:trPr>
          <w:trHeight w:val="369"/>
        </w:trPr>
        <w:tc>
          <w:tcPr>
            <w:tcW w:w="2859" w:type="dxa"/>
            <w:textDirection w:val="lrTb"/>
            <w:noWrap w:val="false"/>
          </w:tcPr>
          <w:p>
            <w:pPr>
              <w:ind w:left="142" w:right="117"/>
              <w:tabs>
                <w:tab w:val="left" w:pos="2520" w:leader="none"/>
              </w:tabs>
            </w:pPr>
            <w:r>
              <w:t xml:space="preserve">[3.4.1] </w:t>
            </w:r>
            <w:r/>
          </w:p>
          <w:p>
            <w:pPr>
              <w:ind w:left="142" w:right="117"/>
              <w:tabs>
                <w:tab w:val="left" w:pos="2520" w:leader="none"/>
              </w:tabs>
              <w:rPr>
                <w:rFonts w:eastAsia="SimSun"/>
                <w:lang w:val="en-US" w:eastAsia="zh-CN" w:bidi="ru-RU"/>
              </w:rPr>
            </w:pPr>
            <w:r>
              <w:t xml:space="preserve">Амбулаторно-поликлиническое обслуживание</w:t>
            </w:r>
            <w:r/>
          </w:p>
        </w:tc>
        <w:tc>
          <w:tcPr>
            <w:tcW w:w="4111" w:type="dxa"/>
            <w:textDirection w:val="lrTb"/>
            <w:noWrap w:val="false"/>
          </w:tcPr>
          <w:p>
            <w:pPr>
              <w:ind w:left="142" w:right="117"/>
              <w:jc w:val="both"/>
              <w:tabs>
                <w:tab w:val="left" w:pos="2520" w:leader="none"/>
              </w:tabs>
            </w:pPr>
            <w:r>
              <w:t xml:space="preserve">Размещение объектов капитального строительства, пре</w:t>
            </w:r>
            <w:r>
              <w:t xml:space="preserve">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r/>
          </w:p>
        </w:tc>
        <w:tc>
          <w:tcPr>
            <w:tcW w:w="3969" w:type="dxa"/>
            <w:textDirection w:val="lrTb"/>
            <w:noWrap w:val="false"/>
          </w:tcPr>
          <w:p>
            <w:pPr>
              <w:ind w:left="142" w:right="117"/>
              <w:jc w:val="both"/>
            </w:pPr>
            <w:r>
              <w:t xml:space="preserve">Минимальная/максимальная площадь земельных участков – 200/15000 кв. м;</w:t>
            </w:r>
            <w:r/>
          </w:p>
          <w:p>
            <w:pPr>
              <w:ind w:left="142" w:right="117"/>
              <w:jc w:val="both"/>
            </w:pPr>
            <w:r>
              <w:t xml:space="preserve">максимальный процент застройки в границах земельного участка – 60%;</w:t>
            </w:r>
            <w:r/>
          </w:p>
          <w:p>
            <w:pPr>
              <w:ind w:left="142" w:right="117"/>
              <w:jc w:val="both"/>
            </w:pPr>
            <w:r>
              <w:t xml:space="preserve">максимальное количество надземных этажей зданий – 3;</w:t>
            </w:r>
            <w:r/>
          </w:p>
          <w:p>
            <w:pPr>
              <w:ind w:left="142" w:right="117"/>
              <w:jc w:val="both"/>
            </w:pPr>
            <w:r>
              <w:t xml:space="preserve">максимальная высота зданий, строений, сооружений от уровня земли - 15 м;</w:t>
            </w:r>
            <w:r/>
          </w:p>
          <w:p>
            <w:pPr>
              <w:ind w:left="142" w:right="117"/>
              <w:jc w:val="both"/>
            </w:pPr>
            <w:r>
              <w:t xml:space="preserve">минимальные отступы от красной линии – </w:t>
            </w:r>
            <w:r>
              <w:t xml:space="preserve">5 м; от иных границ – 3 м;  </w:t>
            </w:r>
            <w:r/>
          </w:p>
          <w:p>
            <w:pPr>
              <w:ind w:left="142" w:right="117"/>
              <w:jc w:val="both"/>
              <w:tabs>
                <w:tab w:val="left" w:pos="1134" w:leader="none"/>
              </w:tabs>
              <w:rPr>
                <w:rFonts w:eastAsia="Calibri"/>
              </w:rPr>
            </w:pPr>
            <w:r>
              <w:t xml:space="preserve">минимальный процент озеленения – 15%</w:t>
            </w:r>
            <w:r/>
          </w:p>
        </w:tc>
        <w:tc>
          <w:tcPr>
            <w:tcW w:w="3969" w:type="dxa"/>
            <w:vMerge w:val="continue"/>
            <w:textDirection w:val="lrTb"/>
            <w:noWrap w:val="false"/>
          </w:tcPr>
          <w:p>
            <w:pPr>
              <w:ind w:left="708"/>
            </w:pPr>
            <w:r/>
            <w:r/>
          </w:p>
        </w:tc>
      </w:tr>
    </w:tbl>
    <w:p>
      <w:pPr>
        <w:ind w:firstLine="567"/>
        <w:jc w:val="center"/>
        <w:tabs>
          <w:tab w:val="left" w:pos="2520" w:leader="none"/>
        </w:tabs>
      </w:pPr>
      <w:r/>
      <w:r/>
    </w:p>
    <w:p>
      <w:pPr>
        <w:ind w:firstLine="567"/>
        <w:jc w:val="center"/>
        <w:tabs>
          <w:tab w:val="left" w:pos="2520" w:leader="none"/>
        </w:tabs>
      </w:pPr>
      <w:r>
        <w:rPr>
          <w:b/>
          <w:color w:val="000000"/>
        </w:rPr>
        <w:t xml:space="preserve">ВСПОМОГАТЕЛЬНЫЕ ВИДЫ И ПАРАМЕТРЫ РАЗРЕШЕННОГО ИСПОЛЬЗОВАНИЯ ЗЕМЕЛЬНЫХ УЧАСТКОВ И ОБЪЕКТОВ КАПИТАЛЬНОГО СТРОИТЕЛЬСТВА</w:t>
      </w:r>
      <w:r/>
    </w:p>
    <w:p>
      <w:pPr>
        <w:ind w:firstLine="567"/>
        <w:jc w:val="center"/>
        <w:tabs>
          <w:tab w:val="left" w:pos="2520" w:leader="none"/>
        </w:tabs>
      </w:pPr>
      <w:r/>
      <w:r/>
    </w:p>
    <w:p>
      <w:pPr>
        <w:ind w:firstLine="567"/>
        <w:jc w:val="both"/>
      </w:pPr>
      <w:r>
        <w:rPr>
          <w:sz w:val="24"/>
          <w:szCs w:val="24"/>
          <w:lang w:eastAsia="ru-RU" w:bidi="ru-RU"/>
        </w:rPr>
        <w:t xml:space="preserve">Вспомогательные</w:t>
      </w:r>
      <w:r>
        <w:rPr>
          <w:sz w:val="24"/>
          <w:szCs w:val="24"/>
          <w:lang w:eastAsia="ru-RU" w:bidi="ru-RU"/>
        </w:rPr>
        <w:t xml:space="preserve"> </w:t>
      </w:r>
      <w:r>
        <w:rPr>
          <w:sz w:val="24"/>
          <w:szCs w:val="24"/>
          <w:lang w:eastAsia="ru-RU" w:bidi="ru-RU"/>
        </w:rPr>
        <w:t xml:space="preserve">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Pr>
          <w:rFonts w:eastAsia="SimSun"/>
          <w:sz w:val="24"/>
          <w:szCs w:val="24"/>
          <w:lang w:eastAsia="zh-CN" w:bidi="ru-RU"/>
        </w:rPr>
        <w:t xml:space="preserve"> Предельные (мин</w:t>
      </w:r>
      <w:r>
        <w:rPr>
          <w:rFonts w:eastAsia="SimSun"/>
          <w:sz w:val="24"/>
          <w:szCs w:val="24"/>
          <w:lang w:eastAsia="zh-CN" w:bidi="ru-RU"/>
        </w:rPr>
        <w:t xml:space="preserve">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r/>
    </w:p>
    <w:p>
      <w:pPr>
        <w:ind w:firstLine="567"/>
        <w:jc w:val="center"/>
        <w:tabs>
          <w:tab w:val="left" w:pos="2520" w:leader="none"/>
        </w:tabs>
      </w:pPr>
      <w: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 w:type="dxa"/>
          <w:right w:w="10" w:type="dxa"/>
        </w:tblCellMar>
        <w:tblLook w:val="04A0" w:firstRow="1" w:lastRow="0" w:firstColumn="1" w:lastColumn="0" w:noHBand="0" w:noVBand="1"/>
      </w:tblPr>
      <w:tblGrid>
        <w:gridCol w:w="3129"/>
        <w:gridCol w:w="6379"/>
        <w:gridCol w:w="5670"/>
      </w:tblGrid>
      <w:tr>
        <w:trPr>
          <w:trHeight w:val="552"/>
        </w:trPr>
        <w:tc>
          <w:tcPr>
            <w:tcW w:w="3129" w:type="dxa"/>
            <w:vAlign w:val="center"/>
            <w:textDirection w:val="lrTb"/>
            <w:noWrap w:val="false"/>
          </w:tcPr>
          <w:p>
            <w:pPr>
              <w:ind w:firstLine="567"/>
              <w:jc w:val="center"/>
              <w:tabs>
                <w:tab w:val="left" w:pos="2520" w:leader="none"/>
              </w:tabs>
              <w:rPr>
                <w:b/>
              </w:rPr>
            </w:pPr>
            <w:r>
              <w:rPr>
                <w:b/>
              </w:rPr>
              <w:t xml:space="preserve">ВИДЫ ВСПОМОГАТЕЛЬНЫХ ОБЪЕКТОВ КАПИТАЛЬНОГО СТРОИТЕЛЬСТВА</w:t>
            </w:r>
            <w:r/>
          </w:p>
        </w:tc>
        <w:tc>
          <w:tcPr>
            <w:tcW w:w="6379" w:type="dxa"/>
            <w:vAlign w:val="center"/>
            <w:textDirection w:val="lrTb"/>
            <w:noWrap w:val="false"/>
          </w:tcPr>
          <w:p>
            <w:pPr>
              <w:ind w:firstLine="567"/>
              <w:jc w:val="center"/>
              <w:tabs>
                <w:tab w:val="left" w:pos="2520" w:leader="none"/>
              </w:tabs>
              <w:rPr>
                <w:b/>
              </w:rPr>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W w:w="5670" w:type="dxa"/>
            <w:vAlign w:val="center"/>
            <w:textDirection w:val="lrTb"/>
            <w:noWrap w:val="false"/>
          </w:tcPr>
          <w:p>
            <w:pPr>
              <w:ind w:right="557" w:firstLine="567"/>
              <w:jc w:val="center"/>
              <w:tabs>
                <w:tab w:val="left" w:pos="3071" w:leader="none"/>
              </w:tabs>
              <w:rPr>
                <w:b/>
              </w:rPr>
            </w:pPr>
            <w:r>
              <w:rPr>
                <w:b/>
              </w:rPr>
              <w:t xml:space="preserve">ОСОБЫЕ УСЛОВИЯ РЕАЛИЗАЦИИ РЕГЛАМЕНТА</w:t>
            </w:r>
            <w:r/>
          </w:p>
          <w:p>
            <w:pPr>
              <w:ind w:right="557" w:firstLine="567"/>
              <w:jc w:val="center"/>
              <w:tabs>
                <w:tab w:val="left" w:pos="3071" w:leader="none"/>
              </w:tabs>
              <w:rPr>
                <w:b/>
              </w:rPr>
            </w:pPr>
            <w:r>
              <w:rPr>
                <w:b/>
              </w:rPr>
            </w:r>
            <w:r/>
          </w:p>
        </w:tc>
      </w:tr>
      <w:tr>
        <w:trPr>
          <w:trHeight w:val="984"/>
        </w:trPr>
        <w:tc>
          <w:tcPr>
            <w:tcW w:w="3129" w:type="dxa"/>
            <w:textDirection w:val="lrTb"/>
            <w:noWrap w:val="false"/>
          </w:tcPr>
          <w:p>
            <w:pPr>
              <w:ind w:left="142" w:right="131"/>
              <w:tabs>
                <w:tab w:val="left" w:pos="4812" w:leader="none"/>
              </w:tabs>
              <w:rPr>
                <w:rFonts w:eastAsia="SimSun"/>
                <w:lang w:eastAsia="zh-CN" w:bidi="ru-RU"/>
              </w:rPr>
            </w:pPr>
            <w:r>
              <w:rPr>
                <w:rFonts w:eastAsia="SimSun"/>
                <w:lang w:eastAsia="zh-CN" w:bidi="ru-RU"/>
              </w:rPr>
              <w:t xml:space="preserve">Площадки для сбора твердых бытовых отходов.</w:t>
            </w:r>
            <w:r/>
          </w:p>
          <w:p>
            <w:pPr>
              <w:ind w:left="142" w:right="131"/>
              <w:rPr>
                <w:rFonts w:eastAsia="SimSun"/>
                <w:lang w:eastAsia="zh-CN" w:bidi="ru-RU"/>
              </w:rPr>
            </w:pPr>
            <w:r>
              <w:rPr>
                <w:rFonts w:eastAsia="SimSun"/>
                <w:lang w:eastAsia="zh-CN" w:bidi="ru-RU"/>
              </w:rPr>
            </w:r>
            <w:r/>
          </w:p>
        </w:tc>
        <w:tc>
          <w:tcPr>
            <w:tcW w:w="6379" w:type="dxa"/>
            <w:textDirection w:val="lrTb"/>
            <w:noWrap w:val="false"/>
          </w:tcPr>
          <w:p>
            <w:pPr>
              <w:ind w:left="142" w:right="224"/>
              <w:jc w:val="both"/>
              <w:tabs>
                <w:tab w:val="left" w:pos="4812" w:leader="none"/>
              </w:tabs>
              <w:rPr>
                <w:rFonts w:eastAsia="SimSun"/>
                <w:lang w:eastAsia="zh-CN" w:bidi="ru-RU"/>
              </w:rPr>
            </w:pPr>
            <w:r>
              <w:rPr>
                <w:rFonts w:eastAsia="SimSun"/>
                <w:lang w:eastAsia="zh-CN" w:bidi="ru-RU"/>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r/>
          </w:p>
          <w:p>
            <w:pPr>
              <w:ind w:left="142" w:right="131"/>
              <w:jc w:val="both"/>
              <w:rPr>
                <w:rFonts w:eastAsia="SimSun"/>
                <w:lang w:eastAsia="zh-CN" w:bidi="ru-RU"/>
              </w:rPr>
            </w:pPr>
            <w:r>
              <w:rPr>
                <w:rFonts w:eastAsia="SimSun"/>
                <w:lang w:eastAsia="zh-CN" w:bidi="ru-RU"/>
              </w:rPr>
              <w:t xml:space="preserve">Общее количество контейнеров не более 5 шт.</w:t>
            </w:r>
            <w:r/>
          </w:p>
        </w:tc>
        <w:tc>
          <w:tcPr>
            <w:tcW w:w="5670" w:type="dxa"/>
            <w:vMerge w:val="restart"/>
            <w:textDirection w:val="lrTb"/>
            <w:noWrap w:val="false"/>
          </w:tcPr>
          <w:p>
            <w:pPr>
              <w:ind w:left="142" w:right="131"/>
              <w:jc w:val="both"/>
              <w:rPr>
                <w:rFonts w:eastAsia="SimSun"/>
                <w:lang w:eastAsia="zh-CN" w:bidi="ru-RU"/>
              </w:rPr>
            </w:pPr>
            <w:r>
              <w:rPr>
                <w:rFonts w:eastAsia="SimSun"/>
                <w:lang w:eastAsia="zh-CN" w:bidi="ru-RU"/>
              </w:rPr>
              <w:t xml:space="preserve">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r/>
          </w:p>
          <w:p>
            <w:pPr>
              <w:ind w:left="142" w:right="131"/>
              <w:jc w:val="both"/>
              <w:rPr>
                <w:rFonts w:eastAsia="SimSun"/>
                <w:lang w:eastAsia="zh-CN" w:bidi="ru-RU"/>
              </w:rPr>
            </w:pPr>
            <w:r>
              <w:rPr>
                <w:rFonts w:eastAsia="SimSun"/>
                <w:lang w:eastAsia="zh-CN" w:bidi="ru-RU"/>
              </w:rPr>
            </w:r>
            <w:r/>
          </w:p>
          <w:p>
            <w:pPr>
              <w:ind w:left="142" w:right="131"/>
              <w:jc w:val="both"/>
              <w:tabs>
                <w:tab w:val="left" w:pos="1134" w:leader="none"/>
              </w:tabs>
              <w:rPr>
                <w:rFonts w:eastAsia="SimSun"/>
                <w:lang w:eastAsia="zh-CN" w:bidi="ru-RU"/>
              </w:rPr>
            </w:pPr>
            <w:r>
              <w:rPr>
                <w:rFonts w:eastAsia="SimSun"/>
                <w:lang w:eastAsia="zh-CN" w:bidi="ru-RU"/>
              </w:rPr>
              <w:t xml:space="preserve">Размещение вспомогательных объектов, в том числе навесов должно осуществляться с учетом противопожарных </w:t>
            </w:r>
            <w:r>
              <w:rPr>
                <w:rFonts w:eastAsia="SimSun"/>
                <w:lang w:eastAsia="zh-CN" w:bidi="ru-RU"/>
              </w:rPr>
              <w:t xml:space="preserve">требований и соблюдения нормативной продолжительности инсоляции придомовых территорий и жилых помещений, </w:t>
            </w:r>
            <w:r/>
          </w:p>
          <w:p>
            <w:pPr>
              <w:ind w:left="142" w:right="131"/>
              <w:jc w:val="both"/>
              <w:tabs>
                <w:tab w:val="left" w:pos="1134" w:leader="none"/>
              </w:tabs>
              <w:rPr>
                <w:rFonts w:eastAsia="SimSun"/>
                <w:lang w:eastAsia="zh-CN" w:bidi="ru-RU"/>
              </w:rPr>
            </w:pPr>
            <w:r>
              <w:rPr>
                <w:rFonts w:eastAsia="SimSun"/>
                <w:lang w:eastAsia="zh-CN" w:bidi="ru-RU"/>
              </w:rPr>
            </w:r>
            <w:r/>
          </w:p>
          <w:p>
            <w:pPr>
              <w:ind w:left="142" w:right="131"/>
              <w:jc w:val="both"/>
            </w:pPr>
            <w:r>
              <w:t xml:space="preserve">Хозяйственные постройки должны быть обеспечены системами водоотведения с кровли, с целью предотвращения подтопления соседни</w:t>
            </w:r>
            <w:r>
              <w:t xml:space="preserve">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 </w:t>
            </w:r>
            <w:r/>
          </w:p>
          <w:p>
            <w:pPr>
              <w:ind w:left="142" w:right="131"/>
              <w:jc w:val="both"/>
            </w:pPr>
            <w:r/>
            <w:r/>
          </w:p>
          <w:p>
            <w:pPr>
              <w:ind w:left="142" w:right="131"/>
              <w:jc w:val="both"/>
              <w:rPr>
                <w:rFonts w:eastAsia="SimSun"/>
                <w:lang w:eastAsia="zh-CN" w:bidi="ru-RU"/>
              </w:rPr>
            </w:pPr>
            <w:r>
              <w:rPr>
                <w:rFonts w:eastAsia="SimSun"/>
                <w:lang w:eastAsia="zh-CN" w:bidi="ru-RU"/>
              </w:rPr>
              <w:t xml:space="preserve">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r/>
          </w:p>
          <w:p>
            <w:pPr>
              <w:ind w:left="142" w:right="131"/>
              <w:jc w:val="both"/>
              <w:rPr>
                <w:rFonts w:eastAsia="SimSun"/>
                <w:lang w:eastAsia="zh-CN" w:bidi="ru-RU"/>
              </w:rPr>
            </w:pPr>
            <w:r>
              <w:rPr>
                <w:rFonts w:eastAsia="SimSun"/>
                <w:lang w:eastAsia="zh-CN" w:bidi="ru-RU"/>
              </w:rPr>
            </w:r>
            <w:r/>
          </w:p>
          <w:p>
            <w:pPr>
              <w:ind w:left="142" w:right="131"/>
              <w:jc w:val="both"/>
              <w:rPr>
                <w:rFonts w:eastAsia="SimSun"/>
                <w:lang w:eastAsia="zh-CN" w:bidi="ru-RU"/>
              </w:rPr>
            </w:pPr>
            <w:r>
              <w:rPr>
                <w:rFonts w:eastAsia="SimSun"/>
                <w:lang w:eastAsia="zh-CN" w:bidi="ru-RU"/>
              </w:rPr>
              <w:t xml:space="preserve">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p>
          <w:p>
            <w:pPr>
              <w:ind w:left="142" w:right="131"/>
              <w:jc w:val="both"/>
              <w:rPr>
                <w:rFonts w:eastAsia="SimSun"/>
                <w:lang w:eastAsia="zh-CN" w:bidi="ru-RU"/>
              </w:rPr>
            </w:pPr>
            <w:r>
              <w:rPr>
                <w:rFonts w:eastAsia="SimSun"/>
                <w:lang w:eastAsia="zh-CN" w:bidi="ru-RU"/>
              </w:rPr>
            </w:r>
            <w:r/>
          </w:p>
          <w:p>
            <w:pPr>
              <w:ind w:left="142" w:right="131"/>
              <w:jc w:val="both"/>
              <w:rPr>
                <w:rFonts w:eastAsia="SimSun"/>
                <w:lang w:eastAsia="zh-CN" w:bidi="ru-RU"/>
              </w:rPr>
            </w:pPr>
            <w:r>
              <w:rPr>
                <w:rFonts w:eastAsia="SimSun"/>
                <w:lang w:eastAsia="zh-CN" w:bidi="ru-RU"/>
              </w:rPr>
              <w:t xml:space="preserve">Любые вспомогательные виды решённого использования объектов капитального строительства не могут по своим суммарным характеристикам (стр</w:t>
            </w:r>
            <w:r>
              <w:rPr>
                <w:rFonts w:eastAsia="SimSun"/>
                <w:lang w:eastAsia="zh-CN" w:bidi="ru-RU"/>
              </w:rPr>
              <w:t xml:space="preserve">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r/>
          </w:p>
          <w:p>
            <w:pPr>
              <w:ind w:left="142" w:right="131"/>
              <w:jc w:val="both"/>
            </w:pPr>
            <w:r/>
            <w:r/>
          </w:p>
        </w:tc>
      </w:tr>
      <w:tr>
        <w:trPr>
          <w:trHeight w:val="705"/>
        </w:trPr>
        <w:tc>
          <w:tcPr>
            <w:tcW w:w="3129" w:type="dxa"/>
            <w:textDirection w:val="lrTb"/>
            <w:noWrap w:val="false"/>
          </w:tcPr>
          <w:p>
            <w:pPr>
              <w:ind w:left="142" w:right="131"/>
              <w:tabs>
                <w:tab w:val="left" w:pos="4812" w:leader="none"/>
              </w:tabs>
              <w:rPr>
                <w:rFonts w:eastAsia="SimSun"/>
                <w:lang w:eastAsia="zh-CN" w:bidi="ru-RU"/>
              </w:rPr>
            </w:pPr>
            <w:r>
              <w:rPr>
                <w:rFonts w:eastAsia="SimSun"/>
                <w:lang w:eastAsia="zh-CN" w:bidi="ru-RU"/>
              </w:rPr>
              <w:t xml:space="preserve">Гостевые автостоянки для парковки легковых автомобилей посетителей.</w:t>
            </w:r>
            <w:r/>
          </w:p>
        </w:tc>
        <w:tc>
          <w:tcPr>
            <w:tcW w:w="6379" w:type="dxa"/>
            <w:textDirection w:val="lrTb"/>
            <w:noWrap w:val="false"/>
          </w:tcPr>
          <w:p>
            <w:pPr>
              <w:ind w:left="142" w:right="132"/>
              <w:jc w:val="both"/>
              <w:widowControl/>
              <w:tabs>
                <w:tab w:val="left" w:pos="4812" w:leader="none"/>
              </w:tabs>
              <w:rPr>
                <w:lang w:eastAsia="ru-RU"/>
              </w:rPr>
            </w:pPr>
            <w:r>
              <w:rPr>
                <w:lang w:eastAsia="ru-RU"/>
              </w:rPr>
              <w:t xml:space="preserve">Нормативное количество парковочных мест определяется по таблице части 8 ст. 21 Правил</w:t>
            </w:r>
            <w:r/>
          </w:p>
          <w:p>
            <w:pPr>
              <w:ind w:left="142" w:right="224"/>
              <w:jc w:val="both"/>
              <w:tabs>
                <w:tab w:val="left" w:pos="4812" w:leader="none"/>
              </w:tabs>
              <w:rPr>
                <w:rFonts w:eastAsia="SimSun"/>
                <w:lang w:eastAsia="zh-CN" w:bidi="ru-RU"/>
              </w:rPr>
            </w:pPr>
            <w:r>
              <w:rPr>
                <w:rFonts w:eastAsia="SimSun"/>
                <w:lang w:eastAsia="zh-CN" w:bidi="ru-RU"/>
              </w:rPr>
            </w:r>
            <w:r/>
          </w:p>
        </w:tc>
        <w:tc>
          <w:tcPr>
            <w:tcW w:w="5670" w:type="dxa"/>
            <w:vMerge w:val="continue"/>
            <w:textDirection w:val="lrTb"/>
            <w:noWrap w:val="false"/>
          </w:tcPr>
          <w:p>
            <w:pPr>
              <w:ind w:left="142" w:right="131"/>
              <w:jc w:val="both"/>
              <w:rPr>
                <w:rFonts w:eastAsia="SimSun"/>
                <w:lang w:eastAsia="zh-CN" w:bidi="ru-RU"/>
              </w:rPr>
            </w:pPr>
            <w:r>
              <w:rPr>
                <w:rFonts w:eastAsia="SimSun"/>
                <w:lang w:eastAsia="zh-CN" w:bidi="ru-RU"/>
              </w:rPr>
            </w:r>
            <w:r/>
          </w:p>
        </w:tc>
      </w:tr>
      <w:tr>
        <w:trPr>
          <w:trHeight w:val="2645"/>
        </w:trPr>
        <w:tc>
          <w:tcPr>
            <w:tcW w:w="3129" w:type="dxa"/>
            <w:textDirection w:val="lrTb"/>
            <w:noWrap w:val="false"/>
          </w:tcPr>
          <w:p>
            <w:pPr>
              <w:ind w:left="142" w:right="132"/>
              <w:tabs>
                <w:tab w:val="left" w:pos="4812" w:leader="none"/>
              </w:tabs>
              <w:rPr>
                <w:rFonts w:eastAsia="SimSun"/>
                <w:lang w:eastAsia="zh-CN" w:bidi="ru-RU"/>
              </w:rPr>
            </w:pPr>
            <w:r>
              <w:t xml:space="preserve">Ограждение</w:t>
            </w:r>
            <w:r/>
          </w:p>
        </w:tc>
        <w:tc>
          <w:tcPr>
            <w:tcW w:w="6379" w:type="dxa"/>
            <w:textDirection w:val="lrTb"/>
            <w:noWrap w:val="false"/>
          </w:tcPr>
          <w:p>
            <w:pPr>
              <w:ind w:left="142" w:right="132"/>
              <w:jc w:val="both"/>
              <w:tabs>
                <w:tab w:val="left" w:pos="4812" w:leader="none"/>
              </w:tabs>
            </w:pPr>
            <w: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w:t>
            </w:r>
            <w:r>
              <w:t xml:space="preserve">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p>
          <w:p>
            <w:pPr>
              <w:ind w:left="142" w:right="132"/>
              <w:jc w:val="both"/>
              <w:tabs>
                <w:tab w:val="left" w:pos="4812" w:leader="none"/>
              </w:tabs>
              <w:rPr>
                <w:rFonts w:eastAsia="SimSun"/>
                <w:lang w:eastAsia="zh-CN" w:bidi="ru-RU"/>
              </w:rPr>
            </w:pPr>
            <w:r>
              <w:t xml:space="preserve">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r/>
          </w:p>
        </w:tc>
        <w:tc>
          <w:tcPr>
            <w:tcW w:w="5670" w:type="dxa"/>
            <w:vMerge w:val="continue"/>
            <w:textDirection w:val="lrTb"/>
            <w:noWrap w:val="false"/>
          </w:tcPr>
          <w:p>
            <w:pPr>
              <w:ind w:left="142" w:right="131"/>
              <w:jc w:val="both"/>
              <w:rPr>
                <w:rFonts w:eastAsia="SimSun"/>
                <w:lang w:eastAsia="zh-CN" w:bidi="ru-RU"/>
              </w:rPr>
            </w:pPr>
            <w:r>
              <w:rPr>
                <w:rFonts w:eastAsia="SimSun"/>
                <w:lang w:eastAsia="zh-CN" w:bidi="ru-RU"/>
              </w:rPr>
            </w:r>
            <w:r/>
          </w:p>
        </w:tc>
      </w:tr>
      <w:tr>
        <w:trPr>
          <w:trHeight w:val="1140"/>
        </w:trPr>
        <w:tc>
          <w:tcPr>
            <w:tcW w:w="3129" w:type="dxa"/>
            <w:textDirection w:val="lrTb"/>
            <w:noWrap w:val="false"/>
          </w:tcPr>
          <w:p>
            <w:pPr>
              <w:ind w:left="127" w:right="132"/>
            </w:pPr>
            <w:r>
              <w:rPr>
                <w:rFonts w:eastAsia="Calibri"/>
              </w:rPr>
              <w:t xml:space="preserve">Для объектов общественного назначения вспомогательные объекты определяются материалами проектной документации. </w:t>
            </w:r>
            <w:r/>
          </w:p>
        </w:tc>
        <w:tc>
          <w:tcPr>
            <w:tcW w:w="6379" w:type="dxa"/>
            <w:textDirection w:val="lrTb"/>
            <w:noWrap w:val="false"/>
          </w:tcPr>
          <w:p>
            <w:pPr>
              <w:ind w:left="142" w:right="132"/>
              <w:jc w:val="both"/>
              <w:tabs>
                <w:tab w:val="left" w:pos="4812" w:leader="none"/>
              </w:tabs>
            </w:pPr>
            <w:r>
              <w:rPr>
                <w:rFonts w:eastAsia="SimSun"/>
                <w:lang w:eastAsia="zh-CN" w:bidi="ru-RU"/>
              </w:rPr>
              <w:t xml:space="preserve">Максимальное количество надземных этажей – 2 этажа (при условии обеспечения нормативной инсоляции на территории соседних участков).</w:t>
            </w:r>
            <w:r/>
          </w:p>
          <w:p>
            <w:pPr>
              <w:ind w:left="142" w:right="132"/>
              <w:jc w:val="both"/>
              <w:tabs>
                <w:tab w:val="left" w:pos="4812" w:leader="none"/>
              </w:tabs>
              <w:rPr>
                <w:rFonts w:eastAsia="SimSun"/>
                <w:lang w:eastAsia="zh-CN" w:bidi="ru-RU"/>
              </w:rPr>
            </w:pPr>
            <w:r>
              <w:rPr>
                <w:rFonts w:eastAsia="SimSun"/>
                <w:lang w:eastAsia="zh-CN" w:bidi="ru-RU"/>
              </w:rPr>
              <w:t xml:space="preserve">Максимальная высота – 6 м. </w:t>
            </w:r>
            <w:r/>
          </w:p>
          <w:p>
            <w:pPr>
              <w:ind w:left="142" w:right="132"/>
              <w:jc w:val="both"/>
              <w:tabs>
                <w:tab w:val="left" w:pos="4812" w:leader="none"/>
              </w:tabs>
              <w:rPr>
                <w:rFonts w:eastAsia="SimSun"/>
                <w:lang w:eastAsia="zh-CN" w:bidi="ru-RU"/>
              </w:rPr>
            </w:pPr>
            <w:r>
              <w:rPr>
                <w:rFonts w:eastAsia="SimSun"/>
                <w:lang w:eastAsia="zh-CN" w:bidi="ru-RU"/>
              </w:rPr>
              <w:t xml:space="preserve">Расстояние до красных линий улиц и проездов не менее - 5 м; до иных границ – 1 м. при соблюдении требований технических регламентов.</w:t>
            </w:r>
            <w:r/>
          </w:p>
        </w:tc>
        <w:tc>
          <w:tcPr>
            <w:tcW w:w="5670" w:type="dxa"/>
            <w:vMerge w:val="continue"/>
            <w:textDirection w:val="lrTb"/>
            <w:noWrap w:val="false"/>
          </w:tcPr>
          <w:p>
            <w:pPr>
              <w:ind w:left="142" w:right="131"/>
              <w:jc w:val="both"/>
              <w:rPr>
                <w:rFonts w:eastAsia="SimSun"/>
                <w:lang w:eastAsia="zh-CN" w:bidi="ru-RU"/>
              </w:rPr>
            </w:pPr>
            <w:r>
              <w:rPr>
                <w:rFonts w:eastAsia="SimSun"/>
                <w:lang w:eastAsia="zh-CN" w:bidi="ru-RU"/>
              </w:rPr>
            </w:r>
            <w:r/>
          </w:p>
        </w:tc>
      </w:tr>
    </w:tbl>
    <w:p>
      <w:pPr>
        <w:ind w:firstLine="567"/>
        <w:rPr>
          <w:shd w:val="clear" w:color="auto" w:fill="ffffff"/>
        </w:rPr>
      </w:pPr>
      <w:r>
        <w:rPr>
          <w:shd w:val="clear" w:color="auto" w:fill="ffffff"/>
        </w:rPr>
      </w:r>
      <w:r/>
    </w:p>
    <w:p>
      <w:pPr>
        <w:ind w:firstLine="567"/>
        <w:rPr>
          <w:shd w:val="clear" w:color="auto" w:fill="ffffff"/>
        </w:rPr>
      </w:pPr>
      <w:r>
        <w:rPr>
          <w:shd w:val="clear" w:color="auto" w:fill="ffffff"/>
        </w:rPr>
        <w:t xml:space="preserve">Примечание:</w:t>
      </w:r>
      <w:r/>
    </w:p>
    <w:p>
      <w:pPr>
        <w:ind w:firstLine="567"/>
        <w:jc w:val="both"/>
        <w:rPr>
          <w:shd w:val="clear" w:color="auto" w:fill="ffffff"/>
        </w:rPr>
      </w:pPr>
      <w:r>
        <w:rPr>
          <w:shd w:val="clear" w:color="auto" w:fill="ffffff"/>
        </w:rPr>
        <w:t xml:space="preserve">Предельные (минимальные и (или) максимальные) размеры земельных участков и максимальный процент застройки для вспомогательных видов не подлежат установлению.</w:t>
      </w:r>
      <w:r/>
    </w:p>
    <w:p>
      <w:pPr>
        <w:ind w:firstLine="567"/>
      </w:pPr>
      <w:r>
        <w:rPr>
          <w:shd w:val="clear" w:color="auto" w:fill="ffffff"/>
        </w:rPr>
        <w:t xml:space="preserve">Общая площадь некапитального объекта принята до 25 кв.м. Этажность отдельно стоящих нек</w:t>
      </w:r>
      <w:r>
        <w:rPr>
          <w:shd w:val="clear" w:color="auto" w:fill="ffffff"/>
        </w:rPr>
        <w:t xml:space="preserve">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w:t>
      </w:r>
      <w:r>
        <w:t xml:space="preserve">Дмитриевского</w:t>
      </w:r>
      <w:r>
        <w:t xml:space="preserve"> сельского поселения Кавказского района Краснодарского края</w:t>
      </w:r>
      <w:r>
        <w:rPr>
          <w:shd w:val="clear" w:color="auto" w:fill="ffffff"/>
        </w:rPr>
        <w:t xml:space="preserve"> осуществляется согласно схеме размещения нестационарных торговых объектов на территории Кавказского района, утвержденной поста</w:t>
      </w:r>
      <w:r>
        <w:rPr>
          <w:shd w:val="clear" w:color="auto" w:fill="ffffff"/>
        </w:rPr>
        <w:t xml:space="preserve">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w:t>
      </w:r>
      <w:r/>
    </w:p>
    <w:p>
      <w:pPr>
        <w:ind w:firstLine="567"/>
      </w:pPr>
      <w:r/>
      <w:r/>
    </w:p>
    <w:p>
      <w:pPr>
        <w:ind w:firstLine="567"/>
      </w:pPr>
      <w:r/>
      <w:r/>
    </w:p>
    <w:p>
      <w:pPr>
        <w:ind w:firstLine="567"/>
      </w:pPr>
      <w:r/>
      <w:r/>
    </w:p>
    <w:p>
      <w:pPr>
        <w:ind w:firstLine="567"/>
        <w:jc w:val="center"/>
      </w:pPr>
      <w:r>
        <w:rPr>
          <w:b/>
          <w:sz w:val="24"/>
          <w:szCs w:val="24"/>
        </w:rPr>
        <w:t xml:space="preserve">ЗОНА ИНЖЕНЕРНОЙ ИНФРАСТРУКТУРЫ</w:t>
      </w:r>
      <w:r/>
    </w:p>
    <w:p>
      <w:pPr>
        <w:ind w:firstLine="567"/>
        <w:jc w:val="both"/>
      </w:pPr>
      <w:r>
        <w:rPr>
          <w:color w:val="000000" w:themeColor="text1"/>
          <w:sz w:val="24"/>
          <w:szCs w:val="24"/>
        </w:rPr>
        <w:t xml:space="preserve">Кодовое обозначение – И</w:t>
      </w:r>
      <w:r/>
    </w:p>
    <w:p>
      <w:pPr>
        <w:ind w:firstLine="567"/>
        <w:jc w:val="center"/>
      </w:pPr>
      <w:r/>
      <w:r/>
    </w:p>
    <w:p>
      <w:pPr>
        <w:ind w:firstLine="567"/>
        <w:jc w:val="center"/>
        <w:tabs>
          <w:tab w:val="left" w:pos="2520" w:leader="none"/>
        </w:tabs>
      </w:pPr>
      <w:r>
        <w:rPr>
          <w:b/>
          <w:color w:val="000000"/>
        </w:rPr>
        <w:t xml:space="preserve">ОСНОВНЫЕ ВИДЫ И ПАРАМЕТРЫ РАЗРЕШЕННОГО ИСПОЛЬЗОВАНИЯ ЗЕМЕЛЬНЫХ УЧАСТКОВ И ОБЪЕКТОВ КАПИТАЛЬНОГО СТРОИТЕЛЬСТВА</w:t>
      </w:r>
      <w:r/>
    </w:p>
    <w:p>
      <w:pPr>
        <w:ind w:firstLine="567"/>
        <w:jc w:val="center"/>
        <w:tabs>
          <w:tab w:val="left" w:pos="2520" w:leader="none"/>
        </w:tabs>
      </w:pPr>
      <w:r/>
      <w:r/>
    </w:p>
    <w:tbl>
      <w:tblPr>
        <w:tblW w:w="15178" w:type="dxa"/>
        <w:tblLayout w:type="fixed"/>
        <w:tblCellMar>
          <w:left w:w="10" w:type="dxa"/>
          <w:right w:w="10" w:type="dxa"/>
        </w:tblCellMar>
        <w:tblLook w:val="04A0" w:firstRow="1" w:lastRow="0" w:firstColumn="1" w:lastColumn="0" w:noHBand="0" w:noVBand="1"/>
      </w:tblPr>
      <w:tblGrid>
        <w:gridCol w:w="3152"/>
        <w:gridCol w:w="4214"/>
        <w:gridCol w:w="4720"/>
        <w:gridCol w:w="3092"/>
      </w:tblGrid>
      <w:tr>
        <w:trPr>
          <w:trHeight w:val="20"/>
        </w:trPr>
        <w:tc>
          <w:tcPr>
            <w:tcBorders>
              <w:top w:val="single" w:color="000000" w:sz="4" w:space="0"/>
              <w:left w:val="single" w:color="000000" w:sz="4" w:space="0"/>
              <w:bottom w:val="single" w:color="000000" w:sz="4" w:space="0"/>
              <w:right w:val="none" w:color="000000" w:sz="4" w:space="0"/>
            </w:tcBorders>
            <w:tcW w:w="3152" w:type="dxa"/>
            <w:vAlign w:val="center"/>
            <w:textDirection w:val="lrTb"/>
            <w:noWrap w:val="false"/>
          </w:tcPr>
          <w:p>
            <w:pPr>
              <w:ind w:left="142" w:right="155"/>
              <w:jc w:val="center"/>
              <w:tabs>
                <w:tab w:val="left" w:pos="2520" w:leader="none"/>
              </w:tabs>
              <w:rPr>
                <w:b/>
              </w:rPr>
            </w:pPr>
            <w:r>
              <w:rPr>
                <w:rFonts w:eastAsia="SimSun"/>
                <w:lang w:eastAsia="zh-CN" w:bidi="ru-RU"/>
              </w:rPr>
              <w:t xml:space="preserve">[</w:t>
            </w:r>
            <w:r>
              <w:rPr>
                <w:b/>
              </w:rPr>
              <w:t xml:space="preserve">КОД (ЧИСЛОВОЕ ОБОЗНАЧЕНИЕ)</w:t>
            </w:r>
            <w:r>
              <w:rPr>
                <w:rFonts w:eastAsia="SimSun"/>
                <w:lang w:eastAsia="zh-CN" w:bidi="ru-RU"/>
              </w:rPr>
              <w:t xml:space="preserve">]-</w:t>
            </w:r>
            <w:r>
              <w:rPr>
                <w:b/>
              </w:rPr>
              <w:t xml:space="preserve"> НАИМЕНОВАНИЕ ВИДАРАЗРЕШЕННОГО ИСПОЛЬЗОВАНИЯ ЗЕМЕЛЬНЫХ УЧАСТКОВ</w:t>
            </w:r>
            <w:r/>
          </w:p>
        </w:tc>
        <w:tc>
          <w:tcPr>
            <w:tcBorders>
              <w:top w:val="single" w:color="000000" w:sz="4" w:space="0"/>
              <w:left w:val="single" w:color="000000" w:sz="4" w:space="0"/>
              <w:bottom w:val="single" w:color="000000" w:sz="4" w:space="0"/>
              <w:right w:val="none" w:color="000000" w:sz="4" w:space="0"/>
            </w:tcBorders>
            <w:tcW w:w="4214" w:type="dxa"/>
            <w:vAlign w:val="center"/>
            <w:textDirection w:val="lrTb"/>
            <w:noWrap w:val="false"/>
          </w:tcPr>
          <w:p>
            <w:pPr>
              <w:ind w:left="142" w:right="155"/>
              <w:jc w:val="center"/>
              <w:tabs>
                <w:tab w:val="left" w:pos="2520" w:leader="none"/>
              </w:tabs>
              <w:rPr>
                <w:b/>
              </w:rPr>
            </w:pPr>
            <w:r>
              <w:rPr>
                <w:b/>
              </w:rPr>
              <w:t xml:space="preserve">ВИДЫ ОБЪЕКТОВ КАПИТАЛЬНОГО СТРОИТЕЛЬСТВА</w:t>
            </w:r>
            <w:r/>
          </w:p>
        </w:tc>
        <w:tc>
          <w:tcPr>
            <w:tcBorders>
              <w:top w:val="single" w:color="000000" w:sz="4" w:space="0"/>
              <w:left w:val="single" w:color="000000" w:sz="4" w:space="0"/>
              <w:bottom w:val="single" w:color="000000" w:sz="4" w:space="0"/>
              <w:right w:val="single" w:color="auto" w:sz="4" w:space="0"/>
            </w:tcBorders>
            <w:tcW w:w="4720" w:type="dxa"/>
            <w:vAlign w:val="center"/>
            <w:textDirection w:val="lrTb"/>
            <w:noWrap w:val="false"/>
          </w:tcPr>
          <w:p>
            <w:pPr>
              <w:ind w:left="142" w:right="155"/>
              <w:jc w:val="center"/>
              <w:tabs>
                <w:tab w:val="left" w:pos="2520" w:leader="none"/>
              </w:tabs>
              <w:rPr>
                <w:b/>
              </w:rPr>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Borders>
              <w:top w:val="single" w:color="000000" w:sz="4" w:space="0"/>
              <w:left w:val="single" w:color="auto" w:sz="4" w:space="0"/>
              <w:bottom w:val="single" w:color="000000" w:sz="4" w:space="0"/>
              <w:right w:val="single" w:color="000000" w:sz="4" w:space="0"/>
            </w:tcBorders>
            <w:tcW w:w="3092" w:type="dxa"/>
            <w:vAlign w:val="center"/>
            <w:textDirection w:val="lrTb"/>
            <w:noWrap w:val="false"/>
          </w:tcPr>
          <w:p>
            <w:pPr>
              <w:ind w:left="142" w:right="155"/>
              <w:jc w:val="center"/>
              <w:tabs>
                <w:tab w:val="left" w:pos="3071" w:leader="none"/>
              </w:tabs>
              <w:rPr>
                <w:b/>
              </w:rPr>
            </w:pPr>
            <w:r>
              <w:rPr>
                <w:b/>
              </w:rPr>
              <w:t xml:space="preserve">ОСОБЫЕ УСЛОВИЯ РЕАЛИЗАЦИИ РЕГЛАМЕНТА</w:t>
            </w:r>
            <w:r/>
          </w:p>
        </w:tc>
      </w:tr>
      <w:tr>
        <w:trPr>
          <w:trHeight w:val="20"/>
        </w:trPr>
        <w:tc>
          <w:tcPr>
            <w:tcBorders>
              <w:top w:val="single" w:color="000000" w:sz="4" w:space="0"/>
              <w:left w:val="single" w:color="000000" w:sz="4" w:space="0"/>
              <w:bottom w:val="single" w:color="000000" w:sz="4" w:space="0"/>
              <w:right w:val="none" w:color="000000" w:sz="4" w:space="0"/>
            </w:tcBorders>
            <w:tcW w:w="3152" w:type="dxa"/>
            <w:textDirection w:val="lrTb"/>
            <w:noWrap w:val="false"/>
          </w:tcPr>
          <w:p>
            <w:pPr>
              <w:ind w:left="142" w:right="155"/>
            </w:pPr>
            <w:r>
              <w:t xml:space="preserve">[3.1.1.] </w:t>
            </w:r>
            <w:r/>
          </w:p>
          <w:p>
            <w:pPr>
              <w:ind w:left="142" w:right="155"/>
              <w:tabs>
                <w:tab w:val="left" w:pos="2520" w:leader="none"/>
              </w:tabs>
              <w:rPr>
                <w:rFonts w:eastAsia="SimSun"/>
                <w:lang w:eastAsia="zh-CN" w:bidi="ru-RU"/>
              </w:rPr>
            </w:pPr>
            <w:r>
              <w:t xml:space="preserve">Предоставление коммунальных услуг</w:t>
            </w:r>
            <w:r/>
          </w:p>
        </w:tc>
        <w:tc>
          <w:tcPr>
            <w:tcBorders>
              <w:top w:val="single" w:color="000000" w:sz="4" w:space="0"/>
              <w:left w:val="single" w:color="000000" w:sz="4" w:space="0"/>
              <w:bottom w:val="single" w:color="000000" w:sz="4" w:space="0"/>
              <w:right w:val="none" w:color="000000" w:sz="4" w:space="0"/>
            </w:tcBorders>
            <w:tcW w:w="4214" w:type="dxa"/>
            <w:textDirection w:val="lrTb"/>
            <w:noWrap w:val="false"/>
          </w:tcPr>
          <w:p>
            <w:pPr>
              <w:ind w:left="142" w:right="155"/>
              <w:jc w:val="both"/>
              <w:tabs>
                <w:tab w:val="left" w:pos="2520" w:leader="none"/>
              </w:tabs>
              <w:rPr>
                <w:b/>
              </w:rPr>
            </w:pPr>
            <w: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w:t>
            </w:r>
            <w:r>
              <w:t xml:space="preserve">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r/>
          </w:p>
        </w:tc>
        <w:tc>
          <w:tcPr>
            <w:tcBorders>
              <w:top w:val="single" w:color="000000" w:sz="4" w:space="0"/>
              <w:left w:val="single" w:color="000000" w:sz="4" w:space="0"/>
              <w:bottom w:val="single" w:color="000000" w:sz="4" w:space="0"/>
              <w:right w:val="single" w:color="auto" w:sz="4" w:space="0"/>
            </w:tcBorders>
            <w:tcW w:w="4720" w:type="dxa"/>
            <w:textDirection w:val="lrTb"/>
            <w:noWrap w:val="false"/>
          </w:tcPr>
          <w:p>
            <w:pPr>
              <w:ind w:left="142" w:right="155"/>
              <w:jc w:val="both"/>
            </w:pPr>
            <w:r>
              <w:t xml:space="preserve">Минимальная/максимальная площадь земельных участков – 10/10000 кв. м;</w:t>
            </w:r>
            <w:r/>
          </w:p>
          <w:p>
            <w:pPr>
              <w:ind w:left="142" w:right="155"/>
              <w:jc w:val="both"/>
            </w:pPr>
            <w:r>
              <w:t xml:space="preserve">максимальное количество надземных этажей зданий –1;</w:t>
            </w:r>
            <w:r/>
          </w:p>
          <w:p>
            <w:pPr>
              <w:ind w:left="142" w:right="155"/>
              <w:jc w:val="both"/>
            </w:pPr>
            <w:r>
              <w:t xml:space="preserve">максимальный процент застройки в границах земельного участка – 80%;</w:t>
            </w:r>
            <w:r/>
          </w:p>
          <w:p>
            <w:pPr>
              <w:ind w:left="142" w:right="155"/>
              <w:jc w:val="both"/>
            </w:pPr>
            <w:r>
              <w:t xml:space="preserve">минимальные отступы от красной линии – 5 м; от иных границ – 3 м;  </w:t>
            </w:r>
            <w:r/>
          </w:p>
          <w:p>
            <w:pPr>
              <w:ind w:left="142" w:right="155"/>
              <w:tabs>
                <w:tab w:val="left" w:pos="2520" w:leader="none"/>
              </w:tabs>
            </w:pPr>
            <w:r>
              <w:t xml:space="preserve">для линейных объектов минимальные отступы – не регламентируются</w:t>
            </w:r>
            <w:r/>
          </w:p>
          <w:p>
            <w:pPr>
              <w:ind w:left="142" w:right="155"/>
              <w:tabs>
                <w:tab w:val="left" w:pos="2520" w:leader="none"/>
              </w:tabs>
            </w:pPr>
            <w:r>
              <w:t xml:space="preserve">для линейных объектов</w:t>
            </w:r>
            <w:r>
              <w:rPr>
                <w:rFonts w:eastAsia="Calibri"/>
              </w:rPr>
              <w:t xml:space="preserve"> минимальный процент озеленения </w:t>
            </w:r>
            <w:r>
              <w:t xml:space="preserve">– не регламентируется</w:t>
            </w:r>
            <w:r/>
          </w:p>
        </w:tc>
        <w:tc>
          <w:tcPr>
            <w:tcBorders>
              <w:top w:val="single" w:color="000000" w:sz="4" w:space="0"/>
              <w:left w:val="single" w:color="auto" w:sz="4" w:space="0"/>
              <w:bottom w:val="none" w:color="000000" w:sz="4" w:space="0"/>
              <w:right w:val="single" w:color="000000" w:sz="4" w:space="0"/>
            </w:tcBorders>
            <w:tcW w:w="3092" w:type="dxa"/>
            <w:vMerge w:val="restart"/>
            <w:textDirection w:val="lrTb"/>
            <w:noWrap w:val="false"/>
          </w:tcPr>
          <w:p>
            <w:pPr>
              <w:ind w:left="142" w:right="155"/>
              <w:jc w:val="both"/>
            </w:pPr>
            <w:r>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r/>
          </w:p>
          <w:p>
            <w:pPr>
              <w:ind w:left="142" w:right="155"/>
              <w:jc w:val="both"/>
            </w:pPr>
            <w:r/>
            <w:r/>
          </w:p>
          <w:p>
            <w:pPr>
              <w:ind w:left="142" w:right="155"/>
              <w:jc w:val="both"/>
            </w:pPr>
            <w: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r/>
          </w:p>
          <w:p>
            <w:pPr>
              <w:ind w:left="142" w:right="155"/>
              <w:jc w:val="both"/>
            </w:pPr>
            <w:r/>
            <w:r/>
          </w:p>
          <w:p>
            <w:pPr>
              <w:ind w:left="142" w:right="155"/>
              <w:jc w:val="both"/>
            </w:pPr>
            <w:r>
              <w:t xml:space="preserve">При проектировании объектов инженерной инфраструктуры применять нормы безопасности по нормируемым санитарно-гигиеническим и противопожарным требованиям. </w:t>
            </w:r>
            <w:r/>
          </w:p>
        </w:tc>
      </w:tr>
      <w:tr>
        <w:trPr>
          <w:trHeight w:val="20"/>
        </w:trPr>
        <w:tc>
          <w:tcPr>
            <w:tcBorders>
              <w:top w:val="single" w:color="000000" w:sz="4" w:space="0"/>
              <w:left w:val="single" w:color="000000" w:sz="4" w:space="0"/>
              <w:right w:val="none" w:color="000000" w:sz="4" w:space="0"/>
            </w:tcBorders>
            <w:tcW w:w="3152" w:type="dxa"/>
            <w:textDirection w:val="lrTb"/>
            <w:noWrap w:val="false"/>
          </w:tcPr>
          <w:p>
            <w:pPr>
              <w:ind w:left="142" w:right="155"/>
            </w:pPr>
            <w:r>
              <w:t xml:space="preserve">[3.1.2]</w:t>
            </w:r>
            <w:r>
              <w:tab/>
            </w:r>
            <w:r/>
          </w:p>
          <w:p>
            <w:pPr>
              <w:ind w:left="142" w:right="155"/>
            </w:pPr>
            <w:r>
              <w:t xml:space="preserve">Административные здания организаций, обеспечивающих предоставление коммунальных услуг</w:t>
            </w:r>
            <w:r/>
          </w:p>
        </w:tc>
        <w:tc>
          <w:tcPr>
            <w:tcBorders>
              <w:top w:val="single" w:color="000000" w:sz="4" w:space="0"/>
              <w:left w:val="single" w:color="000000" w:sz="4" w:space="0"/>
              <w:right w:val="none" w:color="000000" w:sz="4" w:space="0"/>
            </w:tcBorders>
            <w:tcW w:w="4214" w:type="dxa"/>
            <w:textDirection w:val="lrTb"/>
            <w:noWrap w:val="false"/>
          </w:tcPr>
          <w:p>
            <w:pPr>
              <w:ind w:left="142" w:right="155"/>
              <w:jc w:val="both"/>
            </w:pPr>
            <w:r>
              <w:t xml:space="preserve">Размещение зданий, предназначенных для приема физических и юридических лиц в связи с предоставлением им коммунальных услуг</w:t>
            </w:r>
            <w:r/>
          </w:p>
        </w:tc>
        <w:tc>
          <w:tcPr>
            <w:tcBorders>
              <w:top w:val="single" w:color="000000" w:sz="4" w:space="0"/>
              <w:left w:val="single" w:color="000000" w:sz="4" w:space="0"/>
              <w:right w:val="single" w:color="auto" w:sz="4" w:space="0"/>
            </w:tcBorders>
            <w:tcW w:w="4720" w:type="dxa"/>
            <w:textDirection w:val="lrTb"/>
            <w:noWrap w:val="false"/>
          </w:tcPr>
          <w:p>
            <w:pPr>
              <w:ind w:left="142" w:right="155"/>
              <w:jc w:val="both"/>
              <w:rPr>
                <w:rFonts w:eastAsia="Calibri"/>
              </w:rPr>
            </w:pPr>
            <w:r>
              <w:rPr>
                <w:rFonts w:eastAsia="Calibri"/>
              </w:rPr>
              <w:t xml:space="preserve">Минимальная/максимальная площадь земельных участков – 150 /1000 кв. м</w:t>
            </w:r>
            <w:r/>
          </w:p>
          <w:p>
            <w:pPr>
              <w:ind w:left="142" w:right="155"/>
              <w:jc w:val="both"/>
              <w:rPr>
                <w:rFonts w:eastAsia="Calibri"/>
              </w:rPr>
            </w:pPr>
            <w:r>
              <w:rPr>
                <w:rFonts w:eastAsia="Calibri"/>
              </w:rPr>
              <w:t xml:space="preserve">максимальное количество надземных этажей зданий – 2 этажа;</w:t>
            </w:r>
            <w:r/>
          </w:p>
          <w:p>
            <w:pPr>
              <w:ind w:left="142" w:right="155"/>
              <w:jc w:val="both"/>
              <w:rPr>
                <w:rFonts w:eastAsia="Calibri"/>
              </w:rPr>
            </w:pPr>
            <w:r>
              <w:rPr>
                <w:rFonts w:eastAsia="Calibri"/>
              </w:rPr>
              <w:t xml:space="preserve">максимальная высота зданий, строений, сооружений от уровня земли - 20 м;</w:t>
            </w:r>
            <w:r/>
          </w:p>
          <w:p>
            <w:pPr>
              <w:ind w:left="142" w:right="155"/>
              <w:jc w:val="both"/>
              <w:rPr>
                <w:rFonts w:eastAsia="Calibri"/>
              </w:rPr>
            </w:pPr>
            <w:r>
              <w:rPr>
                <w:rFonts w:eastAsia="Calibri"/>
              </w:rPr>
              <w:t xml:space="preserve">максимальный процент застройки в границах земельного участка – 60%;  </w:t>
            </w:r>
            <w:r/>
          </w:p>
          <w:p>
            <w:pPr>
              <w:ind w:left="142" w:right="155"/>
              <w:jc w:val="both"/>
              <w:rPr>
                <w:rFonts w:eastAsia="Calibri"/>
              </w:rPr>
            </w:pPr>
            <w:r>
              <w:rPr>
                <w:rFonts w:eastAsia="Calibri"/>
              </w:rPr>
              <w:t xml:space="preserve">минимальные отступы до основного строения от красной линии – 5 м или по линии застройки на застроенной территории; до иных границ – 3 м.</w:t>
            </w:r>
            <w:r/>
          </w:p>
          <w:p>
            <w:pPr>
              <w:ind w:left="142" w:right="155"/>
              <w:jc w:val="both"/>
            </w:pPr>
            <w:r>
              <w:rPr>
                <w:rFonts w:eastAsia="Calibri"/>
              </w:rPr>
              <w:t xml:space="preserve">Минимальный процент озеленения земельного участка 15%.</w:t>
            </w:r>
            <w:r/>
          </w:p>
        </w:tc>
        <w:tc>
          <w:tcPr>
            <w:tcBorders>
              <w:left w:val="single" w:color="auto" w:sz="4" w:space="0"/>
              <w:right w:val="single" w:color="000000" w:sz="4" w:space="0"/>
            </w:tcBorders>
            <w:tcW w:w="3092" w:type="dxa"/>
            <w:vMerge w:val="continue"/>
            <w:textDirection w:val="lrTb"/>
            <w:noWrap w:val="false"/>
          </w:tcPr>
          <w:p>
            <w:pPr>
              <w:ind w:left="142" w:right="155"/>
              <w:jc w:val="both"/>
              <w:tabs>
                <w:tab w:val="left" w:pos="3071" w:leader="none"/>
              </w:tabs>
              <w:rPr>
                <w:shd w:val="clear" w:color="auto" w:fill="ffffff"/>
              </w:rPr>
            </w:pPr>
            <w:r>
              <w:rPr>
                <w:shd w:val="clear" w:color="auto" w:fill="ffffff"/>
              </w:rPr>
            </w:r>
            <w:r/>
          </w:p>
        </w:tc>
      </w:tr>
      <w:tr>
        <w:trPr>
          <w:trHeight w:val="20"/>
        </w:trPr>
        <w:tc>
          <w:tcPr>
            <w:tcBorders>
              <w:top w:val="single" w:color="000000" w:sz="4" w:space="0"/>
              <w:left w:val="single" w:color="000000" w:sz="4" w:space="0"/>
              <w:bottom w:val="single" w:color="000000" w:sz="4" w:space="0"/>
              <w:right w:val="none" w:color="000000" w:sz="4" w:space="0"/>
            </w:tcBorders>
            <w:tcW w:w="3152" w:type="dxa"/>
            <w:textDirection w:val="lrTb"/>
            <w:noWrap w:val="false"/>
          </w:tcPr>
          <w:p>
            <w:pPr>
              <w:ind w:left="142" w:right="155"/>
            </w:pPr>
            <w:r>
              <w:rPr>
                <w:lang w:val="en-US"/>
              </w:rPr>
              <w:t xml:space="preserve">[</w:t>
            </w:r>
            <w:r>
              <w:t xml:space="preserve">6.7</w:t>
            </w:r>
            <w:r>
              <w:rPr>
                <w:lang w:val="en-US"/>
              </w:rPr>
              <w:t xml:space="preserve">]</w:t>
            </w:r>
            <w:r/>
          </w:p>
          <w:p>
            <w:pPr>
              <w:ind w:left="142" w:right="155"/>
            </w:pPr>
            <w:r>
              <w:t xml:space="preserve">Энергетика</w:t>
            </w:r>
            <w:r/>
          </w:p>
        </w:tc>
        <w:tc>
          <w:tcPr>
            <w:tcBorders>
              <w:top w:val="single" w:color="000000" w:sz="4" w:space="0"/>
              <w:left w:val="single" w:color="000000" w:sz="4" w:space="0"/>
              <w:bottom w:val="single" w:color="000000" w:sz="4" w:space="0"/>
              <w:right w:val="none" w:color="000000" w:sz="4" w:space="0"/>
            </w:tcBorders>
            <w:tcW w:w="4214" w:type="dxa"/>
            <w:textDirection w:val="lrTb"/>
            <w:noWrap w:val="false"/>
          </w:tcPr>
          <w:p>
            <w:pPr>
              <w:ind w:left="142" w:right="155"/>
              <w:jc w:val="both"/>
            </w:pPr>
            <w: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w:t>
            </w:r>
            <w:r>
              <w:t xml:space="preserve">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r/>
          </w:p>
        </w:tc>
        <w:tc>
          <w:tcPr>
            <w:tcBorders>
              <w:top w:val="single" w:color="000000" w:sz="4" w:space="0"/>
              <w:left w:val="single" w:color="000000" w:sz="4" w:space="0"/>
              <w:bottom w:val="single" w:color="000000" w:sz="4" w:space="0"/>
              <w:right w:val="single" w:color="auto" w:sz="4" w:space="0"/>
            </w:tcBorders>
            <w:tcW w:w="4720" w:type="dxa"/>
            <w:textDirection w:val="lrTb"/>
            <w:noWrap w:val="false"/>
          </w:tcPr>
          <w:p>
            <w:pPr>
              <w:ind w:left="132"/>
              <w:jc w:val="center"/>
              <w:rPr>
                <w:rFonts w:eastAsia="Calibri"/>
              </w:rPr>
            </w:pPr>
            <w:r>
              <w:rPr>
                <w:rFonts w:eastAsia="Calibri"/>
              </w:rPr>
              <w:t xml:space="preserve">Не подлежат установлению</w:t>
            </w:r>
            <w:r/>
          </w:p>
          <w:p>
            <w:pPr>
              <w:ind w:left="142" w:right="155"/>
              <w:jc w:val="center"/>
            </w:pPr>
            <w:r>
              <w:rPr>
                <w:rFonts w:eastAsia="Calibri"/>
              </w:rPr>
              <w:t xml:space="preserve">(определяется при проектировании)</w:t>
            </w:r>
            <w:r/>
          </w:p>
        </w:tc>
        <w:tc>
          <w:tcPr>
            <w:tcBorders>
              <w:left w:val="single" w:color="auto" w:sz="4" w:space="0"/>
              <w:right w:val="single" w:color="000000" w:sz="4" w:space="0"/>
            </w:tcBorders>
            <w:tcW w:w="3092" w:type="dxa"/>
            <w:vMerge w:val="continue"/>
            <w:textDirection w:val="lrTb"/>
            <w:noWrap w:val="false"/>
          </w:tcPr>
          <w:p>
            <w:pPr>
              <w:ind w:left="142" w:right="155"/>
              <w:jc w:val="both"/>
              <w:tabs>
                <w:tab w:val="left" w:pos="3071" w:leader="none"/>
              </w:tabs>
              <w:rPr>
                <w:shd w:val="clear" w:color="auto" w:fill="ffffff"/>
              </w:rPr>
            </w:pPr>
            <w:r>
              <w:rPr>
                <w:shd w:val="clear" w:color="auto" w:fill="ffffff"/>
              </w:rPr>
            </w:r>
            <w:r/>
          </w:p>
        </w:tc>
      </w:tr>
      <w:tr>
        <w:trPr>
          <w:trHeight w:val="20"/>
        </w:trPr>
        <w:tc>
          <w:tcPr>
            <w:tcBorders>
              <w:top w:val="single" w:color="000000" w:sz="4" w:space="0"/>
              <w:left w:val="single" w:color="000000" w:sz="4" w:space="0"/>
              <w:bottom w:val="single" w:color="000000" w:sz="4" w:space="0"/>
              <w:right w:val="none" w:color="000000" w:sz="4" w:space="0"/>
            </w:tcBorders>
            <w:tcW w:w="3152" w:type="dxa"/>
            <w:textDirection w:val="lrTb"/>
            <w:noWrap w:val="false"/>
          </w:tcPr>
          <w:p>
            <w:pPr>
              <w:ind w:left="142" w:right="155"/>
            </w:pPr>
            <w:r>
              <w:rPr>
                <w:lang w:val="en-US"/>
              </w:rPr>
              <w:t xml:space="preserve">[</w:t>
            </w:r>
            <w:r>
              <w:t xml:space="preserve">7.5]</w:t>
            </w:r>
            <w:r/>
          </w:p>
          <w:p>
            <w:pPr>
              <w:ind w:left="142" w:right="155"/>
            </w:pPr>
            <w:r>
              <w:t xml:space="preserve">Трубопроводный транспорт</w:t>
            </w:r>
            <w:r/>
          </w:p>
        </w:tc>
        <w:tc>
          <w:tcPr>
            <w:tcBorders>
              <w:top w:val="single" w:color="000000" w:sz="4" w:space="0"/>
              <w:left w:val="single" w:color="000000" w:sz="4" w:space="0"/>
              <w:bottom w:val="single" w:color="000000" w:sz="4" w:space="0"/>
              <w:right w:val="none" w:color="000000" w:sz="4" w:space="0"/>
            </w:tcBorders>
            <w:tcW w:w="4214" w:type="dxa"/>
            <w:textDirection w:val="lrTb"/>
            <w:noWrap w:val="false"/>
          </w:tcPr>
          <w:p>
            <w:pPr>
              <w:ind w:left="142" w:right="155"/>
              <w:jc w:val="both"/>
            </w:pPr>
            <w:r>
              <w:t xml:space="preserve">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r/>
          </w:p>
        </w:tc>
        <w:tc>
          <w:tcPr>
            <w:tcBorders>
              <w:top w:val="single" w:color="000000" w:sz="4" w:space="0"/>
              <w:left w:val="single" w:color="000000" w:sz="4" w:space="0"/>
              <w:bottom w:val="single" w:color="000000" w:sz="4" w:space="0"/>
              <w:right w:val="single" w:color="auto" w:sz="4" w:space="0"/>
            </w:tcBorders>
            <w:tcW w:w="4720" w:type="dxa"/>
            <w:textDirection w:val="lrTb"/>
            <w:noWrap w:val="false"/>
          </w:tcPr>
          <w:p>
            <w:pPr>
              <w:ind w:left="132"/>
              <w:jc w:val="center"/>
              <w:rPr>
                <w:rFonts w:eastAsia="Calibri"/>
              </w:rPr>
            </w:pPr>
            <w:r>
              <w:rPr>
                <w:rFonts w:eastAsia="Calibri"/>
              </w:rPr>
              <w:t xml:space="preserve">Не подлежат установлению</w:t>
            </w:r>
            <w:r/>
          </w:p>
          <w:p>
            <w:pPr>
              <w:ind w:left="142" w:right="155"/>
              <w:jc w:val="center"/>
            </w:pPr>
            <w:r>
              <w:rPr>
                <w:rFonts w:eastAsia="Calibri"/>
              </w:rPr>
              <w:t xml:space="preserve">(определяется при проектировании)</w:t>
            </w:r>
            <w:r/>
          </w:p>
        </w:tc>
        <w:tc>
          <w:tcPr>
            <w:tcBorders>
              <w:left w:val="single" w:color="auto" w:sz="4" w:space="0"/>
              <w:right w:val="single" w:color="000000" w:sz="4" w:space="0"/>
            </w:tcBorders>
            <w:tcW w:w="3092" w:type="dxa"/>
            <w:vMerge w:val="continue"/>
            <w:textDirection w:val="lrTb"/>
            <w:noWrap w:val="false"/>
          </w:tcPr>
          <w:p>
            <w:pPr>
              <w:ind w:left="142" w:right="155"/>
              <w:jc w:val="both"/>
              <w:tabs>
                <w:tab w:val="left" w:pos="3071" w:leader="none"/>
              </w:tabs>
              <w:rPr>
                <w:shd w:val="clear" w:color="auto" w:fill="ffffff"/>
              </w:rPr>
            </w:pPr>
            <w:r>
              <w:rPr>
                <w:shd w:val="clear" w:color="auto" w:fill="ffffff"/>
              </w:rPr>
            </w:r>
            <w:r/>
          </w:p>
        </w:tc>
      </w:tr>
      <w:tr>
        <w:trPr>
          <w:trHeight w:val="20"/>
        </w:trPr>
        <w:tc>
          <w:tcPr>
            <w:tcBorders>
              <w:top w:val="single" w:color="000000" w:sz="4" w:space="0"/>
              <w:left w:val="single" w:color="000000" w:sz="4" w:space="0"/>
              <w:bottom w:val="single" w:color="000000" w:sz="4" w:space="0"/>
              <w:right w:val="none" w:color="000000" w:sz="4" w:space="0"/>
            </w:tcBorders>
            <w:tcW w:w="3152" w:type="dxa"/>
            <w:textDirection w:val="lrTb"/>
            <w:noWrap w:val="false"/>
          </w:tcPr>
          <w:p>
            <w:pPr>
              <w:ind w:left="142" w:right="155"/>
              <w:tabs>
                <w:tab w:val="left" w:pos="2520" w:leader="none"/>
              </w:tabs>
            </w:pPr>
            <w:r>
              <w:t xml:space="preserve">[9.3] </w:t>
            </w:r>
            <w:r/>
          </w:p>
          <w:p>
            <w:pPr>
              <w:ind w:left="142" w:right="155"/>
              <w:tabs>
                <w:tab w:val="left" w:pos="2520" w:leader="none"/>
              </w:tabs>
            </w:pPr>
            <w:r>
              <w:t xml:space="preserve">Историко-культурная деятельность</w:t>
            </w:r>
            <w:r/>
          </w:p>
        </w:tc>
        <w:tc>
          <w:tcPr>
            <w:tcBorders>
              <w:top w:val="single" w:color="000000" w:sz="4" w:space="0"/>
              <w:left w:val="single" w:color="000000" w:sz="4" w:space="0"/>
              <w:bottom w:val="single" w:color="000000" w:sz="4" w:space="0"/>
              <w:right w:val="none" w:color="000000" w:sz="4" w:space="0"/>
            </w:tcBorders>
            <w:tcW w:w="4214" w:type="dxa"/>
            <w:textDirection w:val="lrTb"/>
            <w:noWrap w:val="false"/>
          </w:tcPr>
          <w:p>
            <w:pPr>
              <w:ind w:left="142" w:right="155"/>
              <w:jc w:val="both"/>
              <w:tabs>
                <w:tab w:val="left" w:pos="2520" w:leader="none"/>
              </w:tabs>
            </w:pPr>
            <w: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w:t>
            </w:r>
            <w:r>
              <w:t xml:space="preserve">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r/>
          </w:p>
        </w:tc>
        <w:tc>
          <w:tcPr>
            <w:tcBorders>
              <w:top w:val="single" w:color="000000" w:sz="4" w:space="0"/>
              <w:left w:val="single" w:color="000000" w:sz="4" w:space="0"/>
              <w:bottom w:val="single" w:color="000000" w:sz="4" w:space="0"/>
              <w:right w:val="single" w:color="auto" w:sz="4" w:space="0"/>
            </w:tcBorders>
            <w:tcW w:w="4720" w:type="dxa"/>
            <w:textDirection w:val="lrTb"/>
            <w:noWrap w:val="false"/>
          </w:tcPr>
          <w:p>
            <w:pPr>
              <w:ind w:left="132"/>
              <w:jc w:val="center"/>
              <w:rPr>
                <w:rFonts w:eastAsia="Calibri"/>
              </w:rPr>
            </w:pPr>
            <w:r>
              <w:rPr>
                <w:rFonts w:eastAsia="Calibri"/>
              </w:rPr>
              <w:t xml:space="preserve">Не подлежат установлению</w:t>
            </w:r>
            <w:r/>
          </w:p>
          <w:p>
            <w:pPr>
              <w:ind w:left="142" w:right="155"/>
              <w:jc w:val="center"/>
              <w:tabs>
                <w:tab w:val="left" w:pos="1134" w:leader="none"/>
              </w:tabs>
            </w:pPr>
            <w:r>
              <w:rPr>
                <w:rFonts w:eastAsia="Calibri"/>
              </w:rPr>
              <w:t xml:space="preserve">(определяется при проектировании)</w:t>
            </w:r>
            <w:r/>
          </w:p>
        </w:tc>
        <w:tc>
          <w:tcPr>
            <w:tcBorders>
              <w:left w:val="single" w:color="auto" w:sz="4" w:space="0"/>
              <w:bottom w:val="single" w:color="000000" w:sz="4" w:space="0"/>
              <w:right w:val="single" w:color="000000" w:sz="4" w:space="0"/>
            </w:tcBorders>
            <w:tcW w:w="3092" w:type="dxa"/>
            <w:vMerge w:val="continue"/>
            <w:textDirection w:val="lrTb"/>
            <w:noWrap w:val="false"/>
          </w:tcPr>
          <w:p>
            <w:pPr>
              <w:ind w:left="142" w:right="155"/>
              <w:tabs>
                <w:tab w:val="left" w:pos="1134" w:leader="none"/>
              </w:tabs>
            </w:pPr>
            <w:r/>
            <w:r/>
          </w:p>
        </w:tc>
      </w:tr>
      <w:tr>
        <w:trPr>
          <w:trHeight w:val="20"/>
        </w:trPr>
        <w:tc>
          <w:tcPr>
            <w:tcBorders>
              <w:top w:val="single" w:color="000000" w:sz="4" w:space="0"/>
              <w:left w:val="single" w:color="000000" w:sz="4" w:space="0"/>
              <w:bottom w:val="single" w:color="000000" w:sz="4" w:space="0"/>
              <w:right w:val="none" w:color="000000" w:sz="4" w:space="0"/>
            </w:tcBorders>
            <w:tcW w:w="3152" w:type="dxa"/>
            <w:textDirection w:val="lrTb"/>
            <w:noWrap w:val="false"/>
          </w:tcPr>
          <w:p>
            <w:pPr>
              <w:ind w:left="142" w:right="155"/>
              <w:tabs>
                <w:tab w:val="left" w:pos="2520" w:leader="none"/>
              </w:tabs>
            </w:pPr>
            <w:r>
              <w:t xml:space="preserve">[12.0.1] </w:t>
            </w:r>
            <w:r/>
          </w:p>
          <w:p>
            <w:pPr>
              <w:ind w:left="142" w:right="155"/>
              <w:tabs>
                <w:tab w:val="left" w:pos="2520" w:leader="none"/>
              </w:tabs>
            </w:pPr>
            <w:r>
              <w:rPr>
                <w:shd w:val="clear" w:color="auto" w:fill="ffffff"/>
              </w:rPr>
              <w:t xml:space="preserve">Улично-дорожная сеть</w:t>
            </w:r>
            <w:r/>
          </w:p>
        </w:tc>
        <w:tc>
          <w:tcPr>
            <w:tcBorders>
              <w:top w:val="single" w:color="000000" w:sz="4" w:space="0"/>
              <w:left w:val="single" w:color="000000" w:sz="4" w:space="0"/>
              <w:bottom w:val="single" w:color="000000" w:sz="4" w:space="0"/>
              <w:right w:val="none" w:color="000000" w:sz="4" w:space="0"/>
            </w:tcBorders>
            <w:tcW w:w="4214" w:type="dxa"/>
            <w:textDirection w:val="lrTb"/>
            <w:noWrap w:val="false"/>
          </w:tcPr>
          <w:p>
            <w:pPr>
              <w:ind w:left="75" w:right="75"/>
              <w:jc w:val="both"/>
              <w:shd w:val="clear" w:color="auto" w:fill="ffffff"/>
              <w:widowControl/>
              <w:rPr>
                <w:lang w:eastAsia="ru-RU"/>
              </w:rPr>
            </w:pPr>
            <w:r>
              <w:rPr>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p>
          <w:p>
            <w:pPr>
              <w:ind w:left="75" w:right="75"/>
              <w:jc w:val="both"/>
              <w:shd w:val="clear" w:color="auto" w:fill="ffffff"/>
              <w:widowControl/>
              <w:rPr>
                <w:lang w:eastAsia="ru-RU"/>
              </w:rPr>
            </w:pPr>
            <w:r>
              <w:rPr>
                <w:lang w:eastAsia="ru-RU"/>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93" w:tooltip="https://base.garant.ru/70736874/53f89421bbdaf741eb2d1ecc4ddb4c33/#block_10271" w:anchor="block_10271" w:history="1">
              <w:r>
                <w:rPr>
                  <w:lang w:eastAsia="ru-RU"/>
                </w:rPr>
                <w:t xml:space="preserve">кодами 2.7.1</w:t>
              </w:r>
            </w:hyperlink>
            <w:r>
              <w:rPr>
                <w:lang w:eastAsia="ru-RU"/>
              </w:rPr>
              <w:t xml:space="preserve">, </w:t>
            </w:r>
            <w:hyperlink r:id="rId94" w:tooltip="https://base.garant.ru/70736874/53f89421bbdaf741eb2d1ecc4ddb4c33/#block_1049" w:anchor="block_1049" w:history="1">
              <w:r>
                <w:rPr>
                  <w:lang w:eastAsia="ru-RU"/>
                </w:rPr>
                <w:t xml:space="preserve">4.9</w:t>
              </w:r>
            </w:hyperlink>
            <w:r>
              <w:rPr>
                <w:lang w:eastAsia="ru-RU"/>
              </w:rPr>
              <w:t xml:space="preserve">, </w:t>
            </w:r>
            <w:hyperlink r:id="rId95" w:tooltip="https://base.garant.ru/70736874/53f89421bbdaf741eb2d1ecc4ddb4c33/#block_1723" w:anchor="block_1723" w:history="1">
              <w:r>
                <w:rPr>
                  <w:lang w:eastAsia="ru-RU"/>
                </w:rPr>
                <w:t xml:space="preserve">7.2.3</w:t>
              </w:r>
            </w:hyperlink>
            <w:r>
              <w:rPr>
                <w:lang w:eastAsia="ru-RU"/>
              </w:rPr>
              <w:t xml:space="preserve">, а также некапитальных сооружений, предназначенных для охраны транспортных средств</w:t>
            </w:r>
            <w:r/>
          </w:p>
        </w:tc>
        <w:tc>
          <w:tcPr>
            <w:tcBorders>
              <w:top w:val="single" w:color="000000" w:sz="4" w:space="0"/>
              <w:left w:val="single" w:color="000000" w:sz="4" w:space="0"/>
              <w:bottom w:val="single" w:color="000000" w:sz="4" w:space="0"/>
              <w:right w:val="single" w:color="auto" w:sz="4" w:space="0"/>
            </w:tcBorders>
            <w:tcW w:w="4720" w:type="dxa"/>
            <w:textDirection w:val="lrTb"/>
            <w:noWrap w:val="false"/>
          </w:tcPr>
          <w:p>
            <w:pPr>
              <w:ind w:left="142" w:right="155"/>
              <w:jc w:val="center"/>
              <w:tabs>
                <w:tab w:val="left" w:pos="1134" w:leader="none"/>
              </w:tabs>
            </w:pPr>
            <w:r>
              <w:t xml:space="preserve">Регламенты не распространяются</w:t>
            </w:r>
            <w:r/>
          </w:p>
          <w:p>
            <w:pPr>
              <w:ind w:left="142" w:right="155"/>
              <w:jc w:val="center"/>
              <w:tabs>
                <w:tab w:val="left" w:pos="1134" w:leader="none"/>
              </w:tabs>
            </w:pPr>
            <w:r>
              <w:t xml:space="preserve">(не подлежат установлению)</w:t>
            </w:r>
            <w:r/>
          </w:p>
        </w:tc>
        <w:tc>
          <w:tcPr>
            <w:tcBorders>
              <w:left w:val="single" w:color="auto" w:sz="4" w:space="0"/>
              <w:right w:val="single" w:color="000000" w:sz="4" w:space="0"/>
            </w:tcBorders>
            <w:tcW w:w="3092" w:type="dxa"/>
            <w:vMerge w:val="restart"/>
            <w:textDirection w:val="lrTb"/>
            <w:noWrap w:val="false"/>
          </w:tcPr>
          <w:p>
            <w:pPr>
              <w:ind w:left="142" w:right="155"/>
              <w:jc w:val="both"/>
              <w:tabs>
                <w:tab w:val="left" w:pos="1134" w:leader="none"/>
                <w:tab w:val="left" w:pos="3071" w:leader="none"/>
              </w:tabs>
              <w:rPr>
                <w:lang w:eastAsia="ru-RU"/>
              </w:rPr>
            </w:pPr>
            <w:r>
              <w:rPr>
                <w:lang w:eastAsia="ru-RU"/>
              </w:rPr>
              <w:t xml:space="preserve">На территориях общего пользования не разрешается возведение объектов капитального </w:t>
            </w:r>
            <w:r>
              <w:rPr>
                <w:lang w:eastAsia="ru-RU"/>
              </w:rPr>
              <w:t xml:space="preserve">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r/>
          </w:p>
          <w:p>
            <w:pPr>
              <w:ind w:left="142" w:right="155"/>
              <w:jc w:val="both"/>
              <w:tabs>
                <w:tab w:val="left" w:pos="1134" w:leader="none"/>
                <w:tab w:val="left" w:pos="3071" w:leader="none"/>
              </w:tabs>
              <w:rPr>
                <w:lang w:eastAsia="ru-RU"/>
              </w:rPr>
            </w:pPr>
            <w:r>
              <w:rPr>
                <w:lang w:eastAsia="ru-RU"/>
              </w:rPr>
            </w:r>
            <w:r/>
          </w:p>
          <w:p>
            <w:pPr>
              <w:ind w:left="142" w:right="155"/>
              <w:jc w:val="both"/>
              <w:tabs>
                <w:tab w:val="left" w:pos="1134" w:leader="none"/>
                <w:tab w:val="left" w:pos="3071" w:leader="none"/>
              </w:tabs>
            </w:pPr>
            <w:r/>
            <w:r/>
          </w:p>
          <w:p>
            <w:pPr>
              <w:ind w:left="142" w:right="155"/>
              <w:jc w:val="both"/>
              <w:widowControl/>
              <w:rPr>
                <w:lang w:eastAsia="ru-RU"/>
              </w:rPr>
            </w:pPr>
            <w:r>
              <w:rPr>
                <w:lang w:eastAsia="ru-RU"/>
              </w:rPr>
              <w:t xml:space="preserve">  Благоустройство территории, прилегающей к объектам общественного назначения, проводится в соответствии с </w:t>
            </w:r>
            <w:r>
              <w:rPr>
                <w:lang w:eastAsia="ru-RU"/>
              </w:rPr>
              <w:t xml:space="preserve">Правилами благоустройства сельского поселения на основании проектной документации.</w:t>
            </w:r>
            <w:r/>
          </w:p>
          <w:p>
            <w:pPr>
              <w:ind w:left="142" w:right="155"/>
              <w:tabs>
                <w:tab w:val="left" w:pos="1134" w:leader="none"/>
                <w:tab w:val="left" w:pos="3071" w:leader="none"/>
              </w:tabs>
            </w:pPr>
            <w:r/>
            <w:r/>
          </w:p>
        </w:tc>
      </w:tr>
      <w:tr>
        <w:trPr>
          <w:trHeight w:val="20"/>
        </w:trPr>
        <w:tc>
          <w:tcPr>
            <w:tcBorders>
              <w:top w:val="single" w:color="000000" w:sz="4" w:space="0"/>
              <w:left w:val="single" w:color="000000" w:sz="4" w:space="0"/>
              <w:bottom w:val="single" w:color="000000" w:sz="4" w:space="0"/>
              <w:right w:val="none" w:color="000000" w:sz="4" w:space="0"/>
            </w:tcBorders>
            <w:tcW w:w="3152" w:type="dxa"/>
            <w:textDirection w:val="lrTb"/>
            <w:noWrap w:val="false"/>
          </w:tcPr>
          <w:p>
            <w:pPr>
              <w:ind w:left="142" w:right="155"/>
              <w:tabs>
                <w:tab w:val="left" w:pos="2520" w:leader="none"/>
              </w:tabs>
            </w:pPr>
            <w:r>
              <w:t xml:space="preserve">[12.0.2] </w:t>
            </w:r>
            <w:r/>
          </w:p>
          <w:p>
            <w:pPr>
              <w:ind w:left="142" w:right="155"/>
              <w:tabs>
                <w:tab w:val="left" w:pos="2520" w:leader="none"/>
              </w:tabs>
            </w:pPr>
            <w:r>
              <w:t xml:space="preserve">Благоустройство территории</w:t>
            </w:r>
            <w:r/>
          </w:p>
        </w:tc>
        <w:tc>
          <w:tcPr>
            <w:tcBorders>
              <w:top w:val="single" w:color="000000" w:sz="4" w:space="0"/>
              <w:left w:val="single" w:color="000000" w:sz="4" w:space="0"/>
              <w:bottom w:val="single" w:color="000000" w:sz="4" w:space="0"/>
              <w:right w:val="none" w:color="000000" w:sz="4" w:space="0"/>
            </w:tcBorders>
            <w:tcW w:w="4214" w:type="dxa"/>
            <w:textDirection w:val="lrTb"/>
            <w:noWrap w:val="false"/>
          </w:tcPr>
          <w:p>
            <w:pPr>
              <w:ind w:left="142" w:right="155"/>
              <w:jc w:val="both"/>
              <w:tabs>
                <w:tab w:val="left" w:pos="2520" w:leader="none"/>
              </w:tabs>
            </w:pPr>
            <w: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w:t>
            </w:r>
            <w:r>
              <w:t xml:space="preserve">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r/>
          </w:p>
        </w:tc>
        <w:tc>
          <w:tcPr>
            <w:tcBorders>
              <w:top w:val="single" w:color="000000" w:sz="4" w:space="0"/>
              <w:left w:val="single" w:color="000000" w:sz="4" w:space="0"/>
              <w:bottom w:val="single" w:color="000000" w:sz="4" w:space="0"/>
              <w:right w:val="single" w:color="auto" w:sz="4" w:space="0"/>
            </w:tcBorders>
            <w:tcW w:w="4720" w:type="dxa"/>
            <w:textDirection w:val="lrTb"/>
            <w:noWrap w:val="false"/>
          </w:tcPr>
          <w:p>
            <w:pPr>
              <w:ind w:left="142" w:right="155"/>
              <w:jc w:val="center"/>
              <w:tabs>
                <w:tab w:val="left" w:pos="1134" w:leader="none"/>
              </w:tabs>
            </w:pPr>
            <w:r>
              <w:t xml:space="preserve">Регламенты не распространяются</w:t>
            </w:r>
            <w:r/>
          </w:p>
          <w:p>
            <w:pPr>
              <w:ind w:left="142" w:right="155"/>
              <w:jc w:val="center"/>
              <w:tabs>
                <w:tab w:val="left" w:pos="1134" w:leader="none"/>
              </w:tabs>
            </w:pPr>
            <w:r>
              <w:t xml:space="preserve">(не подлежат установлению)</w:t>
            </w:r>
            <w:r/>
          </w:p>
        </w:tc>
        <w:tc>
          <w:tcPr>
            <w:tcBorders>
              <w:left w:val="single" w:color="auto" w:sz="4" w:space="0"/>
              <w:bottom w:val="single" w:color="000000" w:sz="4" w:space="0"/>
              <w:right w:val="single" w:color="000000" w:sz="4" w:space="0"/>
            </w:tcBorders>
            <w:tcW w:w="3092" w:type="dxa"/>
            <w:vMerge w:val="continue"/>
            <w:textDirection w:val="lrTb"/>
            <w:noWrap w:val="false"/>
          </w:tcPr>
          <w:p>
            <w:pPr>
              <w:ind w:left="142" w:right="155"/>
              <w:tabs>
                <w:tab w:val="left" w:pos="1134" w:leader="none"/>
                <w:tab w:val="left" w:pos="3071" w:leader="none"/>
              </w:tabs>
            </w:pPr>
            <w:r/>
            <w:r/>
          </w:p>
        </w:tc>
      </w:tr>
    </w:tbl>
    <w:p>
      <w:pPr>
        <w:ind w:firstLine="567"/>
        <w:jc w:val="center"/>
        <w:tabs>
          <w:tab w:val="left" w:pos="2520" w:leader="none"/>
        </w:tabs>
      </w:pPr>
      <w:r/>
      <w:r/>
    </w:p>
    <w:p>
      <w:pPr>
        <w:ind w:firstLine="567"/>
        <w:jc w:val="center"/>
        <w:tabs>
          <w:tab w:val="left" w:pos="2520" w:leader="none"/>
        </w:tabs>
      </w:pPr>
      <w:r>
        <w:rPr>
          <w:b/>
          <w:color w:val="000000"/>
        </w:rPr>
        <w:t xml:space="preserve">УСЛОВНО РАЗРЕШЕННЫЕ ВИДЫ И ПАРАМЕТРЫ ИСПОЛЬЗОВАНИЯ ЗЕМЕЛЬНЫХ УЧАСТКОВ И ОБЪЕКТОВ КАПИТАЛЬНОГО СТРОИТЕЛЬСТВА</w:t>
      </w:r>
      <w:r/>
    </w:p>
    <w:p>
      <w:pPr>
        <w:tabs>
          <w:tab w:val="left" w:pos="2520" w:leader="none"/>
        </w:tabs>
      </w:pPr>
      <w:r/>
      <w:r/>
    </w:p>
    <w:tbl>
      <w:tblPr>
        <w:tblW w:w="15178" w:type="dxa"/>
        <w:tblLayout w:type="fixed"/>
        <w:tblCellMar>
          <w:left w:w="10" w:type="dxa"/>
          <w:right w:w="10" w:type="dxa"/>
        </w:tblCellMar>
        <w:tblLook w:val="04A0" w:firstRow="1" w:lastRow="0" w:firstColumn="1" w:lastColumn="0" w:noHBand="0" w:noVBand="1"/>
      </w:tblPr>
      <w:tblGrid>
        <w:gridCol w:w="3141"/>
        <w:gridCol w:w="4010"/>
        <w:gridCol w:w="8027"/>
      </w:tblGrid>
      <w:tr>
        <w:trPr>
          <w:trHeight w:val="23"/>
        </w:trPr>
        <w:tc>
          <w:tcPr>
            <w:tcBorders>
              <w:top w:val="single" w:color="000000" w:sz="4" w:space="0"/>
              <w:left w:val="single" w:color="000000" w:sz="4" w:space="0"/>
              <w:bottom w:val="single" w:color="000000" w:sz="4" w:space="0"/>
              <w:right w:val="none" w:color="000000" w:sz="4" w:space="0"/>
            </w:tcBorders>
            <w:tcW w:w="3141" w:type="dxa"/>
            <w:vAlign w:val="center"/>
            <w:textDirection w:val="lrTb"/>
            <w:noWrap w:val="false"/>
          </w:tcPr>
          <w:p>
            <w:pPr>
              <w:ind w:firstLine="567"/>
              <w:jc w:val="center"/>
              <w:tabs>
                <w:tab w:val="left" w:pos="2520" w:leader="none"/>
              </w:tabs>
              <w:rPr>
                <w:b/>
              </w:rPr>
            </w:pPr>
            <w:r>
              <w:rPr>
                <w:rFonts w:eastAsia="SimSun"/>
                <w:lang w:eastAsia="zh-CN" w:bidi="ru-RU"/>
              </w:rPr>
              <w:t xml:space="preserve">[</w:t>
            </w:r>
            <w:r>
              <w:rPr>
                <w:b/>
              </w:rPr>
              <w:t xml:space="preserve">КОД (ЧИСЛОВОЕ ОБОЗНАЧЕНИЕ)</w:t>
            </w:r>
            <w:r>
              <w:rPr>
                <w:rFonts w:eastAsia="SimSun"/>
                <w:lang w:eastAsia="zh-CN" w:bidi="ru-RU"/>
              </w:rPr>
              <w:t xml:space="preserve">]-</w:t>
            </w:r>
            <w:r>
              <w:rPr>
                <w:b/>
              </w:rPr>
              <w:t xml:space="preserve"> НАИМЕНОВАНИЕ ВИДАРАЗРЕШЕННОГО ИСПОЛЬЗОВАНИЯ ЗЕМЕЛЬНЫХ УЧАСТКОВ</w:t>
            </w:r>
            <w:r/>
          </w:p>
        </w:tc>
        <w:tc>
          <w:tcPr>
            <w:tcBorders>
              <w:top w:val="single" w:color="000000" w:sz="4" w:space="0"/>
              <w:left w:val="single" w:color="000000" w:sz="4" w:space="0"/>
              <w:bottom w:val="single" w:color="000000" w:sz="4" w:space="0"/>
              <w:right w:val="none" w:color="000000" w:sz="4" w:space="0"/>
            </w:tcBorders>
            <w:tcW w:w="4010" w:type="dxa"/>
            <w:vAlign w:val="center"/>
            <w:textDirection w:val="lrTb"/>
            <w:noWrap w:val="false"/>
          </w:tcPr>
          <w:p>
            <w:pPr>
              <w:ind w:firstLine="567"/>
              <w:jc w:val="center"/>
              <w:tabs>
                <w:tab w:val="left" w:pos="2520" w:leader="none"/>
              </w:tabs>
              <w:rPr>
                <w:b/>
              </w:rPr>
            </w:pPr>
            <w:r>
              <w:rPr>
                <w:b/>
              </w:rPr>
              <w:t xml:space="preserve">ВИДЫ ОБЪЕКТОВ КАПИТАЛЬНОГО СТРОИТЕЛЬСТВА</w:t>
            </w:r>
            <w:r/>
          </w:p>
        </w:tc>
        <w:tc>
          <w:tcPr>
            <w:tcBorders>
              <w:top w:val="single" w:color="000000" w:sz="4" w:space="0"/>
              <w:left w:val="single" w:color="000000" w:sz="4" w:space="0"/>
              <w:bottom w:val="single" w:color="000000" w:sz="4" w:space="0"/>
              <w:right w:val="single" w:color="000000" w:sz="4" w:space="0"/>
            </w:tcBorders>
            <w:tcW w:w="8027" w:type="dxa"/>
            <w:vAlign w:val="center"/>
            <w:textDirection w:val="lrTb"/>
            <w:noWrap w:val="false"/>
          </w:tcPr>
          <w:p>
            <w:pPr>
              <w:ind w:firstLine="567"/>
              <w:jc w:val="center"/>
              <w:tabs>
                <w:tab w:val="left" w:pos="2520" w:leader="none"/>
              </w:tabs>
              <w:rPr>
                <w:b/>
              </w:rPr>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r>
      <w:tr>
        <w:trPr>
          <w:trHeight w:val="23"/>
        </w:trPr>
        <w:tc>
          <w:tcPr>
            <w:tcBorders>
              <w:top w:val="single" w:color="000000" w:sz="4" w:space="0"/>
              <w:left w:val="single" w:color="000000" w:sz="4" w:space="0"/>
              <w:bottom w:val="single" w:color="000000" w:sz="4" w:space="0"/>
              <w:right w:val="none" w:color="000000" w:sz="4" w:space="0"/>
            </w:tcBorders>
            <w:tcW w:w="3141" w:type="dxa"/>
            <w:vAlign w:val="center"/>
            <w:textDirection w:val="lrTb"/>
            <w:noWrap w:val="false"/>
          </w:tcPr>
          <w:p>
            <w:pPr>
              <w:ind w:firstLine="567"/>
              <w:jc w:val="both"/>
              <w:tabs>
                <w:tab w:val="left" w:pos="2520" w:leader="none"/>
              </w:tabs>
              <w:rPr>
                <w:rFonts w:eastAsia="SimSun"/>
                <w:lang w:eastAsia="zh-CN" w:bidi="ru-RU"/>
              </w:rPr>
            </w:pPr>
            <w:r>
              <w:rPr>
                <w:rFonts w:eastAsia="SimSun"/>
                <w:lang w:val="en-US" w:eastAsia="zh-CN" w:bidi="ru-RU"/>
              </w:rPr>
              <w:t xml:space="preserve">[</w:t>
            </w:r>
            <w:r>
              <w:rPr>
                <w:rFonts w:eastAsia="SimSun"/>
                <w:lang w:eastAsia="zh-CN" w:bidi="ru-RU"/>
              </w:rPr>
              <w:t xml:space="preserve">6.8</w:t>
            </w:r>
            <w:r>
              <w:rPr>
                <w:rFonts w:eastAsia="SimSun"/>
                <w:lang w:val="en-US" w:eastAsia="zh-CN" w:bidi="ru-RU"/>
              </w:rPr>
              <w:t xml:space="preserve">] </w:t>
            </w:r>
            <w:r>
              <w:rPr>
                <w:rFonts w:eastAsia="SimSun"/>
                <w:lang w:eastAsia="zh-CN" w:bidi="ru-RU"/>
              </w:rPr>
              <w:t xml:space="preserve">Связь</w:t>
            </w:r>
            <w:r/>
          </w:p>
        </w:tc>
        <w:tc>
          <w:tcPr>
            <w:tcBorders>
              <w:top w:val="single" w:color="000000" w:sz="4" w:space="0"/>
              <w:left w:val="single" w:color="000000" w:sz="4" w:space="0"/>
              <w:bottom w:val="single" w:color="000000" w:sz="4" w:space="0"/>
              <w:right w:val="none" w:color="000000" w:sz="4" w:space="0"/>
            </w:tcBorders>
            <w:tcW w:w="4010" w:type="dxa"/>
            <w:vAlign w:val="center"/>
            <w:textDirection w:val="lrTb"/>
            <w:noWrap w:val="false"/>
          </w:tcPr>
          <w:p>
            <w:pPr>
              <w:ind w:left="120" w:right="185"/>
              <w:jc w:val="both"/>
              <w:tabs>
                <w:tab w:val="left" w:pos="2520" w:leader="none"/>
              </w:tabs>
            </w:pPr>
            <w:r>
              <w:t xml:space="preserve">Размещение объектов связи, радиовещания, телевидения, включая воздушные радиорелейные, надземные и подземные кабельные линии связи, линии рад</w:t>
            </w:r>
            <w:r>
              <w:t xml:space="preserve">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r/>
          </w:p>
        </w:tc>
        <w:tc>
          <w:tcPr>
            <w:tcBorders>
              <w:top w:val="single" w:color="000000" w:sz="4" w:space="0"/>
              <w:left w:val="single" w:color="000000" w:sz="4" w:space="0"/>
              <w:bottom w:val="single" w:color="000000" w:sz="4" w:space="0"/>
              <w:right w:val="single" w:color="000000" w:sz="4" w:space="0"/>
            </w:tcBorders>
            <w:tcW w:w="8027" w:type="dxa"/>
            <w:vAlign w:val="center"/>
            <w:textDirection w:val="lrTb"/>
            <w:noWrap w:val="false"/>
          </w:tcPr>
          <w:p>
            <w:pPr>
              <w:ind w:left="132"/>
              <w:jc w:val="center"/>
              <w:rPr>
                <w:rFonts w:eastAsia="Calibri"/>
              </w:rPr>
            </w:pPr>
            <w:r>
              <w:rPr>
                <w:rFonts w:eastAsia="Calibri"/>
              </w:rPr>
              <w:t xml:space="preserve">Не подлежат установлению</w:t>
            </w:r>
            <w:r/>
          </w:p>
          <w:p>
            <w:pPr>
              <w:ind w:firstLine="567"/>
              <w:jc w:val="center"/>
              <w:tabs>
                <w:tab w:val="left" w:pos="2520" w:leader="none"/>
              </w:tabs>
              <w:rPr>
                <w:rFonts w:eastAsia="SimSun"/>
                <w:b/>
                <w:lang w:eastAsia="zh-CN" w:bidi="ru-RU"/>
              </w:rPr>
            </w:pPr>
            <w:r>
              <w:rPr>
                <w:rFonts w:eastAsia="Calibri"/>
              </w:rPr>
              <w:t xml:space="preserve">(определяется при проектировании)</w:t>
            </w:r>
            <w:r/>
          </w:p>
        </w:tc>
      </w:tr>
    </w:tbl>
    <w:p>
      <w:pPr>
        <w:ind w:firstLine="567"/>
        <w:jc w:val="center"/>
        <w:tabs>
          <w:tab w:val="left" w:pos="2520" w:leader="none"/>
        </w:tabs>
      </w:pPr>
      <w:r/>
      <w:r/>
    </w:p>
    <w:p>
      <w:pPr>
        <w:ind w:firstLine="567"/>
        <w:jc w:val="center"/>
        <w:tabs>
          <w:tab w:val="left" w:pos="2520" w:leader="none"/>
        </w:tabs>
      </w:pPr>
      <w:r>
        <w:rPr>
          <w:b/>
          <w:color w:val="000000"/>
        </w:rPr>
        <w:t xml:space="preserve">ВСПОМОГАТЕЛЬНЫЕ ВИДЫ И ПАРАМЕТРЫ РАЗРЕШЕННОГО ИСПОЛЬЗОВАНИЯ ЗЕМЕЛЬНЫХ УЧАСТКОВ И ОБЪЕКТОВ КАПИТАЛЬНОГО СТРОИТЕЛЬСТВА</w:t>
      </w:r>
      <w:r/>
    </w:p>
    <w:p>
      <w:pPr>
        <w:ind w:firstLine="567"/>
        <w:jc w:val="center"/>
        <w:tabs>
          <w:tab w:val="left" w:pos="2520" w:leader="none"/>
        </w:tabs>
      </w:pPr>
      <w:r/>
      <w:r/>
    </w:p>
    <w:p>
      <w:pPr>
        <w:ind w:firstLine="567"/>
        <w:jc w:val="both"/>
      </w:pPr>
      <w:r>
        <w:rPr>
          <w:sz w:val="24"/>
          <w:szCs w:val="24"/>
          <w:lang w:eastAsia="ru-RU" w:bidi="ru-RU"/>
        </w:rPr>
        <w:t xml:space="preserve">Вспомогательные</w:t>
      </w:r>
      <w:r>
        <w:rPr>
          <w:sz w:val="24"/>
          <w:szCs w:val="24"/>
          <w:lang w:eastAsia="ru-RU" w:bidi="ru-RU"/>
        </w:rPr>
        <w:t xml:space="preserve"> </w:t>
      </w:r>
      <w:r>
        <w:rPr>
          <w:sz w:val="24"/>
          <w:szCs w:val="24"/>
          <w:lang w:eastAsia="ru-RU" w:bidi="ru-RU"/>
        </w:rPr>
        <w:t xml:space="preserve">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Pr>
          <w:rFonts w:eastAsia="SimSun"/>
          <w:sz w:val="24"/>
          <w:szCs w:val="24"/>
          <w:lang w:eastAsia="zh-CN" w:bidi="ru-RU"/>
        </w:rPr>
        <w:t xml:space="preserve"> Предельные (мин</w:t>
      </w:r>
      <w:r>
        <w:rPr>
          <w:rFonts w:eastAsia="SimSun"/>
          <w:sz w:val="24"/>
          <w:szCs w:val="24"/>
          <w:lang w:eastAsia="zh-CN" w:bidi="ru-RU"/>
        </w:rPr>
        <w:t xml:space="preserve">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r/>
    </w:p>
    <w:p>
      <w:pPr>
        <w:ind w:firstLine="567"/>
        <w:jc w:val="center"/>
        <w:tabs>
          <w:tab w:val="left" w:pos="2520" w:leader="none"/>
        </w:tabs>
      </w:pPr>
      <w:r/>
      <w:r/>
    </w:p>
    <w:tbl>
      <w:tblPr>
        <w:tblW w:w="0" w:type="auto"/>
        <w:tblLayout w:type="fixed"/>
        <w:tblCellMar>
          <w:left w:w="10" w:type="dxa"/>
          <w:right w:w="10" w:type="dxa"/>
        </w:tblCellMar>
        <w:tblLook w:val="04A0" w:firstRow="1" w:lastRow="0" w:firstColumn="1" w:lastColumn="0" w:noHBand="0" w:noVBand="1"/>
      </w:tblPr>
      <w:tblGrid>
        <w:gridCol w:w="4565"/>
        <w:gridCol w:w="5387"/>
        <w:gridCol w:w="5226"/>
      </w:tblGrid>
      <w:tr>
        <w:trPr>
          <w:trHeight w:val="552"/>
        </w:trPr>
        <w:tc>
          <w:tcPr>
            <w:tcBorders>
              <w:top w:val="single" w:color="000000" w:sz="4" w:space="0"/>
              <w:left w:val="single" w:color="000000" w:sz="4" w:space="0"/>
              <w:bottom w:val="single" w:color="000000" w:sz="4" w:space="0"/>
              <w:right w:val="single" w:color="000000" w:sz="4" w:space="0"/>
            </w:tcBorders>
            <w:tcW w:w="4565" w:type="dxa"/>
            <w:vAlign w:val="center"/>
            <w:textDirection w:val="lrTb"/>
            <w:noWrap/>
          </w:tcPr>
          <w:p>
            <w:pPr>
              <w:ind w:firstLine="567"/>
              <w:jc w:val="center"/>
              <w:tabs>
                <w:tab w:val="left" w:pos="2520" w:leader="none"/>
              </w:tabs>
            </w:pPr>
            <w:r>
              <w:rPr>
                <w:b/>
              </w:rPr>
              <w:t xml:space="preserve">ВИДЫ ВСПОМОГАТЕЛЬНЫХ ОБЪЕКТОВ КАПИТАЛЬНОГО СТРОИТЕЛЬСТВА</w:t>
            </w:r>
            <w:r/>
          </w:p>
        </w:tc>
        <w:tc>
          <w:tcPr>
            <w:tcBorders>
              <w:top w:val="single" w:color="000000" w:sz="4" w:space="0"/>
              <w:left w:val="single" w:color="000000" w:sz="4" w:space="0"/>
              <w:bottom w:val="single" w:color="000000" w:sz="4" w:space="0"/>
              <w:right w:val="single" w:color="000000" w:sz="4" w:space="0"/>
            </w:tcBorders>
            <w:tcW w:w="5387" w:type="dxa"/>
            <w:vAlign w:val="center"/>
            <w:textDirection w:val="lrTb"/>
            <w:noWrap/>
          </w:tcPr>
          <w:p>
            <w:pPr>
              <w:ind w:firstLine="567"/>
              <w:jc w:val="center"/>
              <w:tabs>
                <w:tab w:val="left" w:pos="2520" w:leader="none"/>
              </w:tabs>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Borders>
              <w:top w:val="single" w:color="000000" w:sz="4" w:space="0"/>
              <w:left w:val="single" w:color="000000" w:sz="4" w:space="0"/>
              <w:bottom w:val="single" w:color="000000" w:sz="4" w:space="0"/>
              <w:right w:val="single" w:color="000000" w:sz="4" w:space="0"/>
            </w:tcBorders>
            <w:tcW w:w="5226" w:type="dxa"/>
            <w:vAlign w:val="center"/>
            <w:textDirection w:val="lrTb"/>
            <w:noWrap/>
          </w:tcPr>
          <w:p>
            <w:pPr>
              <w:ind w:firstLine="567"/>
              <w:jc w:val="center"/>
            </w:pPr>
            <w:r>
              <w:rPr>
                <w:b/>
              </w:rPr>
              <w:t xml:space="preserve">ОСОБЫЕ УСЛОВИЯ РЕАЛИЗАЦИИ РЕГЛАМЕНТА</w:t>
            </w:r>
            <w:r/>
          </w:p>
        </w:tc>
      </w:tr>
      <w:tr>
        <w:trPr>
          <w:trHeight w:val="23"/>
        </w:trPr>
        <w:tc>
          <w:tcPr>
            <w:gridSpan w:val="3"/>
            <w:tcBorders>
              <w:top w:val="single" w:color="000000" w:sz="4" w:space="0"/>
              <w:left w:val="single" w:color="000000" w:sz="4" w:space="0"/>
              <w:bottom w:val="single" w:color="000000" w:sz="4" w:space="0"/>
              <w:right w:val="single" w:color="000000" w:sz="4" w:space="0"/>
            </w:tcBorders>
            <w:tcW w:w="15178" w:type="dxa"/>
            <w:textDirection w:val="lrTb"/>
            <w:noWrap/>
          </w:tcPr>
          <w:p>
            <w:pPr>
              <w:ind w:right="142" w:firstLine="567"/>
              <w:jc w:val="center"/>
            </w:pPr>
            <w:r>
              <w:rPr>
                <w:rFonts w:eastAsia="Calibri"/>
              </w:rPr>
              <w:t xml:space="preserve">Вспомогательные виды и их параметры определяются материалами проектной документации.</w:t>
            </w:r>
            <w:r/>
          </w:p>
        </w:tc>
      </w:tr>
    </w:tbl>
    <w:p>
      <w:pPr>
        <w:ind w:firstLine="567"/>
        <w:jc w:val="both"/>
      </w:pPr>
      <w:r/>
      <w:r/>
    </w:p>
    <w:p>
      <w:r/>
      <w:r/>
    </w:p>
    <w:p>
      <w:pPr>
        <w:ind w:firstLine="567"/>
        <w:jc w:val="center"/>
      </w:pPr>
      <w:r>
        <w:rPr>
          <w:b/>
          <w:sz w:val="24"/>
          <w:szCs w:val="24"/>
        </w:rPr>
        <w:t xml:space="preserve">ЗОНА ТРАНСПОРТНОЙ ИНФРАСТРУКТУРЫ</w:t>
      </w:r>
      <w:r/>
    </w:p>
    <w:p>
      <w:pPr>
        <w:ind w:firstLine="567"/>
        <w:jc w:val="both"/>
      </w:pPr>
      <w:r>
        <w:rPr>
          <w:color w:val="000000" w:themeColor="text1"/>
          <w:sz w:val="24"/>
          <w:szCs w:val="24"/>
        </w:rPr>
        <w:t xml:space="preserve">Кодовое обозначение – Т</w:t>
      </w:r>
      <w:r/>
    </w:p>
    <w:p>
      <w:pPr>
        <w:ind w:firstLine="567"/>
        <w:jc w:val="both"/>
      </w:pPr>
      <w:r>
        <w:rPr>
          <w:sz w:val="24"/>
          <w:szCs w:val="24"/>
          <w:shd w:val="clear" w:color="auto" w:fill="ffffff"/>
        </w:rPr>
        <w:t xml:space="preserve">Зона транспортной инфраструктуры выделяется для размещения объектов транспорта и обеспечения правовых условий градостроительной деятельности в части размещения предприятий и объектов ее обслуживания.</w:t>
      </w:r>
      <w:r/>
    </w:p>
    <w:p>
      <w:pPr>
        <w:ind w:firstLine="567"/>
        <w:jc w:val="center"/>
      </w:pPr>
      <w:r/>
      <w:r/>
    </w:p>
    <w:p>
      <w:pPr>
        <w:ind w:firstLine="567"/>
        <w:jc w:val="center"/>
      </w:pPr>
      <w:r/>
      <w:r/>
    </w:p>
    <w:p>
      <w:pPr>
        <w:ind w:firstLine="567"/>
        <w:jc w:val="center"/>
        <w:tabs>
          <w:tab w:val="left" w:pos="2520" w:leader="none"/>
        </w:tabs>
      </w:pPr>
      <w:r>
        <w:rPr>
          <w:b/>
          <w:color w:val="000000"/>
        </w:rPr>
        <w:t xml:space="preserve">ОСНОВНЫЕ ВИДЫ И ПАРАМЕТРЫ РАЗРЕШЕННОГО ИСПОЛЬЗОВАНИЯ ЗЕМЕЛЬНЫХ УЧАСТКОВ И ОБЪЕКТОВ КАПИТАЛЬНОГО СТРОИТЕЛЬСТВА</w:t>
      </w:r>
      <w:r/>
    </w:p>
    <w:p>
      <w:pPr>
        <w:ind w:firstLine="567"/>
        <w:jc w:val="center"/>
        <w:tabs>
          <w:tab w:val="left" w:pos="2520" w:leader="none"/>
        </w:tabs>
      </w:pPr>
      <w:r/>
      <w:r/>
    </w:p>
    <w:tbl>
      <w:tblPr>
        <w:tblW w:w="151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3129"/>
        <w:gridCol w:w="4536"/>
        <w:gridCol w:w="4421"/>
        <w:gridCol w:w="3092"/>
      </w:tblGrid>
      <w:tr>
        <w:trPr>
          <w:trHeight w:val="20"/>
        </w:trPr>
        <w:tc>
          <w:tcPr>
            <w:tcW w:w="3129" w:type="dxa"/>
            <w:textDirection w:val="lrTb"/>
            <w:noWrap w:val="false"/>
          </w:tcPr>
          <w:p>
            <w:pPr>
              <w:ind w:left="142" w:right="117"/>
              <w:jc w:val="center"/>
              <w:tabs>
                <w:tab w:val="left" w:pos="2520" w:leader="none"/>
              </w:tabs>
              <w:rPr>
                <w:b/>
              </w:rPr>
            </w:pPr>
            <w:r>
              <w:rPr>
                <w:rFonts w:eastAsia="SimSun"/>
                <w:lang w:eastAsia="zh-CN" w:bidi="ru-RU"/>
              </w:rPr>
              <w:t xml:space="preserve">[</w:t>
            </w:r>
            <w:r>
              <w:rPr>
                <w:b/>
              </w:rPr>
              <w:t xml:space="preserve">КОД (ЧИСЛОВОЕ ОБОЗНАЧЕНИЕ)</w:t>
            </w:r>
            <w:r>
              <w:rPr>
                <w:rFonts w:eastAsia="SimSun"/>
                <w:lang w:eastAsia="zh-CN" w:bidi="ru-RU"/>
              </w:rPr>
              <w:t xml:space="preserve">]-</w:t>
            </w:r>
            <w:r>
              <w:rPr>
                <w:b/>
              </w:rPr>
              <w:t xml:space="preserve"> НАИМЕНОВАНИЕ ВИДАРАЗРЕШЕННОГО ИСПОЛЬЗОВАНИЯ ЗЕМЕЛЬНЫХ УЧАСТКОВ</w:t>
            </w:r>
            <w:r/>
          </w:p>
        </w:tc>
        <w:tc>
          <w:tcPr>
            <w:tcW w:w="4536" w:type="dxa"/>
            <w:textDirection w:val="lrTb"/>
            <w:noWrap w:val="false"/>
          </w:tcPr>
          <w:p>
            <w:pPr>
              <w:ind w:left="142" w:right="117"/>
              <w:jc w:val="center"/>
              <w:tabs>
                <w:tab w:val="left" w:pos="2520" w:leader="none"/>
              </w:tabs>
              <w:rPr>
                <w:b/>
              </w:rPr>
            </w:pPr>
            <w:r>
              <w:rPr>
                <w:b/>
              </w:rPr>
              <w:t xml:space="preserve">ВИДЫ ОБЪЕКТОВ КАПИТАЛЬНОГО СТРОИТЕЛЬСТВА</w:t>
            </w:r>
            <w:r/>
          </w:p>
        </w:tc>
        <w:tc>
          <w:tcPr>
            <w:tcW w:w="4421" w:type="dxa"/>
            <w:textDirection w:val="lrTb"/>
            <w:noWrap w:val="false"/>
          </w:tcPr>
          <w:p>
            <w:pPr>
              <w:ind w:left="142" w:right="117"/>
              <w:jc w:val="center"/>
              <w:tabs>
                <w:tab w:val="left" w:pos="2520" w:leader="none"/>
              </w:tabs>
              <w:rPr>
                <w:b/>
              </w:rPr>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W w:w="3092" w:type="dxa"/>
            <w:textDirection w:val="lrTb"/>
            <w:noWrap w:val="false"/>
          </w:tcPr>
          <w:p>
            <w:pPr>
              <w:ind w:left="105" w:right="142"/>
              <w:jc w:val="center"/>
              <w:tabs>
                <w:tab w:val="left" w:pos="3071" w:leader="none"/>
              </w:tabs>
              <w:rPr>
                <w:b/>
              </w:rPr>
            </w:pPr>
            <w:r>
              <w:rPr>
                <w:b/>
              </w:rPr>
              <w:t xml:space="preserve">ОСОБЫЕ УСЛОВИЯ РЕАЛИЗАЦИИ РЕГЛАМЕНТА</w:t>
            </w:r>
            <w:r/>
          </w:p>
        </w:tc>
      </w:tr>
      <w:tr>
        <w:trPr>
          <w:trHeight w:val="20"/>
        </w:trPr>
        <w:tc>
          <w:tcPr>
            <w:tcW w:w="3129" w:type="dxa"/>
            <w:textDirection w:val="lrTb"/>
            <w:noWrap w:val="false"/>
          </w:tcPr>
          <w:p>
            <w:pPr>
              <w:ind w:left="142" w:right="117"/>
              <w:jc w:val="both"/>
              <w:tabs>
                <w:tab w:val="left" w:pos="2520" w:leader="none"/>
              </w:tabs>
              <w:rPr>
                <w:rFonts w:eastAsia="SimSun"/>
                <w:lang w:eastAsia="zh-CN" w:bidi="ru-RU"/>
              </w:rPr>
            </w:pPr>
            <w:r>
              <w:rPr>
                <w:rFonts w:eastAsia="SimSun"/>
                <w:lang w:val="en-US" w:eastAsia="zh-CN" w:bidi="ru-RU"/>
              </w:rPr>
              <w:t xml:space="preserve">[</w:t>
            </w:r>
            <w:r>
              <w:rPr>
                <w:rFonts w:eastAsia="SimSun"/>
                <w:lang w:eastAsia="zh-CN" w:bidi="ru-RU"/>
              </w:rPr>
              <w:t xml:space="preserve">2.7.1</w:t>
            </w:r>
            <w:r>
              <w:rPr>
                <w:rFonts w:eastAsia="SimSun"/>
                <w:lang w:val="en-US" w:eastAsia="zh-CN" w:bidi="ru-RU"/>
              </w:rPr>
              <w:t xml:space="preserve">]</w:t>
            </w:r>
            <w:r/>
          </w:p>
          <w:p>
            <w:pPr>
              <w:ind w:left="142" w:right="117"/>
              <w:jc w:val="both"/>
              <w:tabs>
                <w:tab w:val="left" w:pos="2520" w:leader="none"/>
              </w:tabs>
              <w:rPr>
                <w:rFonts w:eastAsia="SimSun"/>
                <w:lang w:eastAsia="zh-CN" w:bidi="ru-RU"/>
              </w:rPr>
            </w:pPr>
            <w:r>
              <w:rPr>
                <w:rFonts w:eastAsia="SimSun"/>
                <w:lang w:eastAsia="zh-CN" w:bidi="ru-RU"/>
              </w:rPr>
              <w:t xml:space="preserve">Хранение автотранспорта</w:t>
            </w:r>
            <w:r/>
          </w:p>
        </w:tc>
        <w:tc>
          <w:tcPr>
            <w:tcW w:w="4536" w:type="dxa"/>
            <w:textDirection w:val="lrTb"/>
            <w:noWrap w:val="false"/>
          </w:tcPr>
          <w:p>
            <w:pPr>
              <w:ind w:left="142" w:right="117"/>
              <w:jc w:val="both"/>
              <w:tabs>
                <w:tab w:val="left" w:pos="2520" w:leader="none"/>
              </w:tabs>
            </w:pPr>
            <w:r>
              <w:t xml:space="preserve">Размещение отдельно</w:t>
            </w:r>
            <w:r>
              <w:t xml:space="preserve">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r/>
          </w:p>
        </w:tc>
        <w:tc>
          <w:tcPr>
            <w:tcW w:w="4421" w:type="dxa"/>
            <w:textDirection w:val="lrTb"/>
            <w:noWrap w:val="false"/>
          </w:tcPr>
          <w:p>
            <w:pPr>
              <w:ind w:left="142" w:right="117"/>
              <w:jc w:val="both"/>
              <w:tabs>
                <w:tab w:val="left" w:pos="1134" w:leader="none"/>
              </w:tabs>
            </w:pPr>
            <w:r>
              <w:t xml:space="preserve">Минимальная/максимальная площадь земельных участков – 15/100 кв. м;</w:t>
            </w:r>
            <w:r/>
          </w:p>
          <w:p>
            <w:pPr>
              <w:ind w:left="142" w:right="117"/>
              <w:jc w:val="both"/>
              <w:tabs>
                <w:tab w:val="left" w:pos="1134" w:leader="none"/>
              </w:tabs>
            </w:pPr>
            <w:r>
              <w:t xml:space="preserve">максимальное количество надземных этажей зданий – 2;</w:t>
            </w:r>
            <w:r/>
          </w:p>
          <w:p>
            <w:pPr>
              <w:ind w:left="142" w:right="117"/>
              <w:jc w:val="both"/>
              <w:tabs>
                <w:tab w:val="left" w:pos="1134" w:leader="none"/>
              </w:tabs>
              <w:rPr>
                <w:rFonts w:eastAsia="SimSun"/>
                <w:b/>
                <w:lang w:eastAsia="zh-CN" w:bidi="ru-RU"/>
              </w:rPr>
            </w:pPr>
            <w:r>
              <w:t xml:space="preserve">максимальная высота зданий, строений, сооружений от уровня земли – 6 м;</w:t>
            </w:r>
            <w:r/>
          </w:p>
        </w:tc>
        <w:tc>
          <w:tcPr>
            <w:tcW w:w="3092" w:type="dxa"/>
            <w:vMerge w:val="restart"/>
            <w:textDirection w:val="lrTb"/>
            <w:noWrap w:val="false"/>
          </w:tcPr>
          <w:p>
            <w:pPr>
              <w:ind w:right="142"/>
              <w:jc w:val="both"/>
              <w:tabs>
                <w:tab w:val="left" w:pos="3071" w:leader="none"/>
              </w:tabs>
            </w:pPr>
            <w:r>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r/>
          </w:p>
          <w:p>
            <w:pPr>
              <w:ind w:right="142"/>
              <w:jc w:val="both"/>
              <w:tabs>
                <w:tab w:val="left" w:pos="3071" w:leader="none"/>
              </w:tabs>
            </w:pPr>
            <w:r/>
            <w:r/>
          </w:p>
          <w:p>
            <w:pPr>
              <w:ind w:right="142"/>
              <w:jc w:val="both"/>
              <w:tabs>
                <w:tab w:val="left" w:pos="3071" w:leader="none"/>
              </w:tabs>
            </w:pPr>
            <w: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r/>
          </w:p>
          <w:p>
            <w:pPr>
              <w:ind w:right="142"/>
              <w:jc w:val="both"/>
              <w:tabs>
                <w:tab w:val="left" w:pos="3071" w:leader="none"/>
              </w:tabs>
            </w:pPr>
            <w:r/>
            <w:r/>
          </w:p>
          <w:p>
            <w:pPr>
              <w:ind w:right="142"/>
              <w:jc w:val="both"/>
              <w:tabs>
                <w:tab w:val="left" w:pos="3071" w:leader="none"/>
              </w:tabs>
              <w:rPr>
                <w:shd w:val="clear" w:color="auto" w:fill="ffffff"/>
              </w:rPr>
            </w:pPr>
            <w:r>
              <w:rPr>
                <w:shd w:val="clear" w:color="auto" w:fill="ffffff"/>
              </w:rPr>
              <w:t xml:space="preserve">При проектировании объектов </w:t>
            </w:r>
            <w:r>
              <w:rPr>
                <w:bCs/>
                <w:shd w:val="clear" w:color="auto" w:fill="ffffff"/>
              </w:rPr>
              <w:t xml:space="preserve">транспортной</w:t>
            </w:r>
            <w:r>
              <w:rPr>
                <w:shd w:val="clear" w:color="auto" w:fill="ffffff"/>
              </w:rPr>
              <w:t xml:space="preserve"> </w:t>
            </w:r>
            <w:r>
              <w:rPr>
                <w:bCs/>
                <w:shd w:val="clear" w:color="auto" w:fill="ffffff"/>
              </w:rPr>
              <w:t xml:space="preserve">инфраструктуры</w:t>
            </w:r>
            <w:r>
              <w:rPr>
                <w:shd w:val="clear" w:color="auto" w:fill="ffffff"/>
              </w:rPr>
              <w:t xml:space="preserve"> условия безопасности применять по нормируемым санитарно-гигиеническим и противопожарным требованиям.</w:t>
            </w:r>
            <w:r/>
          </w:p>
          <w:p>
            <w:pPr>
              <w:ind w:right="142"/>
              <w:jc w:val="both"/>
              <w:tabs>
                <w:tab w:val="left" w:pos="3071" w:leader="none"/>
              </w:tabs>
              <w:rPr>
                <w:shd w:val="clear" w:color="auto" w:fill="ffffff"/>
              </w:rPr>
            </w:pPr>
            <w:r>
              <w:rPr>
                <w:shd w:val="clear" w:color="auto" w:fill="ffffff"/>
              </w:rPr>
            </w:r>
            <w:r/>
          </w:p>
          <w:p>
            <w:pPr>
              <w:ind w:right="142"/>
              <w:jc w:val="both"/>
              <w:tabs>
                <w:tab w:val="left" w:pos="3071" w:leader="none"/>
              </w:tabs>
              <w:rPr>
                <w:shd w:val="clear" w:color="auto" w:fill="ffffff"/>
              </w:rPr>
            </w:pPr>
            <w:r>
              <w:rPr>
                <w:shd w:val="clear" w:color="auto" w:fill="ffffff"/>
              </w:rPr>
              <w:t xml:space="preserve">В состав </w:t>
            </w:r>
            <w:r>
              <w:rPr>
                <w:bCs/>
                <w:shd w:val="clear" w:color="auto" w:fill="ffffff"/>
              </w:rPr>
              <w:t xml:space="preserve">зоны</w:t>
            </w:r>
            <w:r>
              <w:rPr>
                <w:shd w:val="clear" w:color="auto" w:fill="ffffff"/>
              </w:rPr>
              <w:t xml:space="preserve"> инженерно-</w:t>
            </w:r>
            <w:r>
              <w:rPr>
                <w:bCs/>
                <w:shd w:val="clear" w:color="auto" w:fill="ffffff"/>
              </w:rPr>
              <w:t xml:space="preserve">транспортной</w:t>
            </w:r>
            <w:r>
              <w:rPr>
                <w:shd w:val="clear" w:color="auto" w:fill="ffffff"/>
              </w:rPr>
              <w:t xml:space="preserve"> </w:t>
            </w:r>
            <w:r>
              <w:rPr>
                <w:bCs/>
                <w:shd w:val="clear" w:color="auto" w:fill="ffffff"/>
              </w:rPr>
              <w:t xml:space="preserve">инфраструктуры</w:t>
            </w:r>
            <w:r>
              <w:rPr>
                <w:shd w:val="clear" w:color="auto" w:fill="ffffff"/>
              </w:rPr>
              <w:t xml:space="preserve"> </w:t>
            </w:r>
            <w:r>
              <w:rPr>
                <w:shd w:val="clear" w:color="auto" w:fill="ffffff"/>
              </w:rPr>
              <w:t xml:space="preserve">включаются </w:t>
            </w:r>
            <w:r/>
          </w:p>
          <w:p>
            <w:pPr>
              <w:ind w:right="142"/>
              <w:jc w:val="both"/>
              <w:tabs>
                <w:tab w:val="left" w:pos="3071" w:leader="none"/>
              </w:tabs>
              <w:rPr>
                <w:shd w:val="clear" w:color="auto" w:fill="ffffff"/>
              </w:rPr>
            </w:pPr>
            <w:r>
              <w:rPr>
                <w:shd w:val="clear" w:color="auto" w:fill="ffffff"/>
              </w:rPr>
              <w:t xml:space="preserve">- территории улично-дорожной сети, </w:t>
            </w:r>
            <w:r/>
          </w:p>
          <w:p>
            <w:pPr>
              <w:pStyle w:val="1253"/>
              <w:ind w:right="132" w:firstLine="0"/>
              <w:spacing w:before="0" w:after="0"/>
              <w:rPr>
                <w:sz w:val="20"/>
                <w:szCs w:val="20"/>
                <w:shd w:val="clear" w:color="auto" w:fill="ffffff"/>
              </w:rPr>
            </w:pPr>
            <w:r>
              <w:rPr>
                <w:shd w:val="clear" w:color="auto" w:fill="ffffff"/>
              </w:rPr>
              <w:t xml:space="preserve">-</w:t>
            </w:r>
            <w:r>
              <w:rPr>
                <w:sz w:val="20"/>
                <w:szCs w:val="20"/>
                <w:shd w:val="clear" w:color="auto" w:fill="ffffff"/>
              </w:rPr>
              <w:t xml:space="preserve">конструктивные элементы дорожно-</w:t>
            </w:r>
            <w:r>
              <w:rPr>
                <w:bCs/>
                <w:sz w:val="20"/>
                <w:szCs w:val="20"/>
                <w:shd w:val="clear" w:color="auto" w:fill="ffffff"/>
              </w:rPr>
              <w:t xml:space="preserve">транспортных</w:t>
            </w:r>
            <w:r>
              <w:rPr>
                <w:sz w:val="20"/>
                <w:szCs w:val="20"/>
                <w:shd w:val="clear" w:color="auto" w:fill="ffffff"/>
              </w:rPr>
              <w:t xml:space="preserve"> сооружений (опор путепроводов). </w:t>
            </w:r>
            <w:r/>
          </w:p>
          <w:p>
            <w:pPr>
              <w:pStyle w:val="1253"/>
              <w:ind w:right="132" w:firstLine="0"/>
              <w:spacing w:before="0" w:after="0"/>
              <w:rPr>
                <w:sz w:val="20"/>
                <w:szCs w:val="20"/>
                <w:shd w:val="clear" w:color="auto" w:fill="ffffff"/>
              </w:rPr>
            </w:pPr>
            <w:r>
              <w:rPr>
                <w:sz w:val="20"/>
                <w:szCs w:val="20"/>
                <w:shd w:val="clear" w:color="auto" w:fill="ffffff"/>
              </w:rPr>
              <w:t xml:space="preserve">- внутриквартальные проезды, подъездные пути предназначены для обеспечения транспортной связи с объектами, размещенными на внутриквартальной территории и разрабатываются в составе проекта планировки и межевания квартала. </w:t>
            </w:r>
            <w:r/>
          </w:p>
          <w:p>
            <w:pPr>
              <w:pStyle w:val="1253"/>
              <w:ind w:right="132" w:firstLine="0"/>
              <w:spacing w:before="0" w:after="0"/>
              <w:rPr>
                <w:sz w:val="20"/>
                <w:szCs w:val="20"/>
                <w:shd w:val="clear" w:color="auto" w:fill="ffffff"/>
              </w:rPr>
            </w:pPr>
            <w:r>
              <w:rPr>
                <w:sz w:val="20"/>
                <w:szCs w:val="20"/>
                <w:shd w:val="clear" w:color="auto" w:fill="ffffff"/>
              </w:rPr>
              <w:t xml:space="preserve">При размещении объекта, не предусмотренного ранее разработанным проектом планировки, подъездные пути и проезды, необходимые для строительства и эксплуатации объекта выполняются за счет застройщика.</w:t>
            </w:r>
            <w:r/>
          </w:p>
          <w:p>
            <w:pPr>
              <w:pStyle w:val="1253"/>
              <w:ind w:left="105" w:right="132" w:firstLine="0"/>
              <w:spacing w:before="0" w:after="0"/>
              <w:rPr>
                <w:sz w:val="20"/>
                <w:szCs w:val="20"/>
                <w:shd w:val="clear" w:color="auto" w:fill="ffffff"/>
              </w:rPr>
            </w:pPr>
            <w:r>
              <w:rPr>
                <w:sz w:val="20"/>
                <w:szCs w:val="20"/>
                <w:shd w:val="clear" w:color="auto" w:fill="ffffff"/>
              </w:rPr>
            </w:r>
            <w:r/>
          </w:p>
          <w:p>
            <w:pPr>
              <w:ind w:right="132"/>
              <w:jc w:val="both"/>
              <w:rPr>
                <w:rFonts w:cs="Arial"/>
                <w:lang w:eastAsia="ru-RU"/>
              </w:rPr>
            </w:pPr>
            <w:r>
              <w:rPr>
                <w:rFonts w:cs="Arial"/>
                <w:lang w:eastAsia="ru-RU"/>
              </w:rPr>
              <w:t xml:space="preserve">Режимы использования земель и требования к градостроительным регламентам в границах зон охраны объекта культурного наследия не применяются к правоотношениям,</w:t>
            </w:r>
            <w:r>
              <w:rPr>
                <w:rFonts w:cs="Arial"/>
                <w:lang w:eastAsia="ru-RU"/>
              </w:rPr>
              <w:t xml:space="preserve"> связанным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 до вступления в силу правового акта об утверждении зон охраны объекта культурного </w:t>
            </w:r>
            <w:r>
              <w:rPr>
                <w:rFonts w:cs="Arial"/>
                <w:lang w:eastAsia="ru-RU"/>
              </w:rPr>
              <w:t xml:space="preserve">наследия.</w:t>
            </w:r>
            <w:r/>
          </w:p>
          <w:p>
            <w:pPr>
              <w:ind w:right="132" w:firstLine="567"/>
              <w:jc w:val="both"/>
              <w:rPr>
                <w:rFonts w:cs="Arial"/>
                <w:lang w:eastAsia="ru-RU"/>
              </w:rPr>
            </w:pPr>
            <w:r>
              <w:rPr>
                <w:rFonts w:cs="Arial"/>
                <w:lang w:eastAsia="ru-RU"/>
              </w:rPr>
            </w:r>
            <w:r/>
          </w:p>
          <w:p>
            <w:pPr>
              <w:ind w:right="132"/>
              <w:jc w:val="both"/>
              <w:rPr>
                <w:rFonts w:cs="Arial"/>
                <w:lang w:eastAsia="ru-RU"/>
              </w:rPr>
            </w:pPr>
            <w:r>
              <w:rPr>
                <w:rFonts w:cs="Arial"/>
                <w:lang w:eastAsia="ru-RU"/>
              </w:rPr>
              <w:t xml:space="preserve">На территориях общего пользования не разрешается возведение объектов капитального </w:t>
            </w:r>
            <w:r>
              <w:rPr>
                <w:rFonts w:cs="Arial"/>
                <w:lang w:eastAsia="ru-RU"/>
              </w:rPr>
              <w:t xml:space="preserve">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r/>
          </w:p>
          <w:p>
            <w:pPr>
              <w:ind w:right="132"/>
              <w:jc w:val="both"/>
              <w:rPr>
                <w:rFonts w:cs="Arial"/>
                <w:lang w:eastAsia="ru-RU"/>
              </w:rPr>
            </w:pPr>
            <w:r>
              <w:rPr>
                <w:rFonts w:cs="Arial"/>
                <w:lang w:eastAsia="ru-RU"/>
              </w:rPr>
            </w:r>
            <w:r/>
          </w:p>
          <w:p>
            <w:pPr>
              <w:ind w:right="132"/>
              <w:jc w:val="both"/>
              <w:rPr>
                <w:rFonts w:cs="Arial"/>
                <w:lang w:eastAsia="ru-RU"/>
              </w:rPr>
            </w:pPr>
            <w:r>
              <w:rPr>
                <w:rFonts w:cs="Arial"/>
                <w:lang w:eastAsia="ru-RU"/>
              </w:rPr>
              <w:t xml:space="preserve">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r/>
          </w:p>
          <w:p>
            <w:pPr>
              <w:pStyle w:val="1253"/>
              <w:ind w:left="105" w:right="132" w:firstLine="0"/>
              <w:spacing w:before="0" w:after="0"/>
              <w:rPr>
                <w:sz w:val="20"/>
                <w:szCs w:val="20"/>
              </w:rPr>
            </w:pPr>
            <w:r>
              <w:rPr>
                <w:sz w:val="20"/>
                <w:szCs w:val="20"/>
              </w:rPr>
            </w:r>
            <w:r/>
          </w:p>
          <w:p>
            <w:pPr>
              <w:pStyle w:val="1253"/>
              <w:ind w:left="105" w:right="132" w:firstLine="0"/>
              <w:spacing w:before="0" w:after="0"/>
            </w:pPr>
            <w:r>
              <w:rPr>
                <w:rFonts w:cs="Arial"/>
                <w:sz w:val="20"/>
                <w:szCs w:val="20"/>
                <w:lang w:eastAsia="ru-RU"/>
              </w:rPr>
              <w:t xml:space="preserve">Реконструкция объе</w:t>
            </w:r>
            <w:r>
              <w:rPr>
                <w:rFonts w:cs="Arial"/>
                <w:sz w:val="20"/>
                <w:szCs w:val="20"/>
                <w:lang w:eastAsia="ru-RU"/>
              </w:rPr>
              <w:t xml:space="preserve">ктов капитального строительства и их частей может осуществляться только путем приведения таких объектов в соответствие с режимами использования земель и градостроительными регламентами, установленными в границах зон охраны объекта культурного наследия, или</w:t>
            </w:r>
            <w:r>
              <w:rPr>
                <w:rFonts w:cs="Arial"/>
                <w:sz w:val="20"/>
                <w:szCs w:val="20"/>
                <w:lang w:eastAsia="ru-RU"/>
              </w:rPr>
              <w:br/>
              <w:t xml:space="preserve">путем уменьшения</w:t>
            </w:r>
            <w:r>
              <w:rPr>
                <w:rFonts w:cs="Arial"/>
                <w:sz w:val="20"/>
                <w:szCs w:val="20"/>
                <w:lang w:eastAsia="ru-RU"/>
              </w:rPr>
              <w:br/>
              <w:t xml:space="preserve">их несоответствия установленным предельным параметрам разрешенного строительства.</w:t>
            </w:r>
            <w:r>
              <w:t xml:space="preserve"> </w:t>
            </w:r>
            <w:r/>
          </w:p>
          <w:p>
            <w:pPr>
              <w:ind w:left="105" w:right="142"/>
              <w:jc w:val="both"/>
              <w:tabs>
                <w:tab w:val="left" w:pos="3071" w:leader="none"/>
              </w:tabs>
            </w:pPr>
            <w:r/>
            <w:r/>
          </w:p>
          <w:p>
            <w:pPr>
              <w:ind w:left="105" w:right="142"/>
              <w:jc w:val="both"/>
              <w:tabs>
                <w:tab w:val="left" w:pos="3071" w:leader="none"/>
              </w:tabs>
              <w:rPr>
                <w:b/>
              </w:rPr>
            </w:pPr>
            <w:r>
              <w:rPr>
                <w:b/>
              </w:rPr>
            </w:r>
            <w:r/>
          </w:p>
        </w:tc>
      </w:tr>
      <w:tr>
        <w:trPr>
          <w:trHeight w:val="20"/>
        </w:trPr>
        <w:tc>
          <w:tcPr>
            <w:tcW w:w="3129" w:type="dxa"/>
            <w:textDirection w:val="lrTb"/>
            <w:noWrap w:val="false"/>
          </w:tcPr>
          <w:p>
            <w:pPr>
              <w:ind w:left="142" w:right="117"/>
              <w:rPr>
                <w:rFonts w:eastAsia="SimSun"/>
                <w:lang w:eastAsia="zh-CN" w:bidi="ru-RU"/>
              </w:rPr>
            </w:pPr>
            <w:r>
              <w:rPr>
                <w:rFonts w:eastAsia="SimSun"/>
                <w:lang w:eastAsia="zh-CN" w:bidi="ru-RU"/>
              </w:rPr>
              <w:t xml:space="preserve">[2.7.2]</w:t>
            </w:r>
            <w:r/>
          </w:p>
          <w:p>
            <w:pPr>
              <w:ind w:left="142" w:right="117"/>
              <w:rPr>
                <w:rFonts w:eastAsia="SimSun"/>
                <w:lang w:eastAsia="zh-CN" w:bidi="ru-RU"/>
              </w:rPr>
            </w:pPr>
            <w:r>
              <w:t xml:space="preserve">Размещение гаражей для собственных нужд</w:t>
            </w:r>
            <w:r/>
          </w:p>
        </w:tc>
        <w:tc>
          <w:tcPr>
            <w:tcW w:w="4536" w:type="dxa"/>
            <w:textDirection w:val="lrTb"/>
            <w:noWrap w:val="false"/>
          </w:tcPr>
          <w:p>
            <w:pPr>
              <w:ind w:left="142" w:right="117"/>
              <w:jc w:val="both"/>
              <w:tabs>
                <w:tab w:val="left" w:pos="2520" w:leader="none"/>
              </w:tabs>
            </w:pPr>
            <w:r>
              <w:t xml:space="preserve">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r/>
          </w:p>
        </w:tc>
        <w:tc>
          <w:tcPr>
            <w:tcW w:w="4421" w:type="dxa"/>
            <w:textDirection w:val="lrTb"/>
            <w:noWrap w:val="false"/>
          </w:tcPr>
          <w:p>
            <w:pPr>
              <w:ind w:left="142" w:right="117"/>
              <w:jc w:val="both"/>
              <w:tabs>
                <w:tab w:val="left" w:pos="1134" w:leader="none"/>
              </w:tabs>
            </w:pPr>
            <w:r>
              <w:t xml:space="preserve">Минимальная/максимальная площадь земельных участков – 15/100 кв. м;</w:t>
            </w:r>
            <w:r/>
          </w:p>
          <w:p>
            <w:pPr>
              <w:ind w:left="142" w:right="117"/>
              <w:jc w:val="both"/>
              <w:tabs>
                <w:tab w:val="left" w:pos="1134" w:leader="none"/>
              </w:tabs>
            </w:pPr>
            <w:r>
              <w:t xml:space="preserve">максимальное количество надземных этажей зданий – 2;</w:t>
            </w:r>
            <w:r/>
          </w:p>
          <w:p>
            <w:pPr>
              <w:ind w:left="142" w:right="117"/>
              <w:jc w:val="both"/>
              <w:tabs>
                <w:tab w:val="left" w:pos="1134" w:leader="none"/>
              </w:tabs>
            </w:pPr>
            <w:r>
              <w:t xml:space="preserve">максимальная высота зданий, строений, сооружений от уровня земли – 6 м;</w:t>
            </w:r>
            <w:r/>
          </w:p>
        </w:tc>
        <w:tc>
          <w:tcPr>
            <w:tcW w:w="3092" w:type="dxa"/>
            <w:vMerge w:val="continue"/>
            <w:textDirection w:val="lrTb"/>
            <w:noWrap w:val="false"/>
          </w:tcPr>
          <w:p>
            <w:pPr>
              <w:ind w:right="142" w:firstLine="567"/>
              <w:jc w:val="both"/>
              <w:tabs>
                <w:tab w:val="left" w:pos="3071" w:leader="none"/>
              </w:tabs>
            </w:pPr>
            <w:r/>
            <w:r/>
          </w:p>
        </w:tc>
      </w:tr>
      <w:tr>
        <w:trPr>
          <w:trHeight w:val="20"/>
        </w:trPr>
        <w:tc>
          <w:tcPr>
            <w:tcW w:w="3129" w:type="dxa"/>
            <w:textDirection w:val="lrTb"/>
            <w:noWrap w:val="false"/>
          </w:tcPr>
          <w:p>
            <w:pPr>
              <w:ind w:left="147" w:right="166"/>
            </w:pPr>
            <w:r>
              <w:t xml:space="preserve">[4.9]  </w:t>
            </w:r>
            <w:r/>
          </w:p>
          <w:p>
            <w:pPr>
              <w:ind w:left="147" w:right="166"/>
            </w:pPr>
            <w:r>
              <w:t xml:space="preserve">Служебные гаражи</w:t>
            </w:r>
            <w:r/>
          </w:p>
        </w:tc>
        <w:tc>
          <w:tcPr>
            <w:tcW w:w="4536" w:type="dxa"/>
            <w:textDirection w:val="lrTb"/>
            <w:noWrap w:val="false"/>
          </w:tcPr>
          <w:p>
            <w:pPr>
              <w:ind w:left="118" w:right="165"/>
              <w:jc w:val="both"/>
            </w:pPr>
            <w: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96" w:tooltip="../Правила/Кавказская%20зона%202020%20новое%20ИЗМЕНЕНИЯ.doc#sub_1030" w:anchor="sub_1030" w:history="1">
              <w:r>
                <w:rPr>
                  <w:rFonts w:eastAsia="SimSun"/>
                </w:rPr>
                <w:t xml:space="preserve">кодами 3.0</w:t>
              </w:r>
            </w:hyperlink>
            <w:r>
              <w:t xml:space="preserve">, </w:t>
            </w:r>
            <w:hyperlink r:id="rId97" w:tooltip="../Правила/Кавказская%20зона%202020%20новое%20ИЗМЕНЕНИЯ.doc#sub_1040" w:anchor="sub_1040" w:history="1">
              <w:r>
                <w:rPr>
                  <w:rFonts w:eastAsia="SimSun"/>
                </w:rPr>
                <w:t xml:space="preserve">4.0</w:t>
              </w:r>
            </w:hyperlink>
            <w:r>
              <w:t xml:space="preserve">, а также для стоянки и хранения транспортных средств общего пользования, в том числе в депо</w:t>
            </w:r>
            <w:r/>
          </w:p>
        </w:tc>
        <w:tc>
          <w:tcPr>
            <w:tcW w:w="4421" w:type="dxa"/>
            <w:textDirection w:val="lrTb"/>
            <w:noWrap w:val="false"/>
          </w:tcPr>
          <w:p>
            <w:pPr>
              <w:ind w:left="118" w:right="142"/>
              <w:jc w:val="both"/>
            </w:pPr>
            <w:r>
              <w:t xml:space="preserve">Минимальная/максимальная площадь земельных участков – 30/5000 кв. м;</w:t>
            </w:r>
            <w:r/>
          </w:p>
          <w:p>
            <w:pPr>
              <w:ind w:left="118" w:right="142"/>
              <w:jc w:val="both"/>
            </w:pPr>
            <w:r>
              <w:t xml:space="preserve">максимальный процент застройки в границах земельного участка – 60%;</w:t>
            </w:r>
            <w:r/>
          </w:p>
          <w:p>
            <w:pPr>
              <w:ind w:left="118" w:right="142"/>
              <w:jc w:val="both"/>
            </w:pPr>
            <w:r>
              <w:t xml:space="preserve">максимальная высота зданий, строений, сооружений от уровня земли - 12 м;</w:t>
            </w:r>
            <w:r/>
          </w:p>
          <w:p>
            <w:pPr>
              <w:ind w:left="118" w:right="142"/>
              <w:jc w:val="both"/>
              <w:tabs>
                <w:tab w:val="left" w:pos="2520" w:leader="none"/>
              </w:tabs>
              <w:rPr>
                <w:rFonts w:eastAsia="SimSun"/>
                <w:lang w:eastAsia="zh-CN" w:bidi="ru-RU"/>
              </w:rPr>
            </w:pPr>
            <w:r>
              <w:t xml:space="preserve">минимальные отступы от красной линии – 5 м; от иных границ – 3 м</w:t>
            </w:r>
            <w:r>
              <w:rPr>
                <w:rFonts w:eastAsia="SimSun"/>
                <w:lang w:eastAsia="zh-CN" w:bidi="ru-RU"/>
              </w:rPr>
              <w:t xml:space="preserve">;</w:t>
            </w:r>
            <w:r/>
          </w:p>
          <w:p>
            <w:pPr>
              <w:ind w:left="118" w:right="142"/>
              <w:jc w:val="both"/>
              <w:rPr>
                <w:rFonts w:eastAsia="Calibri"/>
              </w:rPr>
            </w:pPr>
            <w:r>
              <w:rPr>
                <w:rFonts w:eastAsia="SimSun"/>
                <w:lang w:eastAsia="zh-CN" w:bidi="ru-RU"/>
              </w:rPr>
              <w:t xml:space="preserve">минимальный процент озеленения земельного участка 15%.</w:t>
            </w:r>
            <w:r/>
          </w:p>
        </w:tc>
        <w:tc>
          <w:tcPr>
            <w:tcW w:w="3092" w:type="dxa"/>
            <w:vMerge w:val="continue"/>
            <w:textDirection w:val="lrTb"/>
            <w:noWrap w:val="false"/>
          </w:tcPr>
          <w:p>
            <w:pPr>
              <w:ind w:right="142" w:firstLine="567"/>
              <w:jc w:val="center"/>
              <w:tabs>
                <w:tab w:val="left" w:pos="3071" w:leader="none"/>
              </w:tabs>
              <w:rPr>
                <w:b/>
              </w:rPr>
            </w:pPr>
            <w:r>
              <w:rPr>
                <w:b/>
              </w:rPr>
            </w:r>
            <w:r/>
          </w:p>
        </w:tc>
      </w:tr>
      <w:tr>
        <w:trPr>
          <w:trHeight w:val="20"/>
        </w:trPr>
        <w:tc>
          <w:tcPr>
            <w:tcW w:w="3129" w:type="dxa"/>
            <w:textDirection w:val="lrTb"/>
            <w:noWrap w:val="false"/>
          </w:tcPr>
          <w:p>
            <w:pPr>
              <w:ind w:left="142" w:right="117"/>
              <w:tabs>
                <w:tab w:val="left" w:pos="2520" w:leader="none"/>
              </w:tabs>
              <w:rPr>
                <w:rFonts w:eastAsia="SimSun"/>
                <w:lang w:eastAsia="zh-CN" w:bidi="ru-RU"/>
              </w:rPr>
            </w:pPr>
            <w:r>
              <w:rPr>
                <w:rFonts w:eastAsia="SimSun"/>
                <w:lang w:eastAsia="zh-CN" w:bidi="ru-RU"/>
              </w:rPr>
              <w:t xml:space="preserve">[4.9.1.1]</w:t>
            </w:r>
            <w:r/>
          </w:p>
          <w:p>
            <w:pPr>
              <w:ind w:left="142" w:right="117"/>
              <w:tabs>
                <w:tab w:val="left" w:pos="2520" w:leader="none"/>
              </w:tabs>
              <w:rPr>
                <w:rFonts w:eastAsia="SimSun"/>
                <w:lang w:eastAsia="zh-CN" w:bidi="ru-RU"/>
              </w:rPr>
            </w:pPr>
            <w:r>
              <w:rPr>
                <w:rFonts w:eastAsia="SimSun"/>
                <w:lang w:eastAsia="zh-CN" w:bidi="ru-RU"/>
              </w:rPr>
              <w:t xml:space="preserve">Заправка транспортных </w:t>
            </w:r>
            <w:r>
              <w:rPr>
                <w:rFonts w:eastAsia="SimSun"/>
                <w:lang w:eastAsia="zh-CN" w:bidi="ru-RU"/>
              </w:rPr>
              <w:t xml:space="preserve">средств</w:t>
            </w:r>
            <w:r/>
          </w:p>
          <w:p>
            <w:pPr>
              <w:ind w:left="142" w:right="117"/>
              <w:tabs>
                <w:tab w:val="left" w:pos="2520" w:leader="none"/>
              </w:tabs>
              <w:rPr>
                <w:rFonts w:eastAsia="SimSun"/>
                <w:lang w:val="en-US" w:eastAsia="zh-CN" w:bidi="ru-RU"/>
              </w:rPr>
            </w:pPr>
            <w:r>
              <w:rPr>
                <w:rFonts w:eastAsia="SimSun"/>
                <w:lang w:val="en-US" w:eastAsia="zh-CN" w:bidi="ru-RU"/>
              </w:rPr>
            </w:r>
            <w:r/>
          </w:p>
        </w:tc>
        <w:tc>
          <w:tcPr>
            <w:tcW w:w="4536" w:type="dxa"/>
            <w:textDirection w:val="lrTb"/>
            <w:noWrap w:val="false"/>
          </w:tcPr>
          <w:p>
            <w:pPr>
              <w:ind w:left="142" w:right="117"/>
              <w:jc w:val="both"/>
              <w:tabs>
                <w:tab w:val="left" w:pos="2520" w:leader="none"/>
              </w:tabs>
            </w:pPr>
            <w:r>
              <w:rPr>
                <w:shd w:val="clear" w:color="auto" w:fill="ffffff"/>
              </w:rPr>
              <w:t xml:space="preserve">Размещение автозаправочных станций; размещение магазинов сопутствующей </w:t>
            </w:r>
            <w:r>
              <w:rPr>
                <w:shd w:val="clear" w:color="auto" w:fill="ffffff"/>
              </w:rPr>
              <w:t xml:space="preserve">торговли, зданий для организации общественного питания в качестве объектов дорожного сервиса</w:t>
            </w:r>
            <w:r/>
          </w:p>
        </w:tc>
        <w:tc>
          <w:tcPr>
            <w:tcW w:w="4421" w:type="dxa"/>
            <w:textDirection w:val="lrTb"/>
            <w:noWrap w:val="false"/>
          </w:tcPr>
          <w:p>
            <w:pPr>
              <w:ind w:left="142" w:right="117"/>
              <w:jc w:val="both"/>
              <w:tabs>
                <w:tab w:val="left" w:pos="2520" w:leader="none"/>
              </w:tabs>
              <w:rPr>
                <w:rFonts w:eastAsia="SimSun"/>
                <w:lang w:eastAsia="zh-CN" w:bidi="ru-RU"/>
              </w:rPr>
            </w:pPr>
            <w:r>
              <w:rPr>
                <w:rFonts w:eastAsia="SimSun"/>
                <w:lang w:eastAsia="zh-CN" w:bidi="ru-RU"/>
              </w:rPr>
              <w:t xml:space="preserve">Минимальная/максимальная площадь земельных участков –300/5000 кв.м.;</w:t>
            </w:r>
            <w:r/>
          </w:p>
          <w:p>
            <w:pPr>
              <w:ind w:left="142" w:right="117"/>
              <w:jc w:val="both"/>
              <w:tabs>
                <w:tab w:val="left" w:pos="2520" w:leader="none"/>
              </w:tabs>
              <w:rPr>
                <w:rFonts w:eastAsia="SimSun"/>
                <w:lang w:eastAsia="zh-CN" w:bidi="ru-RU"/>
              </w:rPr>
            </w:pPr>
            <w:r>
              <w:rPr>
                <w:rFonts w:eastAsia="SimSun"/>
                <w:lang w:eastAsia="zh-CN" w:bidi="ru-RU"/>
              </w:rPr>
              <w:t xml:space="preserve">максимальная высота зданий, строений, сооружений от уровня земли - 12 м;</w:t>
            </w:r>
            <w:r/>
          </w:p>
          <w:p>
            <w:pPr>
              <w:ind w:left="142" w:right="117"/>
              <w:jc w:val="both"/>
              <w:tabs>
                <w:tab w:val="left" w:pos="2520" w:leader="none"/>
              </w:tabs>
              <w:rPr>
                <w:rFonts w:eastAsia="SimSun"/>
                <w:lang w:eastAsia="zh-CN" w:bidi="ru-RU"/>
              </w:rPr>
            </w:pPr>
            <w:r>
              <w:rPr>
                <w:rFonts w:eastAsia="SimSun"/>
                <w:lang w:eastAsia="zh-CN" w:bidi="ru-RU"/>
              </w:rPr>
              <w:t xml:space="preserve">максимальный процент застройки в границах земельного участка – 60%;</w:t>
            </w:r>
            <w:r/>
          </w:p>
          <w:p>
            <w:pPr>
              <w:ind w:left="142" w:right="117"/>
              <w:jc w:val="both"/>
              <w:tabs>
                <w:tab w:val="left" w:pos="2520" w:leader="none"/>
              </w:tabs>
              <w:rPr>
                <w:rFonts w:eastAsia="SimSun"/>
                <w:lang w:eastAsia="zh-CN" w:bidi="ru-RU"/>
              </w:rPr>
            </w:pPr>
            <w:r>
              <w:rPr>
                <w:rFonts w:eastAsia="SimSun"/>
                <w:lang w:eastAsia="zh-CN" w:bidi="ru-RU"/>
              </w:rPr>
              <w:t xml:space="preserve">минимальные отступы от красной линии – 5 м; от иных границ – 3 м;</w:t>
            </w:r>
            <w:r/>
          </w:p>
          <w:p>
            <w:pPr>
              <w:ind w:left="142" w:right="117"/>
              <w:jc w:val="both"/>
              <w:tabs>
                <w:tab w:val="left" w:pos="2520" w:leader="none"/>
              </w:tabs>
              <w:rPr>
                <w:rFonts w:eastAsia="SimSun"/>
                <w:lang w:eastAsia="zh-CN" w:bidi="ru-RU"/>
              </w:rPr>
            </w:pPr>
            <w:r>
              <w:rPr>
                <w:rFonts w:eastAsia="SimSun"/>
                <w:lang w:eastAsia="zh-CN" w:bidi="ru-RU"/>
              </w:rPr>
              <w:t xml:space="preserve">минимальный процент озеленения земельного участка 15%.</w:t>
            </w:r>
            <w:r/>
          </w:p>
        </w:tc>
        <w:tc>
          <w:tcPr>
            <w:tcW w:w="3092" w:type="dxa"/>
            <w:vMerge w:val="continue"/>
            <w:textDirection w:val="lrTb"/>
            <w:noWrap w:val="false"/>
          </w:tcPr>
          <w:p>
            <w:pPr>
              <w:ind w:right="142" w:firstLine="567"/>
              <w:jc w:val="center"/>
              <w:tabs>
                <w:tab w:val="left" w:pos="3071" w:leader="none"/>
              </w:tabs>
              <w:rPr>
                <w:b/>
              </w:rPr>
            </w:pPr>
            <w:r>
              <w:rPr>
                <w:b/>
              </w:rPr>
            </w:r>
            <w:r/>
          </w:p>
        </w:tc>
      </w:tr>
      <w:tr>
        <w:trPr>
          <w:trHeight w:val="20"/>
        </w:trPr>
        <w:tc>
          <w:tcPr>
            <w:tcW w:w="3129" w:type="dxa"/>
            <w:textDirection w:val="lrTb"/>
            <w:noWrap w:val="false"/>
          </w:tcPr>
          <w:p>
            <w:pPr>
              <w:ind w:left="142" w:right="117"/>
              <w:tabs>
                <w:tab w:val="left" w:pos="2520" w:leader="none"/>
              </w:tabs>
              <w:rPr>
                <w:rFonts w:eastAsia="SimSun"/>
                <w:lang w:eastAsia="zh-CN" w:bidi="ru-RU"/>
              </w:rPr>
            </w:pPr>
            <w:r>
              <w:rPr>
                <w:rFonts w:eastAsia="SimSun"/>
                <w:lang w:val="en-US" w:eastAsia="zh-CN" w:bidi="ru-RU"/>
              </w:rPr>
              <w:t xml:space="preserve">[</w:t>
            </w:r>
            <w:r>
              <w:rPr>
                <w:rFonts w:eastAsia="SimSun"/>
                <w:lang w:eastAsia="zh-CN" w:bidi="ru-RU"/>
              </w:rPr>
              <w:t xml:space="preserve">4.9.1.2</w:t>
            </w:r>
            <w:r>
              <w:rPr>
                <w:rFonts w:eastAsia="SimSun"/>
                <w:lang w:val="en-US" w:eastAsia="zh-CN" w:bidi="ru-RU"/>
              </w:rPr>
              <w:t xml:space="preserve">]</w:t>
            </w:r>
            <w:r/>
          </w:p>
          <w:p>
            <w:pPr>
              <w:ind w:left="142" w:right="117"/>
              <w:tabs>
                <w:tab w:val="left" w:pos="2520" w:leader="none"/>
              </w:tabs>
              <w:rPr>
                <w:rFonts w:eastAsia="SimSun"/>
                <w:lang w:eastAsia="zh-CN" w:bidi="ru-RU"/>
              </w:rPr>
            </w:pPr>
            <w:r>
              <w:rPr>
                <w:rFonts w:eastAsia="SimSun"/>
                <w:lang w:eastAsia="zh-CN" w:bidi="ru-RU"/>
              </w:rPr>
              <w:t xml:space="preserve">Обеспечение дорожного отдыха</w:t>
            </w:r>
            <w:r/>
          </w:p>
        </w:tc>
        <w:tc>
          <w:tcPr>
            <w:tcW w:w="4536" w:type="dxa"/>
            <w:textDirection w:val="lrTb"/>
            <w:noWrap w:val="false"/>
          </w:tcPr>
          <w:p>
            <w:pPr>
              <w:ind w:left="142" w:right="117"/>
              <w:tabs>
                <w:tab w:val="left" w:pos="2520" w:leader="none"/>
              </w:tabs>
            </w:pPr>
            <w: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r/>
          </w:p>
        </w:tc>
        <w:tc>
          <w:tcPr>
            <w:tcW w:w="4421" w:type="dxa"/>
            <w:textDirection w:val="lrTb"/>
            <w:noWrap w:val="false"/>
          </w:tcPr>
          <w:p>
            <w:pPr>
              <w:ind w:left="142" w:right="117"/>
              <w:jc w:val="both"/>
              <w:tabs>
                <w:tab w:val="left" w:pos="2520" w:leader="none"/>
              </w:tabs>
              <w:rPr>
                <w:rFonts w:eastAsia="SimSun"/>
                <w:lang w:eastAsia="zh-CN" w:bidi="ru-RU"/>
              </w:rPr>
            </w:pPr>
            <w:r>
              <w:rPr>
                <w:rFonts w:eastAsia="SimSun"/>
                <w:lang w:eastAsia="zh-CN" w:bidi="ru-RU"/>
              </w:rPr>
              <w:t xml:space="preserve">Минимальная/максимальная площадь земельных участков –300/5000 кв. м;</w:t>
            </w:r>
            <w:r/>
          </w:p>
          <w:p>
            <w:pPr>
              <w:ind w:left="142" w:right="117"/>
              <w:jc w:val="both"/>
              <w:tabs>
                <w:tab w:val="left" w:pos="2520" w:leader="none"/>
              </w:tabs>
              <w:rPr>
                <w:rFonts w:eastAsia="SimSun"/>
                <w:lang w:eastAsia="zh-CN" w:bidi="ru-RU"/>
              </w:rPr>
            </w:pPr>
            <w:r>
              <w:rPr>
                <w:rFonts w:eastAsia="SimSun"/>
                <w:lang w:eastAsia="zh-CN" w:bidi="ru-RU"/>
              </w:rPr>
              <w:t xml:space="preserve">максимальная высота зданий, строений, сооружений от уровня земли - 12 м;</w:t>
            </w:r>
            <w:r/>
          </w:p>
          <w:p>
            <w:pPr>
              <w:ind w:left="142" w:right="117"/>
              <w:jc w:val="both"/>
              <w:tabs>
                <w:tab w:val="left" w:pos="2520" w:leader="none"/>
              </w:tabs>
              <w:rPr>
                <w:rFonts w:eastAsia="SimSun"/>
                <w:lang w:eastAsia="zh-CN" w:bidi="ru-RU"/>
              </w:rPr>
            </w:pPr>
            <w:r>
              <w:rPr>
                <w:rFonts w:eastAsia="SimSun"/>
                <w:lang w:eastAsia="zh-CN" w:bidi="ru-RU"/>
              </w:rPr>
              <w:t xml:space="preserve">максимальный процент застройки в границах земельного участка – 60%;</w:t>
            </w:r>
            <w:r/>
          </w:p>
          <w:p>
            <w:pPr>
              <w:ind w:left="142" w:right="117"/>
              <w:jc w:val="both"/>
              <w:tabs>
                <w:tab w:val="left" w:pos="2520" w:leader="none"/>
              </w:tabs>
              <w:rPr>
                <w:rFonts w:eastAsia="SimSun"/>
                <w:lang w:eastAsia="zh-CN" w:bidi="ru-RU"/>
              </w:rPr>
            </w:pPr>
            <w:r>
              <w:rPr>
                <w:rFonts w:eastAsia="SimSun"/>
                <w:lang w:eastAsia="zh-CN" w:bidi="ru-RU"/>
              </w:rPr>
              <w:t xml:space="preserve">минимальные отступы от красной линии – 5 м; от иных границ – 3 м;</w:t>
            </w:r>
            <w:r/>
          </w:p>
          <w:p>
            <w:pPr>
              <w:ind w:left="142" w:right="117"/>
              <w:jc w:val="both"/>
              <w:tabs>
                <w:tab w:val="left" w:pos="2520" w:leader="none"/>
              </w:tabs>
              <w:rPr>
                <w:rFonts w:eastAsia="SimSun"/>
                <w:lang w:eastAsia="zh-CN" w:bidi="ru-RU"/>
              </w:rPr>
            </w:pPr>
            <w:r>
              <w:rPr>
                <w:rFonts w:eastAsia="SimSun"/>
                <w:lang w:eastAsia="zh-CN" w:bidi="ru-RU"/>
              </w:rPr>
              <w:t xml:space="preserve">минимальный процент озеленения земельного участка 15%.</w:t>
            </w:r>
            <w:r/>
          </w:p>
        </w:tc>
        <w:tc>
          <w:tcPr>
            <w:tcW w:w="3092" w:type="dxa"/>
            <w:vMerge w:val="continue"/>
            <w:textDirection w:val="lrTb"/>
            <w:noWrap w:val="false"/>
          </w:tcPr>
          <w:p>
            <w:pPr>
              <w:ind w:right="142" w:firstLine="567"/>
              <w:jc w:val="center"/>
              <w:tabs>
                <w:tab w:val="left" w:pos="3071" w:leader="none"/>
              </w:tabs>
              <w:rPr>
                <w:b/>
              </w:rPr>
            </w:pPr>
            <w:r>
              <w:rPr>
                <w:b/>
              </w:rPr>
            </w:r>
            <w:r/>
          </w:p>
        </w:tc>
      </w:tr>
      <w:tr>
        <w:trPr>
          <w:trHeight w:val="20"/>
        </w:trPr>
        <w:tc>
          <w:tcPr>
            <w:tcBorders>
              <w:top w:val="single" w:color="auto" w:sz="4" w:space="0"/>
            </w:tcBorders>
            <w:tcW w:w="3129" w:type="dxa"/>
            <w:textDirection w:val="lrTb"/>
            <w:noWrap w:val="false"/>
          </w:tcPr>
          <w:p>
            <w:pPr>
              <w:ind w:left="142" w:right="117"/>
              <w:tabs>
                <w:tab w:val="left" w:pos="2520" w:leader="none"/>
              </w:tabs>
              <w:rPr>
                <w:rFonts w:eastAsia="SimSun"/>
                <w:lang w:eastAsia="zh-CN" w:bidi="ru-RU"/>
              </w:rPr>
            </w:pPr>
            <w:r>
              <w:rPr>
                <w:rFonts w:eastAsia="SimSun"/>
                <w:lang w:val="en-US" w:eastAsia="zh-CN" w:bidi="ru-RU"/>
              </w:rPr>
              <w:t xml:space="preserve">[</w:t>
            </w:r>
            <w:r>
              <w:rPr>
                <w:rFonts w:eastAsia="SimSun"/>
                <w:lang w:eastAsia="zh-CN" w:bidi="ru-RU"/>
              </w:rPr>
              <w:t xml:space="preserve">4.9.1.3</w:t>
            </w:r>
            <w:r>
              <w:rPr>
                <w:rFonts w:eastAsia="SimSun"/>
                <w:lang w:val="en-US" w:eastAsia="zh-CN" w:bidi="ru-RU"/>
              </w:rPr>
              <w:t xml:space="preserve">]</w:t>
            </w:r>
            <w:r/>
          </w:p>
          <w:p>
            <w:pPr>
              <w:ind w:left="142" w:right="117"/>
              <w:tabs>
                <w:tab w:val="left" w:pos="2520" w:leader="none"/>
              </w:tabs>
              <w:rPr>
                <w:rFonts w:eastAsia="SimSun"/>
                <w:lang w:val="en-US" w:eastAsia="zh-CN" w:bidi="ru-RU"/>
              </w:rPr>
            </w:pPr>
            <w:r>
              <w:rPr>
                <w:rFonts w:eastAsia="SimSun"/>
                <w:lang w:eastAsia="zh-CN" w:bidi="ru-RU"/>
              </w:rPr>
              <w:t xml:space="preserve">Автомобильные мойки</w:t>
            </w:r>
            <w:r/>
          </w:p>
        </w:tc>
        <w:tc>
          <w:tcPr>
            <w:tcBorders>
              <w:top w:val="single" w:color="auto" w:sz="4" w:space="0"/>
            </w:tcBorders>
            <w:tcW w:w="4536" w:type="dxa"/>
            <w:textDirection w:val="lrTb"/>
            <w:noWrap w:val="false"/>
          </w:tcPr>
          <w:p>
            <w:pPr>
              <w:ind w:left="142" w:right="117"/>
              <w:jc w:val="both"/>
              <w:tabs>
                <w:tab w:val="left" w:pos="2520" w:leader="none"/>
              </w:tabs>
            </w:pPr>
            <w:r>
              <w:t xml:space="preserve">Размещение автомобильных моек, а также размещение магазинов сопутствующей торговли</w:t>
            </w:r>
            <w:r/>
          </w:p>
        </w:tc>
        <w:tc>
          <w:tcPr>
            <w:tcBorders>
              <w:top w:val="single" w:color="auto" w:sz="4" w:space="0"/>
            </w:tcBorders>
            <w:tcW w:w="4421" w:type="dxa"/>
            <w:textDirection w:val="lrTb"/>
            <w:noWrap w:val="false"/>
          </w:tcPr>
          <w:p>
            <w:pPr>
              <w:ind w:left="142" w:right="117"/>
              <w:jc w:val="both"/>
              <w:tabs>
                <w:tab w:val="left" w:pos="2520" w:leader="none"/>
              </w:tabs>
              <w:rPr>
                <w:rFonts w:eastAsia="SimSun"/>
                <w:lang w:eastAsia="zh-CN" w:bidi="ru-RU"/>
              </w:rPr>
            </w:pPr>
            <w:r>
              <w:rPr>
                <w:rFonts w:eastAsia="SimSun"/>
                <w:lang w:eastAsia="zh-CN" w:bidi="ru-RU"/>
              </w:rPr>
              <w:t xml:space="preserve">Минимальная/максимальная площадь земельных участков –300/5000 кв. м;</w:t>
            </w:r>
            <w:r/>
          </w:p>
          <w:p>
            <w:pPr>
              <w:ind w:left="142" w:right="117"/>
              <w:jc w:val="both"/>
              <w:tabs>
                <w:tab w:val="left" w:pos="2520" w:leader="none"/>
              </w:tabs>
              <w:rPr>
                <w:rFonts w:eastAsia="SimSun"/>
                <w:lang w:eastAsia="zh-CN" w:bidi="ru-RU"/>
              </w:rPr>
            </w:pPr>
            <w:r>
              <w:rPr>
                <w:rFonts w:eastAsia="SimSun"/>
                <w:lang w:eastAsia="zh-CN" w:bidi="ru-RU"/>
              </w:rPr>
              <w:t xml:space="preserve">максимальная высота зданий, строений, сооружений от уровня земли - 12 м;</w:t>
            </w:r>
            <w:r/>
          </w:p>
          <w:p>
            <w:pPr>
              <w:ind w:left="142" w:right="117"/>
              <w:jc w:val="both"/>
              <w:tabs>
                <w:tab w:val="left" w:pos="2520" w:leader="none"/>
              </w:tabs>
              <w:rPr>
                <w:rFonts w:eastAsia="SimSun"/>
                <w:lang w:eastAsia="zh-CN" w:bidi="ru-RU"/>
              </w:rPr>
            </w:pPr>
            <w:r>
              <w:rPr>
                <w:rFonts w:eastAsia="SimSun"/>
                <w:lang w:eastAsia="zh-CN" w:bidi="ru-RU"/>
              </w:rPr>
              <w:t xml:space="preserve">максимальный процент застройки в границах земельного участка – 60%;</w:t>
            </w:r>
            <w:r/>
          </w:p>
          <w:p>
            <w:pPr>
              <w:ind w:left="142" w:right="117"/>
              <w:jc w:val="both"/>
              <w:tabs>
                <w:tab w:val="left" w:pos="2520" w:leader="none"/>
              </w:tabs>
              <w:rPr>
                <w:rFonts w:eastAsia="SimSun"/>
                <w:lang w:eastAsia="zh-CN" w:bidi="ru-RU"/>
              </w:rPr>
            </w:pPr>
            <w:r>
              <w:rPr>
                <w:rFonts w:eastAsia="SimSun"/>
                <w:lang w:eastAsia="zh-CN" w:bidi="ru-RU"/>
              </w:rPr>
              <w:t xml:space="preserve">минимальные отступы от красной линии – 5 м; от иных границ – 3 м;</w:t>
            </w:r>
            <w:r/>
          </w:p>
          <w:p>
            <w:pPr>
              <w:ind w:left="142" w:right="117"/>
              <w:jc w:val="both"/>
              <w:tabs>
                <w:tab w:val="left" w:pos="2520" w:leader="none"/>
              </w:tabs>
              <w:rPr>
                <w:rFonts w:eastAsia="SimSun"/>
                <w:lang w:eastAsia="zh-CN" w:bidi="ru-RU"/>
              </w:rPr>
            </w:pPr>
            <w:r>
              <w:rPr>
                <w:rFonts w:eastAsia="SimSun"/>
                <w:lang w:eastAsia="zh-CN" w:bidi="ru-RU"/>
              </w:rPr>
              <w:t xml:space="preserve">минимальный процент озеленения земельного участка 15%.</w:t>
            </w:r>
            <w:r/>
          </w:p>
        </w:tc>
        <w:tc>
          <w:tcPr>
            <w:tcW w:w="3092" w:type="dxa"/>
            <w:vMerge w:val="continue"/>
            <w:textDirection w:val="lrTb"/>
            <w:noWrap w:val="false"/>
          </w:tcPr>
          <w:p>
            <w:pPr>
              <w:ind w:right="142" w:firstLine="567"/>
              <w:jc w:val="center"/>
              <w:tabs>
                <w:tab w:val="left" w:pos="3071" w:leader="none"/>
              </w:tabs>
              <w:rPr>
                <w:b/>
              </w:rPr>
            </w:pPr>
            <w:r>
              <w:rPr>
                <w:b/>
              </w:rPr>
            </w:r>
            <w:r/>
          </w:p>
        </w:tc>
      </w:tr>
      <w:tr>
        <w:trPr>
          <w:trHeight w:val="20"/>
        </w:trPr>
        <w:tc>
          <w:tcPr>
            <w:tcW w:w="3129" w:type="dxa"/>
            <w:textDirection w:val="lrTb"/>
            <w:noWrap w:val="false"/>
          </w:tcPr>
          <w:p>
            <w:pPr>
              <w:ind w:left="142" w:right="117"/>
              <w:tabs>
                <w:tab w:val="left" w:pos="2520" w:leader="none"/>
              </w:tabs>
              <w:rPr>
                <w:rFonts w:eastAsia="SimSun"/>
                <w:lang w:eastAsia="zh-CN" w:bidi="ru-RU"/>
              </w:rPr>
            </w:pPr>
            <w:r>
              <w:rPr>
                <w:rFonts w:eastAsia="SimSun"/>
                <w:lang w:val="en-US" w:eastAsia="zh-CN" w:bidi="ru-RU"/>
              </w:rPr>
              <w:t xml:space="preserve">[</w:t>
            </w:r>
            <w:r>
              <w:rPr>
                <w:rFonts w:eastAsia="SimSun"/>
                <w:lang w:eastAsia="zh-CN" w:bidi="ru-RU"/>
              </w:rPr>
              <w:t xml:space="preserve">4.9.1.4</w:t>
            </w:r>
            <w:r>
              <w:rPr>
                <w:rFonts w:eastAsia="SimSun"/>
                <w:lang w:val="en-US" w:eastAsia="zh-CN" w:bidi="ru-RU"/>
              </w:rPr>
              <w:t xml:space="preserve">]</w:t>
            </w:r>
            <w:r/>
          </w:p>
          <w:p>
            <w:pPr>
              <w:ind w:left="142" w:right="117"/>
              <w:tabs>
                <w:tab w:val="left" w:pos="2520" w:leader="none"/>
              </w:tabs>
              <w:rPr>
                <w:rFonts w:eastAsia="SimSun"/>
                <w:lang w:eastAsia="zh-CN" w:bidi="ru-RU"/>
              </w:rPr>
            </w:pPr>
            <w:r>
              <w:rPr>
                <w:rFonts w:eastAsia="SimSun"/>
                <w:lang w:eastAsia="zh-CN" w:bidi="ru-RU"/>
              </w:rPr>
              <w:t xml:space="preserve">Ремонт автомобилей</w:t>
            </w:r>
            <w:r/>
          </w:p>
        </w:tc>
        <w:tc>
          <w:tcPr>
            <w:tcW w:w="4536" w:type="dxa"/>
            <w:textDirection w:val="lrTb"/>
            <w:noWrap w:val="false"/>
          </w:tcPr>
          <w:p>
            <w:pPr>
              <w:ind w:left="142" w:right="117"/>
              <w:jc w:val="both"/>
              <w:tabs>
                <w:tab w:val="left" w:pos="2520" w:leader="none"/>
              </w:tabs>
            </w:pPr>
            <w:r>
              <w:t xml:space="preserve">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r/>
          </w:p>
        </w:tc>
        <w:tc>
          <w:tcPr>
            <w:tcW w:w="4421" w:type="dxa"/>
            <w:textDirection w:val="lrTb"/>
            <w:noWrap w:val="false"/>
          </w:tcPr>
          <w:p>
            <w:pPr>
              <w:ind w:left="142" w:right="117"/>
              <w:jc w:val="both"/>
              <w:tabs>
                <w:tab w:val="left" w:pos="2520" w:leader="none"/>
              </w:tabs>
              <w:rPr>
                <w:rFonts w:eastAsia="SimSun"/>
                <w:lang w:eastAsia="zh-CN" w:bidi="ru-RU"/>
              </w:rPr>
            </w:pPr>
            <w:r>
              <w:rPr>
                <w:rFonts w:eastAsia="SimSun"/>
                <w:lang w:eastAsia="zh-CN" w:bidi="ru-RU"/>
              </w:rPr>
              <w:t xml:space="preserve">Минимальная/максимальная площадь земельных участков –300/5000 кв. м;</w:t>
            </w:r>
            <w:r/>
          </w:p>
          <w:p>
            <w:pPr>
              <w:ind w:left="142" w:right="117"/>
              <w:jc w:val="both"/>
              <w:tabs>
                <w:tab w:val="left" w:pos="2520" w:leader="none"/>
              </w:tabs>
              <w:rPr>
                <w:rFonts w:eastAsia="SimSun"/>
                <w:lang w:eastAsia="zh-CN" w:bidi="ru-RU"/>
              </w:rPr>
            </w:pPr>
            <w:r>
              <w:rPr>
                <w:rFonts w:eastAsia="SimSun"/>
                <w:lang w:eastAsia="zh-CN" w:bidi="ru-RU"/>
              </w:rPr>
              <w:t xml:space="preserve">максимальная высота зданий, строений, сооружений от уровня земли - 12 м;</w:t>
            </w:r>
            <w:r/>
          </w:p>
          <w:p>
            <w:pPr>
              <w:ind w:left="142" w:right="117"/>
              <w:jc w:val="both"/>
              <w:tabs>
                <w:tab w:val="left" w:pos="2520" w:leader="none"/>
              </w:tabs>
              <w:rPr>
                <w:rFonts w:eastAsia="SimSun"/>
                <w:lang w:eastAsia="zh-CN" w:bidi="ru-RU"/>
              </w:rPr>
            </w:pPr>
            <w:r>
              <w:rPr>
                <w:rFonts w:eastAsia="SimSun"/>
                <w:lang w:eastAsia="zh-CN" w:bidi="ru-RU"/>
              </w:rPr>
              <w:t xml:space="preserve">максимальный процент застройки в границах земельного участка – 60%;</w:t>
            </w:r>
            <w:r/>
          </w:p>
          <w:p>
            <w:pPr>
              <w:ind w:left="142" w:right="117"/>
              <w:jc w:val="both"/>
              <w:tabs>
                <w:tab w:val="left" w:pos="2520" w:leader="none"/>
              </w:tabs>
              <w:rPr>
                <w:rFonts w:eastAsia="SimSun"/>
                <w:lang w:eastAsia="zh-CN" w:bidi="ru-RU"/>
              </w:rPr>
            </w:pPr>
            <w:r>
              <w:rPr>
                <w:rFonts w:eastAsia="SimSun"/>
                <w:lang w:eastAsia="zh-CN" w:bidi="ru-RU"/>
              </w:rPr>
              <w:t xml:space="preserve">минимальные отступы от красной линии – 5 м; от иных границ – 3 м;</w:t>
            </w:r>
            <w:r/>
          </w:p>
          <w:p>
            <w:pPr>
              <w:ind w:left="142" w:right="117"/>
              <w:jc w:val="both"/>
              <w:tabs>
                <w:tab w:val="left" w:pos="2520" w:leader="none"/>
              </w:tabs>
              <w:rPr>
                <w:rFonts w:eastAsia="SimSun"/>
                <w:b/>
                <w:lang w:eastAsia="zh-CN" w:bidi="ru-RU"/>
              </w:rPr>
            </w:pPr>
            <w:r>
              <w:rPr>
                <w:rFonts w:eastAsia="SimSun"/>
                <w:lang w:eastAsia="zh-CN" w:bidi="ru-RU"/>
              </w:rPr>
              <w:t xml:space="preserve">минимальный процент озеленения земельного участка 15%.</w:t>
            </w:r>
            <w:r/>
          </w:p>
        </w:tc>
        <w:tc>
          <w:tcPr>
            <w:tcW w:w="3092" w:type="dxa"/>
            <w:vMerge w:val="continue"/>
            <w:textDirection w:val="lrTb"/>
            <w:noWrap w:val="false"/>
          </w:tcPr>
          <w:p>
            <w:pPr>
              <w:ind w:right="142" w:firstLine="567"/>
              <w:jc w:val="center"/>
              <w:tabs>
                <w:tab w:val="left" w:pos="3071" w:leader="none"/>
              </w:tabs>
              <w:rPr>
                <w:b/>
              </w:rPr>
            </w:pPr>
            <w:r>
              <w:rPr>
                <w:b/>
              </w:rPr>
            </w:r>
            <w:r/>
          </w:p>
        </w:tc>
      </w:tr>
      <w:tr>
        <w:trPr>
          <w:trHeight w:val="20"/>
        </w:trPr>
        <w:tc>
          <w:tcPr>
            <w:tcW w:w="3129" w:type="dxa"/>
            <w:textDirection w:val="lrTb"/>
            <w:noWrap w:val="false"/>
          </w:tcPr>
          <w:p>
            <w:pPr>
              <w:ind w:left="142" w:right="117"/>
              <w:tabs>
                <w:tab w:val="left" w:pos="2520" w:leader="none"/>
              </w:tabs>
              <w:rPr>
                <w:rFonts w:eastAsia="SimSun"/>
                <w:lang w:eastAsia="zh-CN" w:bidi="ru-RU"/>
              </w:rPr>
            </w:pPr>
            <w:r>
              <w:rPr>
                <w:rFonts w:eastAsia="SimSun"/>
                <w:lang w:val="en-US" w:eastAsia="zh-CN" w:bidi="ru-RU"/>
              </w:rPr>
              <w:t xml:space="preserve">[</w:t>
            </w:r>
            <w:r>
              <w:rPr>
                <w:rFonts w:eastAsia="SimSun"/>
                <w:lang w:eastAsia="zh-CN" w:bidi="ru-RU"/>
              </w:rPr>
              <w:t xml:space="preserve">4.9.2</w:t>
            </w:r>
            <w:r>
              <w:rPr>
                <w:rFonts w:eastAsia="SimSun"/>
                <w:lang w:val="en-US" w:eastAsia="zh-CN" w:bidi="ru-RU"/>
              </w:rPr>
              <w:t xml:space="preserve">]</w:t>
            </w:r>
            <w:r/>
          </w:p>
          <w:p>
            <w:pPr>
              <w:ind w:left="142" w:right="117"/>
              <w:tabs>
                <w:tab w:val="left" w:pos="2520" w:leader="none"/>
              </w:tabs>
              <w:rPr>
                <w:rFonts w:eastAsia="SimSun"/>
                <w:lang w:eastAsia="zh-CN" w:bidi="ru-RU"/>
              </w:rPr>
            </w:pPr>
            <w:r>
              <w:rPr>
                <w:rFonts w:eastAsia="SimSun"/>
                <w:lang w:eastAsia="zh-CN" w:bidi="ru-RU"/>
              </w:rPr>
              <w:t xml:space="preserve">Стоянка транспортных средств</w:t>
            </w:r>
            <w:r/>
          </w:p>
        </w:tc>
        <w:tc>
          <w:tcPr>
            <w:tcW w:w="4536" w:type="dxa"/>
            <w:textDirection w:val="lrTb"/>
            <w:noWrap w:val="false"/>
          </w:tcPr>
          <w:p>
            <w:pPr>
              <w:ind w:left="142" w:right="117"/>
              <w:jc w:val="both"/>
              <w:tabs>
                <w:tab w:val="left" w:pos="2520" w:leader="none"/>
              </w:tabs>
            </w:pPr>
            <w:r>
              <w:t xml:space="preserve">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встроено-пристроенных </w:t>
            </w:r>
            <w:r>
              <w:t xml:space="preserve">стоянок</w:t>
            </w:r>
            <w:r/>
          </w:p>
        </w:tc>
        <w:tc>
          <w:tcPr>
            <w:tcW w:w="4421" w:type="dxa"/>
            <w:textDirection w:val="lrTb"/>
            <w:noWrap w:val="false"/>
          </w:tcPr>
          <w:p>
            <w:pPr>
              <w:ind w:left="142" w:right="117"/>
              <w:jc w:val="both"/>
              <w:tabs>
                <w:tab w:val="left" w:pos="2520" w:leader="none"/>
              </w:tabs>
              <w:rPr>
                <w:rFonts w:eastAsia="SimSun"/>
                <w:lang w:eastAsia="zh-CN" w:bidi="ru-RU"/>
              </w:rPr>
            </w:pPr>
            <w:r>
              <w:rPr>
                <w:rFonts w:eastAsia="SimSun"/>
                <w:lang w:eastAsia="zh-CN" w:bidi="ru-RU"/>
              </w:rPr>
              <w:t xml:space="preserve">Минимальная/максимальная площадь земельных участков –30/5000 кв.м.;</w:t>
            </w:r>
            <w:r/>
          </w:p>
          <w:p>
            <w:pPr>
              <w:ind w:left="142" w:right="117"/>
              <w:jc w:val="both"/>
              <w:tabs>
                <w:tab w:val="left" w:pos="2520" w:leader="none"/>
              </w:tabs>
              <w:rPr>
                <w:rFonts w:eastAsia="SimSun"/>
                <w:lang w:eastAsia="zh-CN" w:bidi="ru-RU"/>
              </w:rPr>
            </w:pPr>
            <w:r>
              <w:rPr>
                <w:rFonts w:eastAsia="SimSun"/>
                <w:lang w:eastAsia="zh-CN" w:bidi="ru-RU"/>
              </w:rPr>
              <w:t xml:space="preserve">максимальная высота зданий, строений, сооружений от уровня земли - 6 м;</w:t>
            </w:r>
            <w:r/>
          </w:p>
          <w:p>
            <w:pPr>
              <w:ind w:left="142" w:right="117"/>
              <w:jc w:val="both"/>
              <w:tabs>
                <w:tab w:val="left" w:pos="2520" w:leader="none"/>
              </w:tabs>
              <w:rPr>
                <w:rFonts w:eastAsia="SimSun"/>
                <w:lang w:eastAsia="zh-CN" w:bidi="ru-RU"/>
              </w:rPr>
            </w:pPr>
            <w:r>
              <w:rPr>
                <w:rFonts w:eastAsia="SimSun"/>
                <w:lang w:eastAsia="zh-CN" w:bidi="ru-RU"/>
              </w:rPr>
              <w:t xml:space="preserve">максимальный процент застройки в границах земельного участка – 60%;</w:t>
            </w:r>
            <w:r/>
          </w:p>
          <w:p>
            <w:pPr>
              <w:ind w:left="142" w:right="117"/>
              <w:jc w:val="both"/>
              <w:tabs>
                <w:tab w:val="left" w:pos="2520" w:leader="none"/>
              </w:tabs>
              <w:rPr>
                <w:rFonts w:eastAsia="SimSun"/>
                <w:lang w:eastAsia="zh-CN" w:bidi="ru-RU"/>
              </w:rPr>
            </w:pPr>
            <w:r>
              <w:rPr>
                <w:rFonts w:eastAsia="SimSun"/>
                <w:lang w:eastAsia="zh-CN" w:bidi="ru-RU"/>
              </w:rPr>
              <w:t xml:space="preserve">минимальные отступы от красной линии – 5 м; от иных границ – 3 м;</w:t>
            </w:r>
            <w:r/>
          </w:p>
          <w:p>
            <w:pPr>
              <w:ind w:left="142" w:right="117"/>
              <w:jc w:val="both"/>
              <w:tabs>
                <w:tab w:val="left" w:pos="2520" w:leader="none"/>
              </w:tabs>
              <w:rPr>
                <w:rFonts w:eastAsia="SimSun"/>
                <w:b/>
                <w:lang w:eastAsia="zh-CN" w:bidi="ru-RU"/>
              </w:rPr>
            </w:pPr>
            <w:r>
              <w:rPr>
                <w:rFonts w:eastAsia="SimSun"/>
                <w:lang w:eastAsia="zh-CN" w:bidi="ru-RU"/>
              </w:rPr>
              <w:t xml:space="preserve">минимальный процент озеленения земельного участка 15%.</w:t>
            </w:r>
            <w:r/>
          </w:p>
        </w:tc>
        <w:tc>
          <w:tcPr>
            <w:tcW w:w="3092" w:type="dxa"/>
            <w:vMerge w:val="continue"/>
            <w:textDirection w:val="lrTb"/>
            <w:noWrap w:val="false"/>
          </w:tcPr>
          <w:p>
            <w:pPr>
              <w:ind w:right="142" w:firstLine="567"/>
              <w:jc w:val="center"/>
              <w:tabs>
                <w:tab w:val="left" w:pos="3071" w:leader="none"/>
              </w:tabs>
              <w:rPr>
                <w:b/>
              </w:rPr>
            </w:pPr>
            <w:r>
              <w:rPr>
                <w:b/>
              </w:rPr>
            </w:r>
            <w:r/>
          </w:p>
        </w:tc>
      </w:tr>
      <w:tr>
        <w:trPr>
          <w:trHeight w:val="20"/>
        </w:trPr>
        <w:tc>
          <w:tcPr>
            <w:tcW w:w="3129" w:type="dxa"/>
            <w:textDirection w:val="lrTb"/>
            <w:noWrap w:val="false"/>
          </w:tcPr>
          <w:p>
            <w:pPr>
              <w:ind w:left="142" w:right="117"/>
              <w:tabs>
                <w:tab w:val="left" w:pos="2520" w:leader="none"/>
              </w:tabs>
              <w:rPr>
                <w:rFonts w:eastAsia="SimSun"/>
                <w:lang w:eastAsia="zh-CN" w:bidi="ru-RU"/>
              </w:rPr>
            </w:pPr>
            <w:r>
              <w:rPr>
                <w:rFonts w:eastAsia="SimSun"/>
                <w:lang w:val="en-US" w:eastAsia="zh-CN" w:bidi="ru-RU"/>
              </w:rPr>
              <w:t xml:space="preserve">[</w:t>
            </w:r>
            <w:r>
              <w:rPr>
                <w:rFonts w:eastAsia="SimSun"/>
                <w:lang w:eastAsia="zh-CN" w:bidi="ru-RU"/>
              </w:rPr>
              <w:t xml:space="preserve">7.2.1</w:t>
            </w:r>
            <w:r>
              <w:rPr>
                <w:rFonts w:eastAsia="SimSun"/>
                <w:lang w:val="en-US" w:eastAsia="zh-CN" w:bidi="ru-RU"/>
              </w:rPr>
              <w:t xml:space="preserve">]</w:t>
            </w:r>
            <w:r/>
          </w:p>
          <w:p>
            <w:pPr>
              <w:ind w:left="142" w:right="117"/>
              <w:tabs>
                <w:tab w:val="left" w:pos="2520" w:leader="none"/>
              </w:tabs>
              <w:rPr>
                <w:rFonts w:eastAsia="SimSun"/>
                <w:lang w:eastAsia="zh-CN" w:bidi="ru-RU"/>
              </w:rPr>
            </w:pPr>
            <w:r>
              <w:rPr>
                <w:rFonts w:eastAsia="SimSun"/>
                <w:lang w:eastAsia="zh-CN" w:bidi="ru-RU"/>
              </w:rPr>
              <w:t xml:space="preserve">Размещение автомобильных дорог</w:t>
            </w:r>
            <w:r/>
          </w:p>
        </w:tc>
        <w:tc>
          <w:tcPr>
            <w:tcW w:w="4536" w:type="dxa"/>
            <w:textDirection w:val="lrTb"/>
            <w:noWrap w:val="false"/>
          </w:tcPr>
          <w:p>
            <w:pPr>
              <w:ind w:left="142" w:right="117"/>
              <w:jc w:val="both"/>
              <w:tabs>
                <w:tab w:val="left" w:pos="2520" w:leader="none"/>
              </w:tabs>
            </w:pPr>
            <w:r>
              <w:t xml:space="preserve">Размещение автомобильных дорог за пределами населенных пунктов и технически связанных с ними сооружений, придор</w:t>
            </w:r>
            <w:r>
              <w:t xml:space="preserve">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r/>
          </w:p>
          <w:p>
            <w:pPr>
              <w:ind w:left="142" w:right="117"/>
              <w:jc w:val="both"/>
              <w:tabs>
                <w:tab w:val="left" w:pos="2520" w:leader="none"/>
              </w:tabs>
              <w:rPr>
                <w:b/>
              </w:rPr>
            </w:pPr>
            <w:r>
              <w:t xml:space="preserve">размещение объектов, предназначенных для размещения постов органов внутренних дел, ответственных за безопасность дорожного движения</w:t>
            </w:r>
            <w:r/>
          </w:p>
        </w:tc>
        <w:tc>
          <w:tcPr>
            <w:tcW w:w="4421" w:type="dxa"/>
            <w:textDirection w:val="lrTb"/>
            <w:noWrap w:val="false"/>
          </w:tcPr>
          <w:p>
            <w:pPr>
              <w:ind w:left="142" w:right="117"/>
              <w:jc w:val="center"/>
              <w:tabs>
                <w:tab w:val="left" w:pos="2520" w:leader="none"/>
              </w:tabs>
              <w:rPr>
                <w:rFonts w:eastAsia="SimSun"/>
                <w:b/>
                <w:lang w:eastAsia="zh-CN" w:bidi="ru-RU"/>
              </w:rPr>
            </w:pPr>
            <w:r>
              <w:rPr>
                <w:rFonts w:eastAsia="SimSun"/>
                <w:lang w:eastAsia="zh-CN" w:bidi="ru-RU"/>
              </w:rPr>
              <w:t xml:space="preserve">Не подлежат установлению</w:t>
            </w:r>
            <w:r/>
          </w:p>
        </w:tc>
        <w:tc>
          <w:tcPr>
            <w:tcW w:w="3092" w:type="dxa"/>
            <w:vMerge w:val="continue"/>
            <w:textDirection w:val="lrTb"/>
            <w:noWrap w:val="false"/>
          </w:tcPr>
          <w:p>
            <w:pPr>
              <w:ind w:right="142" w:firstLine="567"/>
              <w:jc w:val="center"/>
              <w:tabs>
                <w:tab w:val="left" w:pos="3071" w:leader="none"/>
              </w:tabs>
              <w:rPr>
                <w:b/>
              </w:rPr>
            </w:pPr>
            <w:r>
              <w:rPr>
                <w:b/>
              </w:rPr>
            </w:r>
            <w:r/>
          </w:p>
        </w:tc>
      </w:tr>
      <w:tr>
        <w:trPr>
          <w:trHeight w:val="20"/>
        </w:trPr>
        <w:tc>
          <w:tcPr>
            <w:tcW w:w="3129" w:type="dxa"/>
            <w:textDirection w:val="lrTb"/>
            <w:noWrap w:val="false"/>
          </w:tcPr>
          <w:p>
            <w:pPr>
              <w:ind w:left="142" w:right="117"/>
              <w:tabs>
                <w:tab w:val="left" w:pos="2520" w:leader="none"/>
              </w:tabs>
              <w:rPr>
                <w:rFonts w:eastAsia="SimSun"/>
                <w:lang w:eastAsia="zh-CN" w:bidi="ru-RU"/>
              </w:rPr>
            </w:pPr>
            <w:r>
              <w:rPr>
                <w:rFonts w:eastAsia="SimSun"/>
                <w:lang w:val="en-US" w:eastAsia="zh-CN" w:bidi="ru-RU"/>
              </w:rPr>
              <w:t xml:space="preserve">[</w:t>
            </w:r>
            <w:r>
              <w:rPr>
                <w:rFonts w:eastAsia="SimSun"/>
                <w:lang w:eastAsia="zh-CN" w:bidi="ru-RU"/>
              </w:rPr>
              <w:t xml:space="preserve">7.2.2</w:t>
            </w:r>
            <w:r>
              <w:rPr>
                <w:rFonts w:eastAsia="SimSun"/>
                <w:lang w:val="en-US" w:eastAsia="zh-CN" w:bidi="ru-RU"/>
              </w:rPr>
              <w:t xml:space="preserve">]</w:t>
            </w:r>
            <w:r/>
          </w:p>
          <w:p>
            <w:pPr>
              <w:ind w:left="142" w:right="117"/>
              <w:tabs>
                <w:tab w:val="left" w:pos="2520" w:leader="none"/>
              </w:tabs>
              <w:rPr>
                <w:rFonts w:eastAsia="SimSun"/>
                <w:lang w:eastAsia="zh-CN" w:bidi="ru-RU"/>
              </w:rPr>
            </w:pPr>
            <w:r>
              <w:rPr>
                <w:rFonts w:eastAsia="SimSun"/>
                <w:lang w:eastAsia="zh-CN" w:bidi="ru-RU"/>
              </w:rPr>
              <w:t xml:space="preserve">Обслуживание перевозок пассажиров</w:t>
            </w:r>
            <w:r/>
          </w:p>
        </w:tc>
        <w:tc>
          <w:tcPr>
            <w:tcW w:w="4536" w:type="dxa"/>
            <w:textDirection w:val="lrTb"/>
            <w:noWrap w:val="false"/>
          </w:tcPr>
          <w:p>
            <w:pPr>
              <w:ind w:left="142" w:right="117"/>
              <w:jc w:val="both"/>
              <w:tabs>
                <w:tab w:val="left" w:pos="2520" w:leader="none"/>
              </w:tabs>
            </w:pPr>
            <w: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r/>
          </w:p>
        </w:tc>
        <w:tc>
          <w:tcPr>
            <w:tcW w:w="4421" w:type="dxa"/>
            <w:textDirection w:val="lrTb"/>
            <w:noWrap w:val="false"/>
          </w:tcPr>
          <w:p>
            <w:pPr>
              <w:ind w:left="142" w:right="117"/>
              <w:jc w:val="both"/>
              <w:rPr>
                <w:rFonts w:eastAsia="Calibri"/>
              </w:rPr>
            </w:pPr>
            <w:r>
              <w:rPr>
                <w:rFonts w:eastAsia="Calibri"/>
              </w:rPr>
              <w:t xml:space="preserve">Минимальная/максимальная площадь земельных участков –300/5000 кв. м;</w:t>
            </w:r>
            <w:r/>
          </w:p>
          <w:p>
            <w:pPr>
              <w:ind w:left="142" w:right="117"/>
              <w:jc w:val="both"/>
              <w:rPr>
                <w:rFonts w:eastAsia="Calibri"/>
              </w:rPr>
            </w:pPr>
            <w:r>
              <w:rPr>
                <w:rFonts w:eastAsia="Calibri"/>
              </w:rPr>
              <w:t xml:space="preserve">максимальная высота зданий, строений, сооружений от уровня земли - 12 м;</w:t>
            </w:r>
            <w:r/>
          </w:p>
          <w:p>
            <w:pPr>
              <w:ind w:left="142" w:right="117"/>
              <w:jc w:val="both"/>
              <w:rPr>
                <w:rFonts w:eastAsia="Calibri"/>
              </w:rPr>
            </w:pPr>
            <w:r>
              <w:rPr>
                <w:rFonts w:eastAsia="Calibri"/>
              </w:rPr>
              <w:t xml:space="preserve">максимальный процент застройки в границах земельного участка – 60%;</w:t>
            </w:r>
            <w:r/>
          </w:p>
          <w:p>
            <w:pPr>
              <w:ind w:left="142" w:right="117"/>
              <w:jc w:val="both"/>
              <w:rPr>
                <w:rFonts w:eastAsia="Calibri"/>
              </w:rPr>
            </w:pPr>
            <w:r>
              <w:rPr>
                <w:rFonts w:eastAsia="Calibri"/>
              </w:rPr>
              <w:t xml:space="preserve">минимальные отступы от красной линии – 5 м; от иных границ – 3 м;</w:t>
            </w:r>
            <w:r/>
          </w:p>
          <w:p>
            <w:pPr>
              <w:ind w:left="142" w:right="117"/>
              <w:jc w:val="both"/>
              <w:tabs>
                <w:tab w:val="left" w:pos="2520" w:leader="none"/>
              </w:tabs>
              <w:rPr>
                <w:rFonts w:eastAsia="SimSun"/>
                <w:b/>
                <w:lang w:eastAsia="zh-CN" w:bidi="ru-RU"/>
              </w:rPr>
            </w:pPr>
            <w:r>
              <w:rPr>
                <w:rFonts w:eastAsia="Calibri"/>
              </w:rPr>
              <w:t xml:space="preserve">минимальный процент озеленения земельного участка 15%.</w:t>
            </w:r>
            <w:r/>
          </w:p>
        </w:tc>
        <w:tc>
          <w:tcPr>
            <w:tcW w:w="3092" w:type="dxa"/>
            <w:vMerge w:val="continue"/>
            <w:textDirection w:val="lrTb"/>
            <w:noWrap w:val="false"/>
          </w:tcPr>
          <w:p>
            <w:pPr>
              <w:ind w:right="142" w:firstLine="567"/>
              <w:jc w:val="center"/>
              <w:tabs>
                <w:tab w:val="left" w:pos="3071" w:leader="none"/>
              </w:tabs>
              <w:rPr>
                <w:b/>
              </w:rPr>
            </w:pPr>
            <w:r>
              <w:rPr>
                <w:b/>
              </w:rPr>
            </w:r>
            <w:r/>
          </w:p>
        </w:tc>
      </w:tr>
      <w:tr>
        <w:trPr>
          <w:trHeight w:val="20"/>
        </w:trPr>
        <w:tc>
          <w:tcPr>
            <w:tcW w:w="3129" w:type="dxa"/>
            <w:textDirection w:val="lrTb"/>
            <w:noWrap w:val="false"/>
          </w:tcPr>
          <w:p>
            <w:pPr>
              <w:ind w:left="142" w:right="117"/>
              <w:tabs>
                <w:tab w:val="left" w:pos="2520" w:leader="none"/>
              </w:tabs>
              <w:rPr>
                <w:rFonts w:eastAsia="SimSun"/>
                <w:lang w:eastAsia="zh-CN" w:bidi="ru-RU"/>
              </w:rPr>
            </w:pPr>
            <w:r>
              <w:rPr>
                <w:rFonts w:eastAsia="SimSun"/>
                <w:lang w:val="en-US" w:eastAsia="zh-CN" w:bidi="ru-RU"/>
              </w:rPr>
              <w:t xml:space="preserve">[</w:t>
            </w:r>
            <w:r>
              <w:rPr>
                <w:rFonts w:eastAsia="SimSun"/>
                <w:lang w:eastAsia="zh-CN" w:bidi="ru-RU"/>
              </w:rPr>
              <w:t xml:space="preserve">7.2.3</w:t>
            </w:r>
            <w:r>
              <w:rPr>
                <w:rFonts w:eastAsia="SimSun"/>
                <w:lang w:val="en-US" w:eastAsia="zh-CN" w:bidi="ru-RU"/>
              </w:rPr>
              <w:t xml:space="preserve">]</w:t>
            </w:r>
            <w:r/>
          </w:p>
          <w:p>
            <w:pPr>
              <w:ind w:left="142" w:right="117"/>
              <w:tabs>
                <w:tab w:val="left" w:pos="2520" w:leader="none"/>
              </w:tabs>
              <w:rPr>
                <w:rFonts w:eastAsia="SimSun"/>
                <w:lang w:eastAsia="zh-CN" w:bidi="ru-RU"/>
              </w:rPr>
            </w:pPr>
            <w:r>
              <w:rPr>
                <w:rFonts w:eastAsia="SimSun"/>
                <w:lang w:eastAsia="zh-CN" w:bidi="ru-RU"/>
              </w:rPr>
              <w:t xml:space="preserve">Стоянки транспорта общего пользования</w:t>
            </w:r>
            <w:r/>
          </w:p>
        </w:tc>
        <w:tc>
          <w:tcPr>
            <w:tcW w:w="4536" w:type="dxa"/>
            <w:textDirection w:val="lrTb"/>
            <w:noWrap w:val="false"/>
          </w:tcPr>
          <w:p>
            <w:pPr>
              <w:ind w:left="142" w:right="117"/>
              <w:jc w:val="both"/>
              <w:tabs>
                <w:tab w:val="left" w:pos="2520" w:leader="none"/>
              </w:tabs>
            </w:pPr>
            <w:r>
              <w:t xml:space="preserve">Размещение стоянок транспортных средств, осуществляющих перевозки людей по установленному маршруту</w:t>
            </w:r>
            <w:r/>
          </w:p>
        </w:tc>
        <w:tc>
          <w:tcPr>
            <w:tcW w:w="4421" w:type="dxa"/>
            <w:textDirection w:val="lrTb"/>
            <w:noWrap w:val="false"/>
          </w:tcPr>
          <w:p>
            <w:pPr>
              <w:ind w:left="142" w:right="117"/>
              <w:jc w:val="center"/>
              <w:tabs>
                <w:tab w:val="left" w:pos="2520" w:leader="none"/>
              </w:tabs>
              <w:rPr>
                <w:rFonts w:eastAsia="SimSun"/>
                <w:b/>
                <w:lang w:eastAsia="zh-CN" w:bidi="ru-RU"/>
              </w:rPr>
            </w:pPr>
            <w:r>
              <w:rPr>
                <w:rFonts w:eastAsia="Calibri"/>
              </w:rPr>
              <w:t xml:space="preserve">Не подлежат установлению</w:t>
            </w:r>
            <w:r/>
          </w:p>
        </w:tc>
        <w:tc>
          <w:tcPr>
            <w:tcW w:w="3092" w:type="dxa"/>
            <w:vMerge w:val="continue"/>
            <w:textDirection w:val="lrTb"/>
            <w:noWrap w:val="false"/>
          </w:tcPr>
          <w:p>
            <w:pPr>
              <w:ind w:right="142" w:firstLine="567"/>
              <w:jc w:val="center"/>
              <w:tabs>
                <w:tab w:val="left" w:pos="3071" w:leader="none"/>
              </w:tabs>
              <w:rPr>
                <w:b/>
              </w:rPr>
            </w:pPr>
            <w:r>
              <w:rPr>
                <w:b/>
              </w:rPr>
            </w:r>
            <w:r/>
          </w:p>
        </w:tc>
      </w:tr>
      <w:tr>
        <w:trPr>
          <w:trHeight w:val="20"/>
        </w:trPr>
        <w:tc>
          <w:tcPr>
            <w:tcW w:w="3129" w:type="dxa"/>
            <w:textDirection w:val="lrTb"/>
            <w:noWrap w:val="false"/>
          </w:tcPr>
          <w:p>
            <w:pPr>
              <w:ind w:left="142" w:right="117"/>
              <w:tabs>
                <w:tab w:val="left" w:pos="2520" w:leader="none"/>
              </w:tabs>
              <w:rPr>
                <w:rFonts w:eastAsia="SimSun"/>
                <w:lang w:eastAsia="zh-CN" w:bidi="ru-RU"/>
              </w:rPr>
            </w:pPr>
            <w:r>
              <w:rPr>
                <w:rFonts w:eastAsia="SimSun"/>
                <w:lang w:val="en-US" w:eastAsia="zh-CN" w:bidi="ru-RU"/>
              </w:rPr>
              <w:t xml:space="preserve">[</w:t>
            </w:r>
            <w:r>
              <w:rPr>
                <w:rFonts w:eastAsia="SimSun"/>
                <w:lang w:eastAsia="zh-CN" w:bidi="ru-RU"/>
              </w:rPr>
              <w:t xml:space="preserve">7.4</w:t>
            </w:r>
            <w:r>
              <w:rPr>
                <w:rFonts w:eastAsia="SimSun"/>
                <w:lang w:val="en-US" w:eastAsia="zh-CN" w:bidi="ru-RU"/>
              </w:rPr>
              <w:t xml:space="preserve">]</w:t>
            </w:r>
            <w:r/>
          </w:p>
          <w:p>
            <w:pPr>
              <w:ind w:left="142" w:right="117"/>
              <w:tabs>
                <w:tab w:val="left" w:pos="2520" w:leader="none"/>
              </w:tabs>
              <w:rPr>
                <w:rFonts w:eastAsia="SimSun"/>
                <w:lang w:eastAsia="zh-CN" w:bidi="ru-RU"/>
              </w:rPr>
            </w:pPr>
            <w:r>
              <w:rPr>
                <w:rFonts w:eastAsia="SimSun"/>
                <w:lang w:eastAsia="zh-CN" w:bidi="ru-RU"/>
              </w:rPr>
              <w:t xml:space="preserve">Воздушный транспорт</w:t>
            </w:r>
            <w:r/>
          </w:p>
        </w:tc>
        <w:tc>
          <w:tcPr>
            <w:tcW w:w="4536" w:type="dxa"/>
            <w:textDirection w:val="lrTb"/>
            <w:noWrap w:val="false"/>
          </w:tcPr>
          <w:p>
            <w:pPr>
              <w:ind w:left="142" w:right="117"/>
              <w:jc w:val="both"/>
              <w:tabs>
                <w:tab w:val="left" w:pos="2520" w:leader="none"/>
              </w:tabs>
            </w:pPr>
            <w:r>
              <w:t xml:space="preserve">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w:t>
            </w:r>
            <w:r>
              <w:t xml:space="preserve">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w:t>
            </w:r>
            <w:r>
              <w:t xml:space="preserve">перемещаемых воздушным путем; размещение объектов, предназначенных для технического обслуживания и ремонта воздушных судов</w:t>
            </w:r>
            <w:r/>
          </w:p>
        </w:tc>
        <w:tc>
          <w:tcPr>
            <w:tcW w:w="4421" w:type="dxa"/>
            <w:textDirection w:val="lrTb"/>
            <w:noWrap w:val="false"/>
          </w:tcPr>
          <w:p>
            <w:pPr>
              <w:ind w:left="132"/>
              <w:jc w:val="center"/>
              <w:rPr>
                <w:rFonts w:eastAsia="Calibri"/>
              </w:rPr>
            </w:pPr>
            <w:r>
              <w:rPr>
                <w:rFonts w:eastAsia="Calibri"/>
              </w:rPr>
              <w:t xml:space="preserve">Не подлежат установлению</w:t>
            </w:r>
            <w:r/>
          </w:p>
          <w:p>
            <w:pPr>
              <w:ind w:left="142" w:right="117"/>
              <w:jc w:val="center"/>
              <w:tabs>
                <w:tab w:val="left" w:pos="2520" w:leader="none"/>
              </w:tabs>
              <w:rPr>
                <w:rFonts w:eastAsia="SimSun"/>
                <w:b/>
                <w:lang w:eastAsia="zh-CN" w:bidi="ru-RU"/>
              </w:rPr>
            </w:pPr>
            <w:r>
              <w:rPr>
                <w:rFonts w:eastAsia="Calibri"/>
              </w:rPr>
              <w:t xml:space="preserve">(определяется при проектировании)</w:t>
            </w:r>
            <w:r/>
          </w:p>
        </w:tc>
        <w:tc>
          <w:tcPr>
            <w:tcW w:w="3092" w:type="dxa"/>
            <w:vMerge w:val="continue"/>
            <w:textDirection w:val="lrTb"/>
            <w:noWrap w:val="false"/>
          </w:tcPr>
          <w:p>
            <w:pPr>
              <w:ind w:right="142" w:firstLine="567"/>
              <w:jc w:val="center"/>
              <w:tabs>
                <w:tab w:val="left" w:pos="3071" w:leader="none"/>
              </w:tabs>
              <w:rPr>
                <w:b/>
              </w:rPr>
            </w:pPr>
            <w:r>
              <w:rPr>
                <w:b/>
              </w:rPr>
            </w:r>
            <w:r/>
          </w:p>
        </w:tc>
      </w:tr>
      <w:tr>
        <w:trPr>
          <w:trHeight w:val="20"/>
        </w:trPr>
        <w:tc>
          <w:tcPr>
            <w:tcW w:w="3129" w:type="dxa"/>
            <w:textDirection w:val="lrTb"/>
            <w:noWrap w:val="false"/>
          </w:tcPr>
          <w:p>
            <w:pPr>
              <w:ind w:left="142" w:right="117"/>
              <w:tabs>
                <w:tab w:val="left" w:pos="2520" w:leader="none"/>
              </w:tabs>
              <w:rPr>
                <w:rFonts w:eastAsia="SimSun"/>
                <w:lang w:eastAsia="zh-CN" w:bidi="ru-RU"/>
              </w:rPr>
            </w:pPr>
            <w:r>
              <w:rPr>
                <w:rFonts w:eastAsia="SimSun"/>
                <w:lang w:val="en-US" w:eastAsia="zh-CN" w:bidi="ru-RU"/>
              </w:rPr>
              <w:t xml:space="preserve">[</w:t>
            </w:r>
            <w:r>
              <w:rPr>
                <w:rFonts w:eastAsia="SimSun"/>
                <w:lang w:eastAsia="zh-CN" w:bidi="ru-RU"/>
              </w:rPr>
              <w:t xml:space="preserve">7.5</w:t>
            </w:r>
            <w:r>
              <w:rPr>
                <w:rFonts w:eastAsia="SimSun"/>
                <w:lang w:val="en-US" w:eastAsia="zh-CN" w:bidi="ru-RU"/>
              </w:rPr>
              <w:t xml:space="preserve">]</w:t>
            </w:r>
            <w:r>
              <w:rPr>
                <w:rFonts w:eastAsia="SimSun"/>
                <w:lang w:eastAsia="zh-CN" w:bidi="ru-RU"/>
              </w:rPr>
              <w:t xml:space="preserve"> Трубопроводный транспорт</w:t>
            </w:r>
            <w:r/>
          </w:p>
        </w:tc>
        <w:tc>
          <w:tcPr>
            <w:tcW w:w="4536" w:type="dxa"/>
            <w:textDirection w:val="lrTb"/>
            <w:noWrap w:val="false"/>
          </w:tcPr>
          <w:p>
            <w:pPr>
              <w:ind w:left="142" w:right="117"/>
              <w:jc w:val="both"/>
              <w:tabs>
                <w:tab w:val="left" w:pos="2520" w:leader="none"/>
              </w:tabs>
            </w:pPr>
            <w:r>
              <w:t xml:space="preserve">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r/>
          </w:p>
        </w:tc>
        <w:tc>
          <w:tcPr>
            <w:tcW w:w="4421" w:type="dxa"/>
            <w:textDirection w:val="lrTb"/>
            <w:noWrap w:val="false"/>
          </w:tcPr>
          <w:p>
            <w:pPr>
              <w:ind w:left="142" w:right="117"/>
              <w:jc w:val="center"/>
              <w:tabs>
                <w:tab w:val="left" w:pos="2520" w:leader="none"/>
              </w:tabs>
              <w:rPr>
                <w:rFonts w:eastAsia="SimSun"/>
                <w:b/>
                <w:lang w:eastAsia="zh-CN" w:bidi="ru-RU"/>
              </w:rPr>
            </w:pPr>
            <w:r>
              <w:rPr>
                <w:rFonts w:eastAsia="Calibri"/>
              </w:rPr>
              <w:t xml:space="preserve">Не подлежат установлению</w:t>
            </w:r>
            <w:r/>
          </w:p>
        </w:tc>
        <w:tc>
          <w:tcPr>
            <w:tcW w:w="3092" w:type="dxa"/>
            <w:vMerge w:val="continue"/>
            <w:textDirection w:val="lrTb"/>
            <w:noWrap w:val="false"/>
          </w:tcPr>
          <w:p>
            <w:pPr>
              <w:ind w:right="142" w:firstLine="567"/>
              <w:jc w:val="center"/>
              <w:tabs>
                <w:tab w:val="left" w:pos="3071" w:leader="none"/>
              </w:tabs>
              <w:rPr>
                <w:b/>
              </w:rPr>
            </w:pPr>
            <w:r>
              <w:rPr>
                <w:b/>
              </w:rPr>
            </w:r>
            <w:r/>
          </w:p>
        </w:tc>
      </w:tr>
      <w:tr>
        <w:trPr>
          <w:trHeight w:val="20"/>
        </w:trPr>
        <w:tc>
          <w:tcPr>
            <w:tcW w:w="3129" w:type="dxa"/>
            <w:textDirection w:val="lrTb"/>
            <w:noWrap w:val="false"/>
          </w:tcPr>
          <w:p>
            <w:pPr>
              <w:ind w:left="142" w:right="117"/>
              <w:tabs>
                <w:tab w:val="left" w:pos="2520" w:leader="none"/>
              </w:tabs>
              <w:rPr>
                <w:rFonts w:eastAsia="SimSun"/>
                <w:lang w:eastAsia="zh-CN" w:bidi="ru-RU"/>
              </w:rPr>
            </w:pPr>
            <w:r>
              <w:rPr>
                <w:rFonts w:eastAsia="SimSun"/>
                <w:lang w:val="en-US" w:eastAsia="zh-CN" w:bidi="ru-RU"/>
              </w:rPr>
              <w:t xml:space="preserve">[</w:t>
            </w:r>
            <w:r>
              <w:rPr>
                <w:rFonts w:eastAsia="SimSun"/>
                <w:lang w:eastAsia="zh-CN" w:bidi="ru-RU"/>
              </w:rPr>
              <w:t xml:space="preserve">12.0.1]</w:t>
            </w:r>
            <w:r/>
          </w:p>
          <w:p>
            <w:pPr>
              <w:ind w:left="142" w:right="117"/>
              <w:tabs>
                <w:tab w:val="left" w:pos="2520" w:leader="none"/>
              </w:tabs>
              <w:rPr>
                <w:rFonts w:eastAsia="SimSun"/>
                <w:lang w:eastAsia="zh-CN" w:bidi="ru-RU"/>
              </w:rPr>
            </w:pPr>
            <w:r>
              <w:rPr>
                <w:rFonts w:eastAsia="SimSun"/>
                <w:lang w:eastAsia="zh-CN" w:bidi="ru-RU"/>
              </w:rPr>
              <w:t xml:space="preserve">Улично-дорожная сеть</w:t>
            </w:r>
            <w:r/>
          </w:p>
        </w:tc>
        <w:tc>
          <w:tcPr>
            <w:tcW w:w="4536" w:type="dxa"/>
            <w:textDirection w:val="lrTb"/>
            <w:noWrap w:val="false"/>
          </w:tcPr>
          <w:p>
            <w:pPr>
              <w:ind w:left="142" w:right="117"/>
              <w:jc w:val="both"/>
              <w:tabs>
                <w:tab w:val="left" w:pos="2520" w:leader="none"/>
              </w:tabs>
            </w:pPr>
            <w: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p>
          <w:p>
            <w:pPr>
              <w:ind w:left="142" w:right="117"/>
              <w:jc w:val="both"/>
              <w:tabs>
                <w:tab w:val="left" w:pos="2520" w:leader="none"/>
              </w:tabs>
              <w:rPr>
                <w:b/>
              </w:rPr>
            </w:pPr>
            <w:r>
              <w:t xml:space="preserve">размещение придо</w:t>
            </w:r>
            <w:r>
              <w:t xml:space="preserve">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r/>
          </w:p>
        </w:tc>
        <w:tc>
          <w:tcPr>
            <w:tcBorders>
              <w:top w:val="none" w:color="000000" w:sz="4" w:space="0"/>
            </w:tcBorders>
            <w:tcW w:w="4421" w:type="dxa"/>
            <w:textDirection w:val="lrTb"/>
            <w:noWrap w:val="false"/>
          </w:tcPr>
          <w:p>
            <w:pPr>
              <w:ind w:left="142" w:right="117"/>
              <w:jc w:val="center"/>
              <w:tabs>
                <w:tab w:val="left" w:pos="2520" w:leader="none"/>
              </w:tabs>
              <w:rPr>
                <w:rFonts w:eastAsia="SimSun"/>
                <w:lang w:eastAsia="zh-CN" w:bidi="ru-RU"/>
              </w:rPr>
            </w:pPr>
            <w:r>
              <w:rPr>
                <w:rFonts w:eastAsia="SimSun"/>
                <w:lang w:eastAsia="zh-CN" w:bidi="ru-RU"/>
              </w:rPr>
              <w:t xml:space="preserve">Регламенты не распространяются</w:t>
            </w:r>
            <w:r/>
          </w:p>
          <w:p>
            <w:pPr>
              <w:ind w:left="142" w:right="117"/>
              <w:jc w:val="center"/>
              <w:tabs>
                <w:tab w:val="left" w:pos="2520" w:leader="none"/>
              </w:tabs>
              <w:rPr>
                <w:rFonts w:eastAsia="SimSun"/>
                <w:lang w:eastAsia="zh-CN" w:bidi="ru-RU"/>
              </w:rPr>
            </w:pPr>
            <w:r>
              <w:rPr>
                <w:rFonts w:eastAsia="SimSun"/>
                <w:lang w:eastAsia="zh-CN" w:bidi="ru-RU"/>
              </w:rPr>
              <w:t xml:space="preserve">(не подлежат установлению)</w:t>
            </w:r>
            <w:r/>
          </w:p>
        </w:tc>
        <w:tc>
          <w:tcPr>
            <w:tcBorders>
              <w:top w:val="none" w:color="000000" w:sz="4" w:space="0"/>
            </w:tcBorders>
            <w:tcW w:w="3092" w:type="dxa"/>
            <w:vMerge w:val="restart"/>
            <w:textDirection w:val="lrTb"/>
            <w:noWrap w:val="false"/>
          </w:tcPr>
          <w:p>
            <w:pPr>
              <w:ind w:right="142" w:hanging="37"/>
              <w:jc w:val="both"/>
              <w:tabs>
                <w:tab w:val="left" w:pos="3071" w:leader="none"/>
              </w:tabs>
              <w:rPr>
                <w:b/>
              </w:rPr>
            </w:pPr>
            <w:r>
              <w:rPr>
                <w:b/>
              </w:rPr>
            </w:r>
            <w:r/>
          </w:p>
        </w:tc>
      </w:tr>
      <w:tr>
        <w:trPr>
          <w:trHeight w:val="20"/>
        </w:trPr>
        <w:tc>
          <w:tcPr>
            <w:tcW w:w="3129" w:type="dxa"/>
            <w:textDirection w:val="lrTb"/>
            <w:noWrap w:val="false"/>
          </w:tcPr>
          <w:p>
            <w:pPr>
              <w:ind w:left="142" w:right="117"/>
            </w:pPr>
            <w:r>
              <w:rPr>
                <w:lang w:val="en-US"/>
              </w:rPr>
              <w:t xml:space="preserve">[</w:t>
            </w:r>
            <w:r>
              <w:t xml:space="preserve">12.0.2</w:t>
            </w:r>
            <w:r>
              <w:rPr>
                <w:lang w:val="en-US"/>
              </w:rPr>
              <w:t xml:space="preserve">]</w:t>
            </w:r>
            <w:r/>
          </w:p>
          <w:p>
            <w:pPr>
              <w:ind w:left="142" w:right="117"/>
              <w:rPr>
                <w:highlight w:val="yellow"/>
              </w:rPr>
            </w:pPr>
            <w:r>
              <w:t xml:space="preserve">Благоустройство территории</w:t>
            </w:r>
            <w:r/>
          </w:p>
        </w:tc>
        <w:tc>
          <w:tcPr>
            <w:tcW w:w="4536" w:type="dxa"/>
            <w:textDirection w:val="lrTb"/>
            <w:noWrap w:val="false"/>
          </w:tcPr>
          <w:p>
            <w:pPr>
              <w:ind w:left="142" w:right="117"/>
              <w:jc w:val="both"/>
            </w:pPr>
            <w:r>
              <w:t xml:space="preserve">Размещение декоративных, технических, планировочных, конструктивных устройств, эле</w:t>
            </w:r>
            <w:r>
              <w:t xml:space="preserve">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r/>
          </w:p>
        </w:tc>
        <w:tc>
          <w:tcPr>
            <w:tcW w:w="4421" w:type="dxa"/>
            <w:textDirection w:val="lrTb"/>
            <w:noWrap w:val="false"/>
          </w:tcPr>
          <w:p>
            <w:pPr>
              <w:ind w:left="142" w:right="117"/>
              <w:jc w:val="center"/>
            </w:pPr>
            <w:r>
              <w:t xml:space="preserve">Регламенты не распространяются</w:t>
            </w:r>
            <w:r/>
          </w:p>
          <w:p>
            <w:pPr>
              <w:ind w:left="142" w:right="117"/>
              <w:jc w:val="center"/>
            </w:pPr>
            <w:r>
              <w:t xml:space="preserve">(не подлежат установлению)</w:t>
            </w:r>
            <w:r/>
          </w:p>
        </w:tc>
        <w:tc>
          <w:tcPr>
            <w:tcBorders>
              <w:top w:val="none" w:color="000000" w:sz="4" w:space="0"/>
            </w:tcBorders>
            <w:tcW w:w="3092" w:type="dxa"/>
            <w:vMerge w:val="continue"/>
            <w:textDirection w:val="lrTb"/>
            <w:noWrap w:val="false"/>
          </w:tcPr>
          <w:p>
            <w:pPr>
              <w:ind w:right="136" w:firstLine="567"/>
              <w:jc w:val="both"/>
            </w:pPr>
            <w:r/>
            <w:r/>
          </w:p>
        </w:tc>
      </w:tr>
    </w:tbl>
    <w:p>
      <w:pPr>
        <w:ind w:firstLine="567"/>
        <w:jc w:val="center"/>
        <w:tabs>
          <w:tab w:val="left" w:pos="2520" w:leader="none"/>
        </w:tabs>
      </w:pPr>
      <w:r/>
      <w:r/>
    </w:p>
    <w:p>
      <w:pPr>
        <w:ind w:firstLine="567"/>
        <w:jc w:val="center"/>
        <w:tabs>
          <w:tab w:val="left" w:pos="2520" w:leader="none"/>
        </w:tabs>
      </w:pPr>
      <w:r>
        <w:rPr>
          <w:b/>
          <w:color w:val="000000"/>
        </w:rPr>
        <w:t xml:space="preserve">УСЛОВНО РАЗРЕШЕННЫЕ ВИДЫ И ПАРАМЕТРЫ ИСПОЛЬЗОВАНИЯ ЗЕМЕЛЬНЫХ УЧАСТКОВ И ОБЪЕКТОВ КАПИТАЛЬНОГО СТРОИТЕЛЬСТВА</w:t>
      </w:r>
      <w:r/>
    </w:p>
    <w:p>
      <w:pPr>
        <w:tabs>
          <w:tab w:val="left" w:pos="2520" w:leader="none"/>
        </w:tabs>
      </w:pPr>
      <w:r/>
      <w:r/>
    </w:p>
    <w:tbl>
      <w:tblPr>
        <w:tblW w:w="15036" w:type="dxa"/>
        <w:tblLayout w:type="fixed"/>
        <w:tblCellMar>
          <w:left w:w="10" w:type="dxa"/>
          <w:right w:w="10" w:type="dxa"/>
        </w:tblCellMar>
        <w:tblLook w:val="04A0" w:firstRow="1" w:lastRow="0" w:firstColumn="1" w:lastColumn="0" w:noHBand="0" w:noVBand="1"/>
      </w:tblPr>
      <w:tblGrid>
        <w:gridCol w:w="3141"/>
        <w:gridCol w:w="4010"/>
        <w:gridCol w:w="7885"/>
      </w:tblGrid>
      <w:tr>
        <w:trPr>
          <w:trHeight w:val="23"/>
        </w:trPr>
        <w:tc>
          <w:tcPr>
            <w:tcBorders>
              <w:top w:val="single" w:color="000000" w:sz="4" w:space="0"/>
              <w:left w:val="single" w:color="000000" w:sz="4" w:space="0"/>
              <w:bottom w:val="single" w:color="000000" w:sz="4" w:space="0"/>
              <w:right w:val="none" w:color="000000" w:sz="4" w:space="0"/>
            </w:tcBorders>
            <w:tcW w:w="3141" w:type="dxa"/>
            <w:vAlign w:val="center"/>
            <w:textDirection w:val="lrTb"/>
            <w:noWrap/>
          </w:tcPr>
          <w:p>
            <w:pPr>
              <w:ind w:right="144"/>
              <w:jc w:val="center"/>
              <w:tabs>
                <w:tab w:val="left" w:pos="2520" w:leader="none"/>
              </w:tabs>
            </w:pPr>
            <w:r>
              <w:rPr>
                <w:rFonts w:eastAsia="SimSun"/>
                <w:lang w:eastAsia="zh-CN" w:bidi="ru-RU"/>
              </w:rPr>
              <w:t xml:space="preserve">[</w:t>
            </w:r>
            <w:r>
              <w:rPr>
                <w:b/>
              </w:rPr>
              <w:t xml:space="preserve">КОД (ЧИСЛОВОЕ ОБОЗНАЧЕНИЕ)</w:t>
            </w:r>
            <w:r>
              <w:rPr>
                <w:rFonts w:eastAsia="SimSun"/>
                <w:lang w:eastAsia="zh-CN" w:bidi="ru-RU"/>
              </w:rPr>
              <w:t xml:space="preserve">]-</w:t>
            </w:r>
            <w:r>
              <w:rPr>
                <w:b/>
              </w:rPr>
              <w:t xml:space="preserve"> НАИМЕНОВАНИЕ ВИДАРАЗРЕШЕННОГО ИСПОЛЬЗОВАНИЯ ЗЕМЕЛЬНЫХ УЧАСТКОВ</w:t>
            </w:r>
            <w:r/>
          </w:p>
        </w:tc>
        <w:tc>
          <w:tcPr>
            <w:tcBorders>
              <w:top w:val="single" w:color="000000" w:sz="4" w:space="0"/>
              <w:left w:val="single" w:color="000000" w:sz="4" w:space="0"/>
              <w:bottom w:val="single" w:color="000000" w:sz="4" w:space="0"/>
              <w:right w:val="none" w:color="000000" w:sz="4" w:space="0"/>
            </w:tcBorders>
            <w:tcW w:w="4010" w:type="dxa"/>
            <w:vAlign w:val="center"/>
            <w:textDirection w:val="lrTb"/>
            <w:noWrap/>
          </w:tcPr>
          <w:p>
            <w:pPr>
              <w:ind w:right="144"/>
              <w:jc w:val="center"/>
              <w:tabs>
                <w:tab w:val="left" w:pos="2520" w:leader="none"/>
              </w:tabs>
            </w:pPr>
            <w:r>
              <w:rPr>
                <w:b/>
              </w:rPr>
              <w:t xml:space="preserve">ВИДЫ ОБЪЕКТОВ КАПИТАЛЬНОГО СТРОИТЕЛЬСТВА</w:t>
            </w:r>
            <w:r/>
          </w:p>
        </w:tc>
        <w:tc>
          <w:tcPr>
            <w:tcBorders>
              <w:top w:val="single" w:color="000000" w:sz="4" w:space="0"/>
              <w:left w:val="single" w:color="000000" w:sz="4" w:space="0"/>
              <w:bottom w:val="single" w:color="000000" w:sz="4" w:space="0"/>
              <w:right w:val="single" w:color="000000" w:sz="4" w:space="0"/>
            </w:tcBorders>
            <w:tcW w:w="7885" w:type="dxa"/>
            <w:vAlign w:val="center"/>
            <w:textDirection w:val="lrTb"/>
            <w:noWrap/>
          </w:tcPr>
          <w:p>
            <w:pPr>
              <w:ind w:right="144"/>
              <w:jc w:val="center"/>
              <w:tabs>
                <w:tab w:val="left" w:pos="2520" w:leader="none"/>
              </w:tabs>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r>
      <w:tr>
        <w:trPr>
          <w:trHeight w:val="23"/>
        </w:trPr>
        <w:tc>
          <w:tcPr>
            <w:gridSpan w:val="3"/>
            <w:tcBorders>
              <w:top w:val="single" w:color="000000" w:sz="4" w:space="0"/>
              <w:left w:val="single" w:color="000000" w:sz="4" w:space="0"/>
              <w:bottom w:val="single" w:color="000000" w:sz="4" w:space="0"/>
              <w:right w:val="single" w:color="000000" w:sz="4" w:space="0"/>
            </w:tcBorders>
            <w:tcW w:w="15036" w:type="dxa"/>
            <w:vAlign w:val="center"/>
            <w:textDirection w:val="lrTb"/>
            <w:noWrap/>
          </w:tcPr>
          <w:p>
            <w:pPr>
              <w:ind w:firstLine="567"/>
              <w:jc w:val="center"/>
              <w:tabs>
                <w:tab w:val="left" w:pos="2520" w:leader="none"/>
              </w:tabs>
              <w:rPr>
                <w:rFonts w:eastAsia="SimSun"/>
                <w:lang w:eastAsia="zh-CN" w:bidi="ru-RU"/>
              </w:rPr>
            </w:pPr>
            <w:r>
              <w:t xml:space="preserve">Не установлены</w:t>
            </w:r>
            <w:r/>
          </w:p>
        </w:tc>
      </w:tr>
    </w:tbl>
    <w:p>
      <w:pPr>
        <w:ind w:firstLine="567"/>
        <w:jc w:val="center"/>
        <w:tabs>
          <w:tab w:val="left" w:pos="2520" w:leader="none"/>
        </w:tabs>
      </w:pPr>
      <w:r/>
      <w:r/>
    </w:p>
    <w:p>
      <w:pPr>
        <w:ind w:firstLine="567"/>
        <w:jc w:val="center"/>
        <w:tabs>
          <w:tab w:val="left" w:pos="2520" w:leader="none"/>
        </w:tabs>
      </w:pPr>
      <w:r>
        <w:rPr>
          <w:b/>
          <w:color w:val="000000"/>
        </w:rPr>
        <w:t xml:space="preserve">ВСПОМОГАТЕЛЬНЫЕ ВИДЫ И ПАРАМЕТРЫ РАЗРЕШЕННОГО ИСПОЛЬЗОВАНИЯ ЗЕМЕЛЬНЫХ УЧАСТКОВ И ОБЪЕКТОВ КАПИТАЛЬНОГО </w:t>
      </w:r>
      <w:r>
        <w:rPr>
          <w:b/>
          <w:color w:val="000000"/>
        </w:rPr>
        <w:t xml:space="preserve">СТРОИТЕЛЬСТВА</w:t>
      </w:r>
      <w:r/>
    </w:p>
    <w:p>
      <w:pPr>
        <w:ind w:firstLine="567"/>
        <w:jc w:val="center"/>
        <w:tabs>
          <w:tab w:val="left" w:pos="2520" w:leader="none"/>
        </w:tabs>
      </w:pPr>
      <w:r/>
      <w:r/>
    </w:p>
    <w:p>
      <w:pPr>
        <w:ind w:firstLine="567"/>
        <w:jc w:val="both"/>
      </w:pPr>
      <w:r>
        <w:rPr>
          <w:sz w:val="24"/>
          <w:szCs w:val="24"/>
          <w:lang w:eastAsia="ru-RU" w:bidi="ru-RU"/>
        </w:rPr>
        <w:t xml:space="preserve">Вспомогательные</w:t>
      </w:r>
      <w:r>
        <w:rPr>
          <w:sz w:val="24"/>
          <w:szCs w:val="24"/>
          <w:lang w:eastAsia="ru-RU" w:bidi="ru-RU"/>
        </w:rPr>
        <w:t xml:space="preserve"> </w:t>
      </w:r>
      <w:r>
        <w:rPr>
          <w:sz w:val="24"/>
          <w:szCs w:val="24"/>
          <w:lang w:eastAsia="ru-RU" w:bidi="ru-RU"/>
        </w:rPr>
        <w:t xml:space="preserve">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Pr>
          <w:rFonts w:eastAsia="SimSun"/>
          <w:sz w:val="24"/>
          <w:szCs w:val="24"/>
          <w:lang w:eastAsia="zh-CN" w:bidi="ru-RU"/>
        </w:rPr>
        <w:t xml:space="preserve"> Предельные (мин</w:t>
      </w:r>
      <w:r>
        <w:rPr>
          <w:rFonts w:eastAsia="SimSun"/>
          <w:sz w:val="24"/>
          <w:szCs w:val="24"/>
          <w:lang w:eastAsia="zh-CN" w:bidi="ru-RU"/>
        </w:rPr>
        <w:t xml:space="preserve">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r/>
    </w:p>
    <w:p>
      <w:pPr>
        <w:ind w:firstLine="567"/>
        <w:jc w:val="center"/>
        <w:tabs>
          <w:tab w:val="left" w:pos="2520" w:leader="none"/>
        </w:tabs>
      </w:pPr>
      <w:r/>
      <w:r/>
    </w:p>
    <w:tbl>
      <w:tblPr>
        <w:tblW w:w="0" w:type="auto"/>
        <w:tblLayout w:type="fixed"/>
        <w:tblCellMar>
          <w:left w:w="10" w:type="dxa"/>
          <w:right w:w="10" w:type="dxa"/>
        </w:tblCellMar>
        <w:tblLook w:val="04A0" w:firstRow="1" w:lastRow="0" w:firstColumn="1" w:lastColumn="0" w:noHBand="0" w:noVBand="1"/>
      </w:tblPr>
      <w:tblGrid>
        <w:gridCol w:w="4565"/>
        <w:gridCol w:w="5387"/>
        <w:gridCol w:w="5226"/>
      </w:tblGrid>
      <w:tr>
        <w:trPr>
          <w:trHeight w:val="552"/>
        </w:trPr>
        <w:tc>
          <w:tcPr>
            <w:tcBorders>
              <w:top w:val="single" w:color="000000" w:sz="4" w:space="0"/>
              <w:left w:val="single" w:color="000000" w:sz="4" w:space="0"/>
              <w:bottom w:val="single" w:color="000000" w:sz="4" w:space="0"/>
              <w:right w:val="single" w:color="000000" w:sz="4" w:space="0"/>
            </w:tcBorders>
            <w:tcW w:w="4565" w:type="dxa"/>
            <w:vAlign w:val="center"/>
            <w:textDirection w:val="lrTb"/>
            <w:noWrap/>
          </w:tcPr>
          <w:p>
            <w:pPr>
              <w:ind w:firstLine="567"/>
              <w:jc w:val="center"/>
              <w:tabs>
                <w:tab w:val="left" w:pos="2520" w:leader="none"/>
              </w:tabs>
            </w:pPr>
            <w:r>
              <w:rPr>
                <w:b/>
              </w:rPr>
              <w:t xml:space="preserve">ВИДЫ ВСПОМОГАТЕЛЬНЫХ ОБЪЕКТОВ КАПИТАЛЬНОГО СТРОИТЕЛЬСТВА</w:t>
            </w:r>
            <w:r/>
          </w:p>
        </w:tc>
        <w:tc>
          <w:tcPr>
            <w:tcBorders>
              <w:top w:val="single" w:color="000000" w:sz="4" w:space="0"/>
              <w:left w:val="single" w:color="000000" w:sz="4" w:space="0"/>
              <w:bottom w:val="single" w:color="000000" w:sz="4" w:space="0"/>
              <w:right w:val="single" w:color="000000" w:sz="4" w:space="0"/>
            </w:tcBorders>
            <w:tcW w:w="5387" w:type="dxa"/>
            <w:vAlign w:val="center"/>
            <w:textDirection w:val="lrTb"/>
            <w:noWrap/>
          </w:tcPr>
          <w:p>
            <w:pPr>
              <w:ind w:firstLine="567"/>
              <w:jc w:val="center"/>
              <w:tabs>
                <w:tab w:val="left" w:pos="2520" w:leader="none"/>
              </w:tabs>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Borders>
              <w:top w:val="single" w:color="000000" w:sz="4" w:space="0"/>
              <w:left w:val="single" w:color="000000" w:sz="4" w:space="0"/>
              <w:bottom w:val="single" w:color="000000" w:sz="4" w:space="0"/>
              <w:right w:val="single" w:color="000000" w:sz="4" w:space="0"/>
            </w:tcBorders>
            <w:tcW w:w="5226" w:type="dxa"/>
            <w:vAlign w:val="center"/>
            <w:textDirection w:val="lrTb"/>
            <w:noWrap/>
          </w:tcPr>
          <w:p>
            <w:pPr>
              <w:ind w:firstLine="567"/>
              <w:jc w:val="center"/>
            </w:pPr>
            <w:r>
              <w:rPr>
                <w:b/>
              </w:rPr>
              <w:t xml:space="preserve">ОСОБЫЕ УСЛОВИЯ РЕАЛИЗАЦИИ РЕГЛАМЕНТА</w:t>
            </w:r>
            <w:r/>
          </w:p>
        </w:tc>
      </w:tr>
      <w:tr>
        <w:trPr>
          <w:trHeight w:val="23"/>
        </w:trPr>
        <w:tc>
          <w:tcPr>
            <w:gridSpan w:val="3"/>
            <w:tcBorders>
              <w:top w:val="single" w:color="000000" w:sz="4" w:space="0"/>
              <w:left w:val="single" w:color="000000" w:sz="4" w:space="0"/>
              <w:bottom w:val="single" w:color="000000" w:sz="4" w:space="0"/>
              <w:right w:val="single" w:color="000000" w:sz="4" w:space="0"/>
            </w:tcBorders>
            <w:tcW w:w="15178" w:type="dxa"/>
            <w:textDirection w:val="lrTb"/>
            <w:noWrap/>
          </w:tcPr>
          <w:p>
            <w:pPr>
              <w:ind w:right="142" w:firstLine="567"/>
              <w:jc w:val="center"/>
            </w:pPr>
            <w:r>
              <w:rPr>
                <w:rFonts w:eastAsia="Calibri"/>
              </w:rPr>
              <w:t xml:space="preserve">Вспомогательные виды и их параметры определяются материалами проектной документации.</w:t>
            </w:r>
            <w:r/>
          </w:p>
        </w:tc>
      </w:tr>
    </w:tbl>
    <w:p>
      <w:pPr>
        <w:ind w:firstLine="567"/>
      </w:pPr>
      <w:r>
        <w:t xml:space="preserve">Примечания:</w:t>
      </w:r>
      <w:r/>
    </w:p>
    <w:p>
      <w:pPr>
        <w:ind w:firstLine="567"/>
      </w:pPr>
      <w:r>
        <w:t xml:space="preserve">Общая площадь некапитального объекта принята до 25 кв.м. Этажность отдельно стоящих некапитальн</w:t>
      </w:r>
      <w:r>
        <w:t xml:space="preserve">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Казанско</w:t>
      </w:r>
      <w:r>
        <w:t xml:space="preserve">го сельского поселения района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w:t>
      </w:r>
      <w:r>
        <w:t xml:space="preserve">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r/>
    </w:p>
    <w:p>
      <w:r/>
      <w:r/>
    </w:p>
    <w:p>
      <w:pPr>
        <w:ind w:firstLine="567"/>
        <w:jc w:val="center"/>
      </w:pPr>
      <w:r/>
      <w:r/>
    </w:p>
    <w:p>
      <w:pPr>
        <w:ind w:firstLine="567"/>
        <w:jc w:val="center"/>
      </w:pPr>
      <w:r>
        <w:rPr>
          <w:b/>
          <w:caps/>
          <w:color w:val="000000"/>
        </w:rPr>
        <w:t xml:space="preserve">Зоны сельскохозяйственного использования</w:t>
      </w:r>
      <w:r>
        <w:rPr>
          <w:caps/>
          <w:color w:val="000000"/>
        </w:rPr>
        <w:t xml:space="preserve">:</w:t>
      </w:r>
      <w:r/>
    </w:p>
    <w:p>
      <w:pPr>
        <w:ind w:firstLine="567"/>
        <w:jc w:val="both"/>
      </w:pPr>
      <w:r/>
      <w:r/>
    </w:p>
    <w:p>
      <w:pPr>
        <w:ind w:firstLine="567"/>
        <w:jc w:val="center"/>
      </w:pPr>
      <w:r>
        <w:rPr>
          <w:b/>
          <w:color w:val="000000"/>
          <w:sz w:val="24"/>
          <w:szCs w:val="24"/>
        </w:rPr>
        <w:t xml:space="preserve">ЗОНА СЕЛЬСКОХОЗЯЙСТВЕННОГО ИСПОЛЬЗОВАНИЯ</w:t>
      </w:r>
      <w:r/>
    </w:p>
    <w:p>
      <w:pPr>
        <w:ind w:firstLine="567"/>
        <w:jc w:val="center"/>
      </w:pPr>
      <w:r/>
      <w:r/>
    </w:p>
    <w:p>
      <w:pPr>
        <w:ind w:firstLine="720"/>
        <w:jc w:val="both"/>
      </w:pPr>
      <w:r>
        <w:rPr>
          <w:color w:val="000000" w:themeColor="text1"/>
          <w:sz w:val="24"/>
          <w:szCs w:val="24"/>
        </w:rPr>
        <w:t xml:space="preserve">Кодовое обозначение – СХ-1</w:t>
      </w:r>
      <w:r/>
    </w:p>
    <w:p>
      <w:pPr>
        <w:ind w:firstLine="567"/>
        <w:jc w:val="center"/>
        <w:tabs>
          <w:tab w:val="left" w:pos="2520" w:leader="none"/>
        </w:tabs>
      </w:pPr>
      <w:r>
        <w:rPr>
          <w:sz w:val="24"/>
          <w:szCs w:val="24"/>
          <w:shd w:val="clear" w:color="auto" w:fill="ffffff"/>
        </w:rPr>
        <w:t xml:space="preserve">В соответствии с частью 6 статьи 36 ГрК РФ действие градостроительного регламента не распространяется на земельные участки сельскохозяйственных угодий в составе земель сельскохозяйственного назначения, расположенные за границами населенного пункта.</w:t>
      </w:r>
      <w:r/>
    </w:p>
    <w:p>
      <w:pPr>
        <w:ind w:firstLine="567"/>
        <w:jc w:val="both"/>
      </w:pPr>
      <w:r/>
      <w:r/>
    </w:p>
    <w:p>
      <w:pPr>
        <w:ind w:firstLine="567"/>
        <w:jc w:val="center"/>
      </w:pPr>
      <w:r>
        <w:rPr>
          <w:b/>
          <w:color w:val="000000"/>
          <w:sz w:val="24"/>
          <w:szCs w:val="24"/>
        </w:rPr>
        <w:t xml:space="preserve">ПРОИЗВОДСТВЕННАЯ ЗОНА СЕЛЬСКОХОЗЯЙСТВЕННЫХ ПРЕДПРИЯТИЙ</w:t>
      </w:r>
      <w:r/>
    </w:p>
    <w:p>
      <w:pPr>
        <w:ind w:firstLine="567"/>
        <w:jc w:val="center"/>
      </w:pPr>
      <w:r/>
      <w:r/>
    </w:p>
    <w:p>
      <w:pPr>
        <w:ind w:firstLine="567"/>
        <w:jc w:val="both"/>
      </w:pPr>
      <w:r>
        <w:rPr>
          <w:color w:val="000000" w:themeColor="text1"/>
          <w:sz w:val="24"/>
          <w:szCs w:val="24"/>
        </w:rPr>
        <w:t xml:space="preserve">Кодовое обозначение – СХ-2</w:t>
      </w:r>
      <w:r/>
    </w:p>
    <w:p>
      <w:pPr>
        <w:ind w:firstLine="567"/>
        <w:jc w:val="both"/>
        <w:rPr>
          <w:sz w:val="24"/>
          <w:szCs w:val="24"/>
          <w:lang w:eastAsia="ru-RU" w:bidi="ru-RU"/>
        </w:rPr>
      </w:pPr>
      <w:r>
        <w:rPr>
          <w:sz w:val="24"/>
          <w:szCs w:val="24"/>
          <w:lang w:eastAsia="ru-RU" w:bidi="ru-RU"/>
        </w:rPr>
        <w:t xml:space="preserve">Зона С</w:t>
      </w:r>
      <w:r>
        <w:rPr>
          <w:sz w:val="24"/>
          <w:szCs w:val="24"/>
          <w:lang w:eastAsia="ru-RU" w:bidi="ru-RU"/>
        </w:rPr>
        <w:t xml:space="preserve">Х-2</w:t>
      </w:r>
      <w:r>
        <w:rPr>
          <w:sz w:val="24"/>
          <w:szCs w:val="24"/>
          <w:lang w:eastAsia="ru-RU" w:bidi="ru-RU"/>
        </w:rPr>
        <w:t xml:space="preserve"> выделена для обеспечения правовых условий использования земельных участков и объектов капитального строительства, предназначенных для ведения сельского хозяйства, развития объектов сельскохозяйственного назначения на землях сельского поселения.</w:t>
      </w:r>
      <w:r/>
    </w:p>
    <w:p>
      <w:pPr>
        <w:ind w:firstLine="567"/>
        <w:jc w:val="center"/>
        <w:tabs>
          <w:tab w:val="left" w:pos="2520" w:leader="none"/>
        </w:tabs>
      </w:pPr>
      <w:r/>
      <w:r/>
    </w:p>
    <w:p>
      <w:pPr>
        <w:ind w:firstLine="567"/>
        <w:jc w:val="center"/>
        <w:tabs>
          <w:tab w:val="left" w:pos="2520" w:leader="none"/>
        </w:tabs>
      </w:pPr>
      <w:r>
        <w:rPr>
          <w:b/>
          <w:color w:val="000000"/>
        </w:rPr>
        <w:t xml:space="preserve">ОСНОВНЫЕ ВИДЫ И ПАРАМЕТРЫ РАЗРЕШЕННОГО ИСПОЛЬЗОВАНИЯ ЗЕМЕЛЬНЫХ УЧАСТКОВ И ОБЪЕКТОВ КАПИТАЛЬНОГО СТРОИТЕЛЬСТВА</w:t>
      </w:r>
      <w:r/>
    </w:p>
    <w:p>
      <w:pPr>
        <w:ind w:firstLine="567"/>
        <w:jc w:val="center"/>
        <w:tabs>
          <w:tab w:val="left" w:pos="2520" w:leader="none"/>
        </w:tabs>
      </w:pPr>
      <w:r/>
      <w:r/>
    </w:p>
    <w:tbl>
      <w:tblPr>
        <w:tblW w:w="15149" w:type="dxa"/>
        <w:tblInd w:w="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 w:type="dxa"/>
          <w:right w:w="10" w:type="dxa"/>
        </w:tblCellMar>
        <w:tblLook w:val="04A0" w:firstRow="1" w:lastRow="0" w:firstColumn="1" w:lastColumn="0" w:noHBand="0" w:noVBand="1"/>
      </w:tblPr>
      <w:tblGrid>
        <w:gridCol w:w="2675"/>
        <w:gridCol w:w="4536"/>
        <w:gridCol w:w="4696"/>
        <w:gridCol w:w="3242"/>
      </w:tblGrid>
      <w:tr>
        <w:trPr>
          <w:trHeight w:val="20"/>
        </w:trPr>
        <w:tc>
          <w:tcPr>
            <w:tcW w:w="2675" w:type="dxa"/>
            <w:vAlign w:val="center"/>
            <w:textDirection w:val="lrTb"/>
            <w:noWrap w:val="false"/>
          </w:tcPr>
          <w:p>
            <w:pPr>
              <w:ind w:left="113"/>
              <w:jc w:val="center"/>
              <w:tabs>
                <w:tab w:val="left" w:pos="2520" w:leader="none"/>
              </w:tabs>
              <w:rPr>
                <w:b/>
              </w:rPr>
            </w:pPr>
            <w:r>
              <w:rPr>
                <w:rFonts w:eastAsia="SimSun"/>
                <w:lang w:eastAsia="zh-CN" w:bidi="ru-RU"/>
              </w:rPr>
              <w:t xml:space="preserve">[</w:t>
            </w:r>
            <w:r>
              <w:rPr>
                <w:b/>
              </w:rPr>
              <w:t xml:space="preserve">КОД (ЧИСЛОВОЕ </w:t>
            </w:r>
            <w:r>
              <w:rPr>
                <w:b/>
              </w:rPr>
              <w:t xml:space="preserve">ОБОЗНАЧЕНИЕ)</w:t>
            </w:r>
            <w:r>
              <w:rPr>
                <w:rFonts w:eastAsia="SimSun"/>
                <w:lang w:eastAsia="zh-CN" w:bidi="ru-RU"/>
              </w:rPr>
              <w:t xml:space="preserve">]-</w:t>
            </w:r>
            <w:r>
              <w:rPr>
                <w:b/>
              </w:rPr>
              <w:t xml:space="preserve"> НАИМЕНОВАНИЕ ВИДАРАЗРЕШЕННОГО ИСПОЛЬЗОВАНИЯ ЗЕМЕЛЬНЫХ УЧАСТКОВ</w:t>
            </w:r>
            <w:r/>
          </w:p>
        </w:tc>
        <w:tc>
          <w:tcPr>
            <w:tcW w:w="4536" w:type="dxa"/>
            <w:vAlign w:val="center"/>
            <w:textDirection w:val="lrTb"/>
            <w:noWrap w:val="false"/>
          </w:tcPr>
          <w:p>
            <w:pPr>
              <w:ind w:firstLine="567"/>
              <w:jc w:val="center"/>
              <w:tabs>
                <w:tab w:val="left" w:pos="2520" w:leader="none"/>
              </w:tabs>
              <w:rPr>
                <w:b/>
              </w:rPr>
            </w:pPr>
            <w:r>
              <w:rPr>
                <w:b/>
              </w:rPr>
              <w:t xml:space="preserve">ВИДЫ ОБЪЕКТОВ КАПИТАЛЬНОГО</w:t>
            </w:r>
            <w:r>
              <w:rPr>
                <w:b/>
              </w:rPr>
              <w:br/>
              <w:t xml:space="preserve"> </w:t>
            </w:r>
            <w:r>
              <w:rPr>
                <w:b/>
              </w:rPr>
              <w:t xml:space="preserve">СТРОИТЕЛЬСТВА</w:t>
            </w:r>
            <w:r/>
          </w:p>
        </w:tc>
        <w:tc>
          <w:tcPr>
            <w:tcW w:w="4696" w:type="dxa"/>
            <w:vAlign w:val="center"/>
            <w:textDirection w:val="lrTb"/>
            <w:noWrap w:val="false"/>
          </w:tcPr>
          <w:p>
            <w:pPr>
              <w:ind w:firstLine="567"/>
              <w:jc w:val="center"/>
              <w:tabs>
                <w:tab w:val="left" w:pos="2520" w:leader="none"/>
              </w:tabs>
              <w:rPr>
                <w:b/>
              </w:rPr>
            </w:pPr>
            <w:r>
              <w:rPr>
                <w:rFonts w:eastAsia="SimSun"/>
                <w:b/>
                <w:lang w:eastAsia="zh-CN" w:bidi="ru-RU"/>
              </w:rPr>
              <w:t xml:space="preserve">ПРЕДЕЛЬНЫЕ (МИНИМАЛЬНЫЕ И </w:t>
            </w:r>
            <w:r>
              <w:rPr>
                <w:rFonts w:eastAsia="SimSun"/>
                <w:b/>
                <w:lang w:eastAsia="zh-CN" w:bidi="ru-RU"/>
              </w:rPr>
              <w:t xml:space="preserve">(ИЛИ)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W w:w="3242" w:type="dxa"/>
            <w:vAlign w:val="center"/>
            <w:textDirection w:val="lrTb"/>
            <w:noWrap w:val="false"/>
          </w:tcPr>
          <w:p>
            <w:pPr>
              <w:ind w:left="113" w:right="151"/>
              <w:jc w:val="center"/>
              <w:tabs>
                <w:tab w:val="left" w:pos="3071" w:leader="none"/>
              </w:tabs>
              <w:rPr>
                <w:b/>
              </w:rPr>
            </w:pPr>
            <w:r>
              <w:rPr>
                <w:b/>
              </w:rPr>
              <w:t xml:space="preserve">ОСОБЫЕ УСЛОВИЯ </w:t>
            </w:r>
            <w:r>
              <w:rPr>
                <w:b/>
              </w:rPr>
              <w:t xml:space="preserve">РЕАЛИЗАЦИИ РЕГЛАМЕНТА</w:t>
            </w:r>
            <w:r/>
          </w:p>
          <w:p>
            <w:pPr>
              <w:ind w:left="113" w:right="151"/>
              <w:jc w:val="center"/>
              <w:tabs>
                <w:tab w:val="left" w:pos="2520" w:leader="none"/>
              </w:tabs>
              <w:rPr>
                <w:b/>
              </w:rPr>
            </w:pPr>
            <w:r>
              <w:rPr>
                <w:b/>
              </w:rPr>
            </w:r>
            <w:r/>
          </w:p>
        </w:tc>
      </w:tr>
      <w:tr>
        <w:trPr>
          <w:trHeight w:val="20"/>
        </w:trPr>
        <w:tc>
          <w:tcPr>
            <w:tcW w:w="2675" w:type="dxa"/>
            <w:textDirection w:val="lrTb"/>
            <w:noWrap w:val="false"/>
          </w:tcPr>
          <w:p>
            <w:pPr>
              <w:ind w:left="113" w:right="187"/>
            </w:pPr>
            <w:r>
              <w:t xml:space="preserve">[1.0] </w:t>
            </w:r>
            <w:r/>
          </w:p>
          <w:p>
            <w:pPr>
              <w:ind w:left="113" w:right="187"/>
            </w:pPr>
            <w:r>
              <w:t xml:space="preserve">Сельскохозяйственное использование</w:t>
            </w:r>
            <w:r/>
          </w:p>
        </w:tc>
        <w:tc>
          <w:tcPr>
            <w:tcW w:w="4536" w:type="dxa"/>
            <w:textDirection w:val="lrTb"/>
            <w:noWrap w:val="false"/>
          </w:tcPr>
          <w:p>
            <w:pPr>
              <w:ind w:left="113" w:right="187"/>
              <w:jc w:val="both"/>
            </w:pPr>
            <w:r>
              <w:t xml:space="preserve">Ведение сельского</w:t>
            </w:r>
            <w:r>
              <w:t xml:space="preserve"> хозяйства. Содержание данного вида разрешенного использования включает в себя содержание видов разрешенного использования с кодами 1.1-1.20, в том числе размещение зданий и сооружений, используемых для хранения и переработки сельскохозяйственной продукции</w:t>
            </w:r>
            <w:r/>
          </w:p>
        </w:tc>
        <w:tc>
          <w:tcPr>
            <w:tcW w:w="4696" w:type="dxa"/>
            <w:textDirection w:val="lrTb"/>
            <w:noWrap w:val="false"/>
          </w:tcPr>
          <w:p>
            <w:pPr>
              <w:ind w:left="113" w:right="187"/>
              <w:jc w:val="both"/>
              <w:tabs>
                <w:tab w:val="left" w:pos="1134" w:leader="none"/>
              </w:tabs>
              <w:rPr>
                <w:rFonts w:eastAsia="SimSun"/>
                <w:lang w:eastAsia="zh-CN" w:bidi="ru-RU"/>
              </w:rPr>
            </w:pPr>
            <w:r>
              <w:rPr>
                <w:rFonts w:eastAsia="SimSun"/>
                <w:lang w:eastAsia="zh-CN" w:bidi="ru-RU"/>
              </w:rPr>
              <w:t xml:space="preserve">Минимальная (максимальная) площадь земельного участка - 300 (1000000) кв. м;</w:t>
            </w:r>
            <w:r/>
          </w:p>
          <w:p>
            <w:pPr>
              <w:ind w:left="113" w:right="187"/>
              <w:jc w:val="both"/>
              <w:tabs>
                <w:tab w:val="left" w:pos="1134" w:leader="none"/>
              </w:tabs>
              <w:rPr>
                <w:rFonts w:eastAsia="SimSun"/>
                <w:lang w:eastAsia="zh-CN" w:bidi="ru-RU"/>
              </w:rPr>
            </w:pPr>
            <w:r>
              <w:rPr>
                <w:rFonts w:eastAsia="SimSun"/>
                <w:lang w:eastAsia="zh-CN" w:bidi="ru-RU"/>
              </w:rPr>
              <w:t xml:space="preserve">максимальный процент застройки в границах земельного участка – 50%;</w:t>
            </w:r>
            <w:r/>
          </w:p>
          <w:p>
            <w:pPr>
              <w:ind w:left="113" w:right="187"/>
              <w:jc w:val="both"/>
              <w:tabs>
                <w:tab w:val="left" w:pos="1134" w:leader="none"/>
              </w:tabs>
              <w:rPr>
                <w:rFonts w:eastAsia="SimSun"/>
                <w:lang w:eastAsia="zh-CN" w:bidi="ru-RU"/>
              </w:rPr>
            </w:pPr>
            <w:r>
              <w:rPr>
                <w:rFonts w:eastAsia="SimSun"/>
                <w:lang w:eastAsia="zh-CN" w:bidi="ru-RU"/>
              </w:rPr>
              <w:t xml:space="preserve">предельное количество надземных этажей зданий – 2;</w:t>
            </w:r>
            <w:r/>
          </w:p>
          <w:p>
            <w:pPr>
              <w:ind w:left="113" w:right="187"/>
              <w:jc w:val="both"/>
              <w:rPr>
                <w:lang w:eastAsia="ru-RU" w:bidi="ru-RU"/>
              </w:rPr>
            </w:pPr>
            <w:r>
              <w:rPr>
                <w:rFonts w:eastAsia="SimSun"/>
                <w:lang w:eastAsia="zh-CN" w:bidi="ru-RU"/>
              </w:rPr>
              <w:t xml:space="preserve">предельная высота </w:t>
            </w:r>
            <w:r>
              <w:rPr>
                <w:lang w:eastAsia="ru-RU" w:bidi="ru-RU"/>
              </w:rPr>
              <w:t xml:space="preserve">зданий, строений, </w:t>
            </w:r>
            <w:r>
              <w:rPr>
                <w:rFonts w:eastAsia="SimSun"/>
                <w:lang w:eastAsia="zh-CN" w:bidi="ru-RU"/>
              </w:rPr>
              <w:t xml:space="preserve">сооружений</w:t>
            </w:r>
            <w:r>
              <w:rPr>
                <w:lang w:eastAsia="ru-RU" w:bidi="ru-RU"/>
              </w:rPr>
              <w:t xml:space="preserve"> – 15 м;</w:t>
            </w:r>
            <w:r/>
          </w:p>
          <w:p>
            <w:pPr>
              <w:ind w:left="113" w:right="187"/>
              <w:jc w:val="both"/>
              <w:rPr>
                <w:rFonts w:eastAsia="SimSun"/>
                <w:lang w:eastAsia="zh-CN" w:bidi="ru-RU"/>
              </w:rPr>
            </w:pPr>
            <w:r>
              <w:rPr>
                <w:rFonts w:eastAsia="SimSun"/>
                <w:lang w:eastAsia="zh-CN" w:bidi="ru-RU"/>
              </w:rPr>
              <w:t xml:space="preserve">Минимальный отступ зданий, строений и сооружений от красной линии улиц - 5 м. от иных границ 3 м.</w:t>
            </w:r>
            <w:r/>
          </w:p>
        </w:tc>
        <w:tc>
          <w:tcPr>
            <w:tcW w:w="3242" w:type="dxa"/>
            <w:vMerge w:val="restart"/>
            <w:textDirection w:val="lrTb"/>
            <w:noWrap w:val="false"/>
          </w:tcPr>
          <w:p>
            <w:pPr>
              <w:ind w:left="113" w:right="151"/>
              <w:jc w:val="both"/>
              <w:tabs>
                <w:tab w:val="left" w:pos="3071" w:leader="none"/>
              </w:tabs>
              <w:rPr>
                <w:shd w:val="clear" w:color="auto" w:fill="ffffff"/>
              </w:rPr>
            </w:pPr>
            <w:r>
              <w:rPr>
                <w:shd w:val="clear" w:color="auto" w:fill="ffffff"/>
              </w:rPr>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r/>
          </w:p>
          <w:p>
            <w:pPr>
              <w:ind w:left="113" w:right="151"/>
              <w:jc w:val="both"/>
              <w:tabs>
                <w:tab w:val="left" w:pos="3071" w:leader="none"/>
              </w:tabs>
              <w:rPr>
                <w:shd w:val="clear" w:color="auto" w:fill="ffffff"/>
              </w:rPr>
            </w:pPr>
            <w:r>
              <w:rPr>
                <w:shd w:val="clear" w:color="auto" w:fill="ffffff"/>
              </w:rPr>
            </w:r>
            <w:r/>
          </w:p>
          <w:p>
            <w:pPr>
              <w:ind w:left="113" w:right="151"/>
              <w:jc w:val="both"/>
              <w:tabs>
                <w:tab w:val="left" w:pos="3071" w:leader="none"/>
              </w:tabs>
            </w:pPr>
            <w: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r/>
          </w:p>
          <w:p>
            <w:pPr>
              <w:ind w:left="113" w:right="151"/>
              <w:jc w:val="both"/>
              <w:tabs>
                <w:tab w:val="left" w:pos="3071" w:leader="none"/>
              </w:tabs>
            </w:pPr>
            <w:r/>
            <w:r/>
          </w:p>
          <w:p>
            <w:pPr>
              <w:ind w:left="113" w:right="151"/>
              <w:jc w:val="both"/>
              <w:rPr>
                <w:shd w:val="clear" w:color="auto" w:fill="ffffff"/>
              </w:rPr>
            </w:pPr>
            <w:r>
              <w:rPr>
                <w:rFonts w:eastAsia="Calibri"/>
              </w:rPr>
              <w:t xml:space="preserve">При отсутствии в материалах проектной документации расчета СЗЗ, СЗЗ принимать в соответствии с СанПиН</w:t>
            </w:r>
            <w:r>
              <w:rPr>
                <w:shd w:val="clear" w:color="auto" w:fill="ffffff"/>
              </w:rPr>
              <w:t xml:space="preserve">2.2.1/2.1.1.1200-03 "</w:t>
            </w:r>
            <w:r>
              <w:rPr>
                <w:bCs/>
                <w:shd w:val="clear" w:color="auto" w:fill="ffffff"/>
              </w:rPr>
              <w:t xml:space="preserve">Санитарно-защитные</w:t>
            </w:r>
            <w:r>
              <w:rPr>
                <w:shd w:val="clear" w:color="auto" w:fill="ffffff"/>
              </w:rPr>
              <w:t xml:space="preserve"> </w:t>
            </w:r>
            <w:r>
              <w:rPr>
                <w:bCs/>
                <w:shd w:val="clear" w:color="auto" w:fill="ffffff"/>
              </w:rPr>
              <w:t xml:space="preserve">зоны</w:t>
            </w:r>
            <w:r>
              <w:rPr>
                <w:shd w:val="clear" w:color="auto" w:fill="ffffff"/>
              </w:rPr>
              <w:t xml:space="preserve"> и </w:t>
            </w:r>
            <w:r>
              <w:rPr>
                <w:bCs/>
                <w:shd w:val="clear" w:color="auto" w:fill="ffffff"/>
              </w:rPr>
              <w:t xml:space="preserve">санитарная</w:t>
            </w:r>
            <w:r>
              <w:rPr>
                <w:shd w:val="clear" w:color="auto" w:fill="ffffff"/>
              </w:rPr>
              <w:t xml:space="preserve"> </w:t>
            </w:r>
            <w:r>
              <w:rPr>
                <w:bCs/>
                <w:shd w:val="clear" w:color="auto" w:fill="ffffff"/>
              </w:rPr>
              <w:t xml:space="preserve">классификация</w:t>
            </w:r>
            <w:r>
              <w:rPr>
                <w:shd w:val="clear" w:color="auto" w:fill="ffffff"/>
              </w:rPr>
              <w:t xml:space="preserve"> </w:t>
            </w:r>
            <w:r>
              <w:rPr>
                <w:bCs/>
                <w:shd w:val="clear" w:color="auto" w:fill="ffffff"/>
              </w:rPr>
              <w:t xml:space="preserve">предприятий</w:t>
            </w:r>
            <w:r>
              <w:rPr>
                <w:shd w:val="clear" w:color="auto" w:fill="ffffff"/>
              </w:rPr>
              <w:t xml:space="preserve">, </w:t>
            </w:r>
            <w:r>
              <w:rPr>
                <w:bCs/>
                <w:shd w:val="clear" w:color="auto" w:fill="ffffff"/>
              </w:rPr>
              <w:t xml:space="preserve">сооружений</w:t>
            </w:r>
            <w:r>
              <w:rPr>
                <w:shd w:val="clear" w:color="auto" w:fill="ffffff"/>
              </w:rPr>
              <w:t xml:space="preserve"> и иных объектов".</w:t>
            </w:r>
            <w:r/>
          </w:p>
          <w:p>
            <w:pPr>
              <w:ind w:left="113" w:right="151"/>
              <w:jc w:val="both"/>
              <w:rPr>
                <w:shd w:val="clear" w:color="auto" w:fill="ffffff"/>
              </w:rPr>
            </w:pPr>
            <w:r>
              <w:rPr>
                <w:shd w:val="clear" w:color="auto" w:fill="ffffff"/>
              </w:rPr>
            </w:r>
            <w:r/>
          </w:p>
          <w:p>
            <w:pPr>
              <w:ind w:left="113" w:right="151"/>
              <w:jc w:val="both"/>
              <w:rPr>
                <w:shd w:val="clear" w:color="auto" w:fill="ffffff"/>
              </w:rPr>
            </w:pPr>
            <w:r>
              <w:rPr>
                <w:shd w:val="clear" w:color="auto" w:fill="ffffff"/>
              </w:rPr>
              <w:t xml:space="preserve">В материалах проектной документации указывать численность единовременно прибывающих на объекте человек для определения отношения объекта к объекту массового пребывания граждан.</w:t>
            </w:r>
            <w:r/>
          </w:p>
          <w:p>
            <w:pPr>
              <w:ind w:left="113" w:right="151"/>
              <w:jc w:val="both"/>
              <w:rPr>
                <w:shd w:val="clear" w:color="auto" w:fill="ffffff"/>
              </w:rPr>
            </w:pPr>
            <w:r>
              <w:rPr>
                <w:shd w:val="clear" w:color="auto" w:fill="ffffff"/>
              </w:rPr>
            </w:r>
            <w:r/>
          </w:p>
          <w:p>
            <w:pPr>
              <w:ind w:left="113" w:right="151"/>
              <w:jc w:val="both"/>
              <w:rPr>
                <w:shd w:val="clear" w:color="auto" w:fill="ffffff"/>
              </w:rPr>
            </w:pPr>
            <w:r>
              <w:rPr>
                <w:shd w:val="clear" w:color="auto" w:fill="ffffff"/>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w:t>
            </w:r>
            <w:r>
              <w:rPr>
                <w:shd w:val="clear" w:color="auto" w:fill="ffffff"/>
              </w:rPr>
              <w:t xml:space="preserve">(или) лекарственных форм, склады сырья и полупродуктов д</w:t>
            </w:r>
            <w:r>
              <w:rPr>
                <w:shd w:val="clear" w:color="auto" w:fill="ffffff"/>
              </w:rPr>
              <w:t xml:space="preserve">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r/>
          </w:p>
          <w:p>
            <w:pPr>
              <w:ind w:left="113" w:right="151"/>
              <w:jc w:val="both"/>
              <w:rPr>
                <w:shd w:val="clear" w:color="auto" w:fill="ffffff"/>
              </w:rPr>
            </w:pPr>
            <w:r>
              <w:rPr>
                <w:shd w:val="clear" w:color="auto" w:fill="ffffff"/>
              </w:rPr>
            </w:r>
            <w:r/>
          </w:p>
          <w:p>
            <w:pPr>
              <w:ind w:left="113" w:right="151"/>
              <w:jc w:val="both"/>
              <w:rPr>
                <w:shd w:val="clear" w:color="auto" w:fill="ffffff"/>
              </w:rPr>
            </w:pPr>
            <w:r>
              <w:rPr>
                <w:shd w:val="clear" w:color="auto" w:fill="ffffff"/>
              </w:rPr>
              <w:t xml:space="preserve">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территории без соответствующей обоснованной корректировки границ санитарно-защитной зоны.</w:t>
            </w:r>
            <w:r/>
          </w:p>
          <w:p>
            <w:pPr>
              <w:ind w:left="113" w:right="151"/>
              <w:jc w:val="both"/>
              <w:rPr>
                <w:shd w:val="clear" w:color="auto" w:fill="ffffff"/>
              </w:rPr>
            </w:pPr>
            <w:r>
              <w:rPr>
                <w:shd w:val="clear" w:color="auto" w:fill="ffffff"/>
              </w:rPr>
            </w:r>
            <w:r/>
          </w:p>
        </w:tc>
      </w:tr>
      <w:tr>
        <w:trPr>
          <w:trHeight w:val="20"/>
        </w:trPr>
        <w:tc>
          <w:tcPr>
            <w:tcW w:w="2675" w:type="dxa"/>
            <w:textDirection w:val="lrTb"/>
            <w:noWrap w:val="false"/>
          </w:tcPr>
          <w:p>
            <w:pPr>
              <w:ind w:left="113" w:right="187"/>
            </w:pPr>
            <w:r>
              <w:t xml:space="preserve">[1.2]</w:t>
            </w:r>
            <w:r/>
          </w:p>
          <w:p>
            <w:pPr>
              <w:ind w:left="113" w:right="187"/>
            </w:pPr>
            <w:r>
              <w:t xml:space="preserve">Выращивание зерновых и иных сельскохозяйственных культур</w:t>
            </w:r>
            <w:r/>
          </w:p>
        </w:tc>
        <w:tc>
          <w:tcPr>
            <w:tcW w:w="4536" w:type="dxa"/>
            <w:textDirection w:val="lrTb"/>
            <w:noWrap w:val="false"/>
          </w:tcPr>
          <w:p>
            <w:pPr>
              <w:ind w:left="113" w:right="187"/>
              <w:jc w:val="both"/>
            </w:pPr>
            <w:r>
              <w:t xml:space="preserve">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r/>
          </w:p>
        </w:tc>
        <w:tc>
          <w:tcPr>
            <w:tcW w:w="4696" w:type="dxa"/>
            <w:textDirection w:val="lrTb"/>
            <w:noWrap w:val="false"/>
          </w:tcPr>
          <w:p>
            <w:pPr>
              <w:ind w:left="113" w:right="187"/>
              <w:jc w:val="both"/>
              <w:tabs>
                <w:tab w:val="left" w:pos="1134" w:leader="none"/>
              </w:tabs>
              <w:rPr>
                <w:rFonts w:eastAsia="SimSun"/>
                <w:lang w:eastAsia="zh-CN" w:bidi="ru-RU"/>
              </w:rPr>
            </w:pPr>
            <w:r>
              <w:rPr>
                <w:rFonts w:eastAsia="SimSun"/>
                <w:lang w:eastAsia="zh-CN" w:bidi="ru-RU"/>
              </w:rPr>
              <w:t xml:space="preserve">Минимальная (максимальная) площадь земельного участка - 300 (1000000) кв. м;</w:t>
            </w:r>
            <w:r/>
          </w:p>
          <w:p>
            <w:pPr>
              <w:ind w:left="113" w:right="187"/>
              <w:jc w:val="both"/>
              <w:tabs>
                <w:tab w:val="left" w:pos="1134" w:leader="none"/>
              </w:tabs>
              <w:rPr>
                <w:rFonts w:eastAsia="SimSun"/>
                <w:lang w:eastAsia="zh-CN" w:bidi="ru-RU"/>
              </w:rPr>
            </w:pPr>
            <w:r>
              <w:rPr>
                <w:rFonts w:eastAsia="SimSun"/>
                <w:lang w:eastAsia="zh-CN" w:bidi="ru-RU"/>
              </w:rPr>
              <w:t xml:space="preserve">Предельные параметры не подлежат установлению.</w:t>
            </w:r>
            <w:r/>
          </w:p>
          <w:p>
            <w:pPr>
              <w:ind w:left="113" w:right="187"/>
              <w:jc w:val="both"/>
              <w:tabs>
                <w:tab w:val="left" w:pos="1134" w:leader="none"/>
              </w:tabs>
              <w:rPr>
                <w:rFonts w:eastAsia="SimSun"/>
                <w:lang w:eastAsia="zh-CN" w:bidi="ru-RU"/>
              </w:rPr>
            </w:pPr>
            <w:r>
              <w:rPr>
                <w:rFonts w:eastAsia="SimSun"/>
                <w:lang w:eastAsia="zh-CN" w:bidi="ru-RU"/>
              </w:rPr>
              <w:t xml:space="preserve">Использование земельного участка без права строительства</w:t>
            </w:r>
            <w:r/>
          </w:p>
        </w:tc>
        <w:tc>
          <w:tcPr>
            <w:tcW w:w="3242" w:type="dxa"/>
            <w:vMerge w:val="continue"/>
            <w:textDirection w:val="lrTb"/>
            <w:noWrap w:val="false"/>
          </w:tcPr>
          <w:p>
            <w:pPr>
              <w:ind w:left="113" w:right="151"/>
              <w:jc w:val="both"/>
              <w:tabs>
                <w:tab w:val="left" w:pos="3071" w:leader="none"/>
              </w:tabs>
              <w:rPr>
                <w:shd w:val="clear" w:color="auto" w:fill="ffffff"/>
              </w:rPr>
            </w:pPr>
            <w:r>
              <w:rPr>
                <w:shd w:val="clear" w:color="auto" w:fill="ffffff"/>
              </w:rPr>
            </w:r>
            <w:r/>
          </w:p>
        </w:tc>
      </w:tr>
      <w:tr>
        <w:trPr>
          <w:trHeight w:val="20"/>
        </w:trPr>
        <w:tc>
          <w:tcPr>
            <w:tcW w:w="2675" w:type="dxa"/>
            <w:textDirection w:val="lrTb"/>
            <w:noWrap w:val="false"/>
          </w:tcPr>
          <w:p>
            <w:pPr>
              <w:ind w:left="113" w:right="187"/>
            </w:pPr>
            <w:r>
              <w:t xml:space="preserve">[1.3] </w:t>
            </w:r>
            <w:r/>
          </w:p>
          <w:p>
            <w:pPr>
              <w:ind w:left="113" w:right="187"/>
            </w:pPr>
            <w:r>
              <w:t xml:space="preserve">Овощеводство</w:t>
            </w:r>
            <w:r/>
          </w:p>
        </w:tc>
        <w:tc>
          <w:tcPr>
            <w:tcW w:w="4536" w:type="dxa"/>
            <w:textDirection w:val="lrTb"/>
            <w:noWrap w:val="false"/>
          </w:tcPr>
          <w:p>
            <w:pPr>
              <w:ind w:left="113" w:right="187"/>
              <w:jc w:val="both"/>
            </w:pPr>
            <w:r>
              <w:t xml:space="preserve"> 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r/>
          </w:p>
        </w:tc>
        <w:tc>
          <w:tcPr>
            <w:tcW w:w="4696" w:type="dxa"/>
            <w:textDirection w:val="lrTb"/>
            <w:noWrap w:val="false"/>
          </w:tcPr>
          <w:p>
            <w:pPr>
              <w:ind w:left="113" w:right="187"/>
              <w:jc w:val="both"/>
              <w:tabs>
                <w:tab w:val="left" w:pos="1134" w:leader="none"/>
              </w:tabs>
              <w:rPr>
                <w:rFonts w:eastAsia="SimSun"/>
                <w:lang w:eastAsia="zh-CN" w:bidi="ru-RU"/>
              </w:rPr>
            </w:pPr>
            <w:r>
              <w:rPr>
                <w:rFonts w:eastAsia="SimSun"/>
                <w:lang w:eastAsia="zh-CN" w:bidi="ru-RU"/>
              </w:rPr>
              <w:t xml:space="preserve">Минимальная (максимальная) площадь земельного участка - 300 (1000000) кв. м.</w:t>
            </w:r>
            <w:r/>
          </w:p>
          <w:p>
            <w:pPr>
              <w:ind w:left="113" w:right="187"/>
              <w:jc w:val="both"/>
              <w:tabs>
                <w:tab w:val="left" w:pos="1134" w:leader="none"/>
              </w:tabs>
              <w:rPr>
                <w:rFonts w:eastAsia="SimSun"/>
                <w:lang w:eastAsia="zh-CN" w:bidi="ru-RU"/>
              </w:rPr>
            </w:pPr>
            <w:r>
              <w:rPr>
                <w:rFonts w:eastAsia="SimSun"/>
                <w:lang w:eastAsia="zh-CN" w:bidi="ru-RU"/>
              </w:rPr>
              <w:t xml:space="preserve">максимальный процент застройки в границах земельного участка – 50%;</w:t>
            </w:r>
            <w:r/>
          </w:p>
          <w:p>
            <w:pPr>
              <w:ind w:left="113" w:right="187"/>
              <w:jc w:val="both"/>
              <w:tabs>
                <w:tab w:val="left" w:pos="1134" w:leader="none"/>
              </w:tabs>
              <w:rPr>
                <w:rFonts w:eastAsia="SimSun"/>
                <w:lang w:eastAsia="zh-CN" w:bidi="ru-RU"/>
              </w:rPr>
            </w:pPr>
            <w:r>
              <w:rPr>
                <w:rFonts w:eastAsia="SimSun"/>
                <w:lang w:eastAsia="zh-CN" w:bidi="ru-RU"/>
              </w:rPr>
              <w:t xml:space="preserve">предельное количество надземных этажей зданий – 2;</w:t>
            </w:r>
            <w:r/>
          </w:p>
          <w:p>
            <w:pPr>
              <w:ind w:left="113" w:right="187"/>
              <w:jc w:val="both"/>
              <w:rPr>
                <w:lang w:eastAsia="ru-RU" w:bidi="ru-RU"/>
              </w:rPr>
            </w:pPr>
            <w:r>
              <w:rPr>
                <w:rFonts w:eastAsia="SimSun"/>
                <w:lang w:eastAsia="zh-CN" w:bidi="ru-RU"/>
              </w:rPr>
              <w:t xml:space="preserve">предельная высота </w:t>
            </w:r>
            <w:r>
              <w:rPr>
                <w:lang w:eastAsia="ru-RU" w:bidi="ru-RU"/>
              </w:rPr>
              <w:t xml:space="preserve">зданий, строений, </w:t>
            </w:r>
            <w:r>
              <w:rPr>
                <w:rFonts w:eastAsia="SimSun"/>
                <w:lang w:eastAsia="zh-CN" w:bidi="ru-RU"/>
              </w:rPr>
              <w:t xml:space="preserve">сооружений</w:t>
            </w:r>
            <w:r>
              <w:rPr>
                <w:lang w:eastAsia="ru-RU" w:bidi="ru-RU"/>
              </w:rPr>
              <w:t xml:space="preserve"> – 15 м;</w:t>
            </w:r>
            <w:r/>
          </w:p>
          <w:p>
            <w:pPr>
              <w:ind w:left="113" w:right="187"/>
              <w:jc w:val="both"/>
              <w:rPr>
                <w:lang w:eastAsia="ru-RU" w:bidi="ru-RU"/>
              </w:rPr>
            </w:pPr>
            <w:r>
              <w:rPr>
                <w:rFonts w:eastAsia="SimSun"/>
                <w:lang w:eastAsia="zh-CN" w:bidi="ru-RU"/>
              </w:rPr>
              <w:t xml:space="preserve">Минимальный отступ зданий, строений и сооружений от красной линии улиц - 5 м. от иных границ 3 м.</w:t>
            </w:r>
            <w:r/>
          </w:p>
        </w:tc>
        <w:tc>
          <w:tcPr>
            <w:tcW w:w="3242" w:type="dxa"/>
            <w:vMerge w:val="continue"/>
            <w:textDirection w:val="lrTb"/>
            <w:noWrap w:val="false"/>
          </w:tcPr>
          <w:p>
            <w:pPr>
              <w:ind w:left="113" w:right="151"/>
              <w:jc w:val="both"/>
              <w:tabs>
                <w:tab w:val="left" w:pos="3071" w:leader="none"/>
              </w:tabs>
              <w:rPr>
                <w:shd w:val="clear" w:color="auto" w:fill="ffffff"/>
              </w:rPr>
            </w:pPr>
            <w:r>
              <w:rPr>
                <w:shd w:val="clear" w:color="auto" w:fill="ffffff"/>
              </w:rPr>
            </w:r>
            <w:r/>
          </w:p>
        </w:tc>
      </w:tr>
      <w:tr>
        <w:trPr>
          <w:trHeight w:val="20"/>
        </w:trPr>
        <w:tc>
          <w:tcPr>
            <w:tcW w:w="2675" w:type="dxa"/>
            <w:textDirection w:val="lrTb"/>
            <w:noWrap w:val="false"/>
          </w:tcPr>
          <w:p>
            <w:pPr>
              <w:ind w:left="113" w:right="187"/>
            </w:pPr>
            <w:r>
              <w:t xml:space="preserve">[1.4]</w:t>
            </w:r>
            <w:r/>
          </w:p>
          <w:p>
            <w:pPr>
              <w:ind w:left="113" w:right="187"/>
            </w:pPr>
            <w:r>
              <w:t xml:space="preserve">Выращивание тонизирующих, лекарственных, цветочных культур</w:t>
            </w:r>
            <w:r/>
          </w:p>
        </w:tc>
        <w:tc>
          <w:tcPr>
            <w:tcW w:w="4536" w:type="dxa"/>
            <w:textDirection w:val="lrTb"/>
            <w:noWrap w:val="false"/>
          </w:tcPr>
          <w:p>
            <w:pPr>
              <w:ind w:left="113" w:right="187"/>
              <w:jc w:val="both"/>
            </w:pPr>
            <w:r>
              <w:t xml:space="preserve">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r/>
          </w:p>
        </w:tc>
        <w:tc>
          <w:tcPr>
            <w:tcW w:w="4696" w:type="dxa"/>
            <w:textDirection w:val="lrTb"/>
            <w:noWrap w:val="false"/>
          </w:tcPr>
          <w:p>
            <w:pPr>
              <w:ind w:left="113" w:right="187"/>
              <w:jc w:val="both"/>
              <w:tabs>
                <w:tab w:val="left" w:pos="1134" w:leader="none"/>
              </w:tabs>
              <w:rPr>
                <w:rFonts w:eastAsia="SimSun"/>
                <w:lang w:eastAsia="zh-CN" w:bidi="ru-RU"/>
              </w:rPr>
            </w:pPr>
            <w:r>
              <w:rPr>
                <w:rFonts w:eastAsia="SimSun"/>
                <w:lang w:eastAsia="zh-CN" w:bidi="ru-RU"/>
              </w:rPr>
              <w:t xml:space="preserve">Минимальная (максимальная) площадь земельного участка - 300 (1000000) кв. м;</w:t>
            </w:r>
            <w:r/>
          </w:p>
          <w:p>
            <w:pPr>
              <w:ind w:left="113" w:right="187"/>
              <w:jc w:val="both"/>
              <w:tabs>
                <w:tab w:val="left" w:pos="1134" w:leader="none"/>
              </w:tabs>
              <w:rPr>
                <w:rFonts w:eastAsia="SimSun"/>
                <w:lang w:eastAsia="zh-CN" w:bidi="ru-RU"/>
              </w:rPr>
            </w:pPr>
            <w:r>
              <w:rPr>
                <w:rFonts w:eastAsia="SimSun"/>
                <w:lang w:eastAsia="zh-CN" w:bidi="ru-RU"/>
              </w:rPr>
              <w:t xml:space="preserve">Предельные параметры не подлежат установлению.</w:t>
            </w:r>
            <w:r/>
          </w:p>
          <w:p>
            <w:pPr>
              <w:ind w:left="113" w:right="187"/>
              <w:jc w:val="both"/>
              <w:tabs>
                <w:tab w:val="left" w:pos="1134" w:leader="none"/>
              </w:tabs>
              <w:rPr>
                <w:rFonts w:eastAsia="SimSun"/>
                <w:lang w:eastAsia="zh-CN" w:bidi="ru-RU"/>
              </w:rPr>
            </w:pPr>
            <w:r>
              <w:rPr>
                <w:rFonts w:eastAsia="SimSun"/>
                <w:lang w:eastAsia="zh-CN" w:bidi="ru-RU"/>
              </w:rPr>
              <w:t xml:space="preserve">Использование земельного участка без права строительства</w:t>
            </w:r>
            <w:r/>
          </w:p>
        </w:tc>
        <w:tc>
          <w:tcPr>
            <w:tcW w:w="3242" w:type="dxa"/>
            <w:vMerge w:val="continue"/>
            <w:textDirection w:val="lrTb"/>
            <w:noWrap w:val="false"/>
          </w:tcPr>
          <w:p>
            <w:pPr>
              <w:ind w:left="113" w:right="151"/>
              <w:jc w:val="both"/>
              <w:tabs>
                <w:tab w:val="left" w:pos="3071" w:leader="none"/>
              </w:tabs>
              <w:rPr>
                <w:shd w:val="clear" w:color="auto" w:fill="ffffff"/>
              </w:rPr>
            </w:pPr>
            <w:r>
              <w:rPr>
                <w:shd w:val="clear" w:color="auto" w:fill="ffffff"/>
              </w:rPr>
            </w:r>
            <w:r/>
          </w:p>
        </w:tc>
      </w:tr>
      <w:tr>
        <w:trPr>
          <w:trHeight w:val="20"/>
        </w:trPr>
        <w:tc>
          <w:tcPr>
            <w:tcW w:w="2675" w:type="dxa"/>
            <w:textDirection w:val="lrTb"/>
            <w:noWrap w:val="false"/>
          </w:tcPr>
          <w:p>
            <w:pPr>
              <w:ind w:left="113" w:right="187"/>
            </w:pPr>
            <w:r>
              <w:t xml:space="preserve">[1.5] </w:t>
            </w:r>
            <w:r/>
          </w:p>
          <w:p>
            <w:pPr>
              <w:ind w:left="113" w:right="187"/>
            </w:pPr>
            <w:r>
              <w:t xml:space="preserve">Садоводство</w:t>
            </w:r>
            <w:r/>
          </w:p>
        </w:tc>
        <w:tc>
          <w:tcPr>
            <w:tcW w:w="4536" w:type="dxa"/>
            <w:textDirection w:val="lrTb"/>
            <w:noWrap w:val="false"/>
          </w:tcPr>
          <w:p>
            <w:pPr>
              <w:ind w:left="113" w:right="187"/>
              <w:jc w:val="both"/>
            </w:pPr>
            <w:r>
              <w:t xml:space="preserve">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w:t>
            </w:r>
            <w:r>
              <w:t xml:space="preserve">многолетних культур</w:t>
            </w:r>
            <w:r/>
          </w:p>
        </w:tc>
        <w:tc>
          <w:tcPr>
            <w:tcW w:w="4696" w:type="dxa"/>
            <w:textDirection w:val="lrTb"/>
            <w:noWrap w:val="false"/>
          </w:tcPr>
          <w:p>
            <w:pPr>
              <w:ind w:left="113" w:right="187"/>
              <w:jc w:val="both"/>
              <w:tabs>
                <w:tab w:val="left" w:pos="1134" w:leader="none"/>
              </w:tabs>
              <w:rPr>
                <w:rFonts w:eastAsia="SimSun"/>
                <w:lang w:eastAsia="zh-CN" w:bidi="ru-RU"/>
              </w:rPr>
            </w:pPr>
            <w:r>
              <w:rPr>
                <w:rFonts w:eastAsia="SimSun"/>
                <w:lang w:eastAsia="zh-CN" w:bidi="ru-RU"/>
              </w:rPr>
              <w:t xml:space="preserve">Минимальная (максимальная) площадь земельного участка - 300 (1000000) кв. м;</w:t>
            </w:r>
            <w:r/>
          </w:p>
          <w:p>
            <w:pPr>
              <w:ind w:left="113" w:right="187"/>
              <w:jc w:val="both"/>
              <w:tabs>
                <w:tab w:val="left" w:pos="1134" w:leader="none"/>
              </w:tabs>
              <w:rPr>
                <w:rFonts w:eastAsia="SimSun"/>
                <w:lang w:eastAsia="zh-CN" w:bidi="ru-RU"/>
              </w:rPr>
            </w:pPr>
            <w:r>
              <w:rPr>
                <w:rFonts w:eastAsia="SimSun"/>
                <w:lang w:eastAsia="zh-CN" w:bidi="ru-RU"/>
              </w:rPr>
              <w:t xml:space="preserve">Предельные параметры не подлежат установлению.</w:t>
            </w:r>
            <w:r/>
          </w:p>
          <w:p>
            <w:pPr>
              <w:ind w:left="113" w:right="187"/>
              <w:jc w:val="both"/>
              <w:tabs>
                <w:tab w:val="left" w:pos="1134" w:leader="none"/>
              </w:tabs>
              <w:rPr>
                <w:rFonts w:eastAsia="SimSun"/>
                <w:lang w:eastAsia="zh-CN" w:bidi="ru-RU"/>
              </w:rPr>
            </w:pPr>
            <w:r>
              <w:rPr>
                <w:rFonts w:eastAsia="SimSun"/>
                <w:lang w:eastAsia="zh-CN" w:bidi="ru-RU"/>
              </w:rPr>
              <w:t xml:space="preserve">Использование земельного участка без права строительства</w:t>
            </w:r>
            <w:r/>
          </w:p>
        </w:tc>
        <w:tc>
          <w:tcPr>
            <w:tcW w:w="3242" w:type="dxa"/>
            <w:vMerge w:val="continue"/>
            <w:textDirection w:val="lrTb"/>
            <w:noWrap w:val="false"/>
          </w:tcPr>
          <w:p>
            <w:pPr>
              <w:ind w:left="113" w:right="151"/>
              <w:jc w:val="both"/>
              <w:tabs>
                <w:tab w:val="left" w:pos="3071" w:leader="none"/>
              </w:tabs>
              <w:rPr>
                <w:shd w:val="clear" w:color="auto" w:fill="ffffff"/>
              </w:rPr>
            </w:pPr>
            <w:r>
              <w:rPr>
                <w:shd w:val="clear" w:color="auto" w:fill="ffffff"/>
              </w:rPr>
            </w:r>
            <w:r/>
          </w:p>
        </w:tc>
      </w:tr>
      <w:tr>
        <w:trPr>
          <w:trHeight w:val="20"/>
        </w:trPr>
        <w:tc>
          <w:tcPr>
            <w:tcW w:w="2675" w:type="dxa"/>
            <w:textDirection w:val="lrTb"/>
            <w:noWrap w:val="false"/>
          </w:tcPr>
          <w:p>
            <w:pPr>
              <w:ind w:left="113" w:right="187"/>
              <w:rPr>
                <w:lang w:val="en-US"/>
              </w:rPr>
            </w:pPr>
            <w:r>
              <w:rPr>
                <w:lang w:val="en-US"/>
              </w:rPr>
              <w:t xml:space="preserve">[1.5.1]</w:t>
            </w:r>
            <w:r/>
          </w:p>
          <w:p>
            <w:pPr>
              <w:ind w:left="113" w:right="187"/>
              <w:rPr>
                <w:lang w:val="en-US"/>
              </w:rPr>
            </w:pPr>
            <w:r>
              <w:rPr>
                <w:lang w:val="en-US"/>
              </w:rPr>
              <w:t xml:space="preserve">Виноградарство</w:t>
            </w:r>
            <w:r/>
          </w:p>
        </w:tc>
        <w:tc>
          <w:tcPr>
            <w:tcW w:w="4536" w:type="dxa"/>
            <w:textDirection w:val="lrTb"/>
            <w:noWrap w:val="false"/>
          </w:tcPr>
          <w:p>
            <w:pPr>
              <w:ind w:left="113" w:right="187"/>
              <w:jc w:val="both"/>
            </w:pPr>
            <w:r>
              <w:t xml:space="preserve">Возделывание винограда на виноградопригодных землях</w:t>
            </w:r>
            <w:r/>
          </w:p>
        </w:tc>
        <w:tc>
          <w:tcPr>
            <w:tcW w:w="4696" w:type="dxa"/>
            <w:textDirection w:val="lrTb"/>
            <w:noWrap w:val="false"/>
          </w:tcPr>
          <w:p>
            <w:pPr>
              <w:ind w:left="113" w:right="187"/>
              <w:jc w:val="both"/>
              <w:tabs>
                <w:tab w:val="left" w:pos="1134" w:leader="none"/>
              </w:tabs>
              <w:rPr>
                <w:rFonts w:eastAsia="SimSun"/>
                <w:lang w:eastAsia="zh-CN" w:bidi="ru-RU"/>
              </w:rPr>
            </w:pPr>
            <w:r>
              <w:rPr>
                <w:rFonts w:eastAsia="SimSun"/>
                <w:lang w:eastAsia="zh-CN" w:bidi="ru-RU"/>
              </w:rPr>
              <w:t xml:space="preserve">Минимальная (максимальная) площадь земельного участка - 300 (1000000) кв. м;</w:t>
            </w:r>
            <w:r/>
          </w:p>
          <w:p>
            <w:pPr>
              <w:ind w:left="113" w:right="187"/>
              <w:jc w:val="both"/>
              <w:tabs>
                <w:tab w:val="left" w:pos="1134" w:leader="none"/>
              </w:tabs>
              <w:rPr>
                <w:rFonts w:eastAsia="SimSun"/>
                <w:lang w:eastAsia="zh-CN" w:bidi="ru-RU"/>
              </w:rPr>
            </w:pPr>
            <w:r>
              <w:rPr>
                <w:rFonts w:eastAsia="SimSun"/>
                <w:lang w:eastAsia="zh-CN" w:bidi="ru-RU"/>
              </w:rPr>
              <w:t xml:space="preserve">Предельные параметры не подлежат установлению.</w:t>
            </w:r>
            <w:r/>
          </w:p>
          <w:p>
            <w:pPr>
              <w:ind w:left="113" w:right="187"/>
              <w:jc w:val="both"/>
              <w:tabs>
                <w:tab w:val="left" w:pos="1134" w:leader="none"/>
              </w:tabs>
              <w:rPr>
                <w:rFonts w:eastAsia="SimSun"/>
                <w:lang w:eastAsia="zh-CN" w:bidi="ru-RU"/>
              </w:rPr>
            </w:pPr>
            <w:r>
              <w:rPr>
                <w:rFonts w:eastAsia="SimSun"/>
                <w:lang w:eastAsia="zh-CN" w:bidi="ru-RU"/>
              </w:rPr>
              <w:t xml:space="preserve">Использование земельного участка без права строительства</w:t>
            </w:r>
            <w:r/>
          </w:p>
        </w:tc>
        <w:tc>
          <w:tcPr>
            <w:tcW w:w="3242" w:type="dxa"/>
            <w:vMerge w:val="continue"/>
            <w:textDirection w:val="lrTb"/>
            <w:noWrap w:val="false"/>
          </w:tcPr>
          <w:p>
            <w:pPr>
              <w:ind w:left="113" w:right="151"/>
              <w:jc w:val="both"/>
              <w:tabs>
                <w:tab w:val="left" w:pos="3071" w:leader="none"/>
              </w:tabs>
              <w:rPr>
                <w:shd w:val="clear" w:color="auto" w:fill="ffffff"/>
              </w:rPr>
            </w:pPr>
            <w:r>
              <w:rPr>
                <w:shd w:val="clear" w:color="auto" w:fill="ffffff"/>
              </w:rPr>
            </w:r>
            <w:r/>
          </w:p>
        </w:tc>
      </w:tr>
      <w:tr>
        <w:trPr>
          <w:trHeight w:val="20"/>
        </w:trPr>
        <w:tc>
          <w:tcPr>
            <w:tcW w:w="2675" w:type="dxa"/>
            <w:textDirection w:val="lrTb"/>
            <w:noWrap w:val="false"/>
          </w:tcPr>
          <w:p>
            <w:pPr>
              <w:ind w:left="113" w:right="187"/>
              <w:rPr>
                <w:lang w:val="en-US"/>
              </w:rPr>
            </w:pPr>
            <w:r>
              <w:rPr>
                <w:lang w:val="en-US"/>
              </w:rPr>
              <w:t xml:space="preserve">[1.6]</w:t>
            </w:r>
            <w:r/>
          </w:p>
          <w:p>
            <w:pPr>
              <w:ind w:left="113" w:right="187"/>
              <w:rPr>
                <w:lang w:val="en-US"/>
              </w:rPr>
            </w:pPr>
            <w:r>
              <w:rPr>
                <w:lang w:val="en-US"/>
              </w:rPr>
              <w:t xml:space="preserve">Выращивание</w:t>
            </w:r>
            <w:r>
              <w:t xml:space="preserve"> </w:t>
            </w:r>
            <w:r>
              <w:rPr>
                <w:lang w:val="en-US"/>
              </w:rPr>
              <w:t xml:space="preserve">льна и конопли</w:t>
            </w:r>
            <w:r/>
          </w:p>
        </w:tc>
        <w:tc>
          <w:tcPr>
            <w:tcW w:w="4536" w:type="dxa"/>
            <w:textDirection w:val="lrTb"/>
            <w:noWrap w:val="false"/>
          </w:tcPr>
          <w:p>
            <w:pPr>
              <w:ind w:left="113" w:right="187"/>
              <w:jc w:val="both"/>
            </w:pPr>
            <w:r>
              <w:t xml:space="preserve">Осуществление хозяйственной деятельности, в том числе на сельскохозяйственных угодьях, связанной с выращиванием льна, конопли</w:t>
            </w:r>
            <w:r/>
          </w:p>
        </w:tc>
        <w:tc>
          <w:tcPr>
            <w:tcW w:w="4696" w:type="dxa"/>
            <w:textDirection w:val="lrTb"/>
            <w:noWrap w:val="false"/>
          </w:tcPr>
          <w:p>
            <w:pPr>
              <w:ind w:left="113" w:right="187"/>
              <w:jc w:val="both"/>
              <w:tabs>
                <w:tab w:val="left" w:pos="1134" w:leader="none"/>
              </w:tabs>
              <w:rPr>
                <w:rFonts w:eastAsia="SimSun"/>
                <w:lang w:eastAsia="zh-CN" w:bidi="ru-RU"/>
              </w:rPr>
            </w:pPr>
            <w:r>
              <w:rPr>
                <w:rFonts w:eastAsia="SimSun"/>
                <w:lang w:eastAsia="zh-CN" w:bidi="ru-RU"/>
              </w:rPr>
              <w:t xml:space="preserve">Минимальная (максимальная) площадь земельного участка - 300 (1000000) кв. м;</w:t>
            </w:r>
            <w:r/>
          </w:p>
          <w:p>
            <w:pPr>
              <w:ind w:left="113" w:right="187"/>
              <w:jc w:val="both"/>
              <w:tabs>
                <w:tab w:val="left" w:pos="1134" w:leader="none"/>
              </w:tabs>
              <w:rPr>
                <w:rFonts w:eastAsia="SimSun"/>
                <w:lang w:eastAsia="zh-CN" w:bidi="ru-RU"/>
              </w:rPr>
            </w:pPr>
            <w:r>
              <w:rPr>
                <w:rFonts w:eastAsia="SimSun"/>
                <w:lang w:eastAsia="zh-CN" w:bidi="ru-RU"/>
              </w:rPr>
              <w:t xml:space="preserve">Предельные параметры не подлежат установлению.</w:t>
            </w:r>
            <w:r/>
          </w:p>
          <w:p>
            <w:pPr>
              <w:ind w:left="113" w:right="187"/>
              <w:jc w:val="both"/>
              <w:tabs>
                <w:tab w:val="left" w:pos="1134" w:leader="none"/>
              </w:tabs>
              <w:rPr>
                <w:rFonts w:eastAsia="SimSun"/>
                <w:lang w:eastAsia="zh-CN" w:bidi="ru-RU"/>
              </w:rPr>
            </w:pPr>
            <w:r>
              <w:rPr>
                <w:rFonts w:eastAsia="SimSun"/>
                <w:lang w:eastAsia="zh-CN" w:bidi="ru-RU"/>
              </w:rPr>
              <w:t xml:space="preserve">Использование земельного участка без права строительства</w:t>
            </w:r>
            <w:r/>
          </w:p>
        </w:tc>
        <w:tc>
          <w:tcPr>
            <w:tcW w:w="3242" w:type="dxa"/>
            <w:vMerge w:val="continue"/>
            <w:textDirection w:val="lrTb"/>
            <w:noWrap w:val="false"/>
          </w:tcPr>
          <w:p>
            <w:pPr>
              <w:ind w:left="113" w:right="151"/>
              <w:jc w:val="both"/>
              <w:tabs>
                <w:tab w:val="left" w:pos="3071" w:leader="none"/>
              </w:tabs>
              <w:rPr>
                <w:shd w:val="clear" w:color="auto" w:fill="ffffff"/>
              </w:rPr>
            </w:pPr>
            <w:r>
              <w:rPr>
                <w:shd w:val="clear" w:color="auto" w:fill="ffffff"/>
              </w:rPr>
            </w:r>
            <w:r/>
          </w:p>
        </w:tc>
      </w:tr>
      <w:tr>
        <w:trPr>
          <w:trHeight w:val="20"/>
        </w:trPr>
        <w:tc>
          <w:tcPr>
            <w:tcW w:w="2675" w:type="dxa"/>
            <w:textDirection w:val="lrTb"/>
            <w:noWrap w:val="false"/>
          </w:tcPr>
          <w:p>
            <w:pPr>
              <w:ind w:left="113" w:right="187"/>
              <w:rPr>
                <w:lang w:val="en-US"/>
              </w:rPr>
            </w:pPr>
            <w:r>
              <w:rPr>
                <w:lang w:val="en-US"/>
              </w:rPr>
              <w:t xml:space="preserve">[1.7]</w:t>
            </w:r>
            <w:r/>
          </w:p>
          <w:p>
            <w:pPr>
              <w:ind w:left="113" w:right="187"/>
              <w:rPr>
                <w:lang w:val="en-US"/>
              </w:rPr>
            </w:pPr>
            <w:r>
              <w:rPr>
                <w:lang w:val="en-US"/>
              </w:rPr>
              <w:t xml:space="preserve">Животноводство</w:t>
            </w:r>
            <w:r/>
          </w:p>
        </w:tc>
        <w:tc>
          <w:tcPr>
            <w:tcW w:w="4536" w:type="dxa"/>
            <w:textDirection w:val="lrTb"/>
            <w:noWrap w:val="false"/>
          </w:tcPr>
          <w:p>
            <w:pPr>
              <w:ind w:left="113" w:right="187"/>
              <w:jc w:val="both"/>
            </w:pPr>
            <w:r>
              <w:t xml:space="preserve">Осуществление хозяйстве</w:t>
            </w:r>
            <w:r>
              <w:t xml:space="preserve">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w:t>
            </w:r>
            <w:r/>
          </w:p>
          <w:p>
            <w:pPr>
              <w:ind w:left="113" w:right="187"/>
              <w:jc w:val="both"/>
            </w:pPr>
            <w:r>
              <w:t xml:space="preserve">используемых для содержания и разведения </w:t>
            </w:r>
            <w:r>
              <w:t xml:space="preserve">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r/>
          </w:p>
        </w:tc>
        <w:tc>
          <w:tcPr>
            <w:tcW w:w="4696" w:type="dxa"/>
            <w:textDirection w:val="lrTb"/>
            <w:noWrap w:val="false"/>
          </w:tcPr>
          <w:p>
            <w:pPr>
              <w:ind w:left="113" w:right="187"/>
              <w:jc w:val="both"/>
              <w:tabs>
                <w:tab w:val="left" w:pos="1134" w:leader="none"/>
              </w:tabs>
              <w:rPr>
                <w:rFonts w:eastAsia="SimSun"/>
                <w:lang w:eastAsia="zh-CN" w:bidi="ru-RU"/>
              </w:rPr>
            </w:pPr>
            <w:r>
              <w:rPr>
                <w:rFonts w:eastAsia="SimSun"/>
                <w:lang w:eastAsia="zh-CN" w:bidi="ru-RU"/>
              </w:rPr>
              <w:t xml:space="preserve">Минимальная (максимальная) площадь земельного участка - 1000 (1000000) кв. м;</w:t>
            </w:r>
            <w:r/>
          </w:p>
          <w:p>
            <w:pPr>
              <w:ind w:left="113" w:right="187"/>
              <w:jc w:val="both"/>
              <w:tabs>
                <w:tab w:val="left" w:pos="1134" w:leader="none"/>
              </w:tabs>
              <w:rPr>
                <w:rFonts w:eastAsia="SimSun"/>
                <w:lang w:eastAsia="zh-CN" w:bidi="ru-RU"/>
              </w:rPr>
            </w:pPr>
            <w:r>
              <w:rPr>
                <w:rFonts w:eastAsia="SimSun"/>
                <w:lang w:eastAsia="zh-CN" w:bidi="ru-RU"/>
              </w:rPr>
              <w:t xml:space="preserve">максимальный процент застройки в границах земельного участка – 50%;</w:t>
            </w:r>
            <w:r/>
          </w:p>
          <w:p>
            <w:pPr>
              <w:ind w:left="113" w:right="187"/>
              <w:jc w:val="both"/>
              <w:tabs>
                <w:tab w:val="left" w:pos="1134" w:leader="none"/>
              </w:tabs>
              <w:rPr>
                <w:rFonts w:eastAsia="SimSun"/>
                <w:lang w:eastAsia="zh-CN" w:bidi="ru-RU"/>
              </w:rPr>
            </w:pPr>
            <w:r>
              <w:rPr>
                <w:rFonts w:eastAsia="SimSun"/>
                <w:lang w:eastAsia="zh-CN" w:bidi="ru-RU"/>
              </w:rPr>
              <w:t xml:space="preserve">предельное количество надземных этажей зданий – 2;</w:t>
            </w:r>
            <w:r/>
          </w:p>
          <w:p>
            <w:pPr>
              <w:ind w:left="113" w:right="187"/>
              <w:jc w:val="both"/>
              <w:rPr>
                <w:lang w:eastAsia="ru-RU" w:bidi="ru-RU"/>
              </w:rPr>
            </w:pPr>
            <w:r>
              <w:rPr>
                <w:rFonts w:eastAsia="SimSun"/>
                <w:lang w:eastAsia="zh-CN" w:bidi="ru-RU"/>
              </w:rPr>
              <w:t xml:space="preserve">предельная высота </w:t>
            </w:r>
            <w:r>
              <w:rPr>
                <w:lang w:eastAsia="ru-RU" w:bidi="ru-RU"/>
              </w:rPr>
              <w:t xml:space="preserve">зданий, строений, </w:t>
            </w:r>
            <w:r>
              <w:rPr>
                <w:rFonts w:eastAsia="SimSun"/>
                <w:lang w:eastAsia="zh-CN" w:bidi="ru-RU"/>
              </w:rPr>
              <w:t xml:space="preserve">сооружений</w:t>
            </w:r>
            <w:r>
              <w:rPr>
                <w:lang w:eastAsia="ru-RU" w:bidi="ru-RU"/>
              </w:rPr>
              <w:t xml:space="preserve"> – 15 м;</w:t>
            </w:r>
            <w:r/>
          </w:p>
          <w:p>
            <w:pPr>
              <w:ind w:left="113" w:right="187"/>
              <w:jc w:val="both"/>
              <w:rPr>
                <w:rFonts w:eastAsia="SimSun"/>
                <w:lang w:eastAsia="zh-CN" w:bidi="ru-RU"/>
              </w:rPr>
            </w:pPr>
            <w:r>
              <w:rPr>
                <w:rFonts w:eastAsia="SimSun"/>
                <w:lang w:eastAsia="zh-CN" w:bidi="ru-RU"/>
              </w:rPr>
              <w:t xml:space="preserve">Минимальный отступ зданий, строений и сооружений от красной линии улиц - 5 м. от иных границ 3 м.</w:t>
            </w:r>
            <w:r/>
          </w:p>
          <w:p>
            <w:pPr>
              <w:ind w:left="113" w:right="187"/>
              <w:jc w:val="both"/>
              <w:tabs>
                <w:tab w:val="left" w:pos="1134" w:leader="none"/>
              </w:tabs>
              <w:rPr>
                <w:rFonts w:eastAsia="SimSun"/>
                <w:lang w:eastAsia="zh-CN" w:bidi="ru-RU"/>
              </w:rPr>
            </w:pPr>
            <w:r>
              <w:rPr>
                <w:rFonts w:eastAsia="SimSun"/>
                <w:lang w:eastAsia="zh-CN" w:bidi="ru-RU"/>
              </w:rPr>
            </w:r>
            <w:r/>
          </w:p>
        </w:tc>
        <w:tc>
          <w:tcPr>
            <w:tcW w:w="3242" w:type="dxa"/>
            <w:vMerge w:val="continue"/>
            <w:textDirection w:val="lrTb"/>
            <w:noWrap w:val="false"/>
          </w:tcPr>
          <w:p>
            <w:pPr>
              <w:ind w:left="113" w:right="151"/>
              <w:jc w:val="both"/>
              <w:tabs>
                <w:tab w:val="left" w:pos="3071" w:leader="none"/>
              </w:tabs>
              <w:rPr>
                <w:shd w:val="clear" w:color="auto" w:fill="ffffff"/>
              </w:rPr>
            </w:pPr>
            <w:r>
              <w:rPr>
                <w:shd w:val="clear" w:color="auto" w:fill="ffffff"/>
              </w:rPr>
            </w:r>
            <w:r/>
          </w:p>
        </w:tc>
      </w:tr>
      <w:tr>
        <w:trPr>
          <w:trHeight w:val="20"/>
        </w:trPr>
        <w:tc>
          <w:tcPr>
            <w:tcW w:w="2675" w:type="dxa"/>
            <w:textDirection w:val="lrTb"/>
            <w:noWrap w:val="false"/>
          </w:tcPr>
          <w:p>
            <w:pPr>
              <w:ind w:left="113" w:right="187"/>
            </w:pPr>
            <w:r>
              <w:t xml:space="preserve">[1.8] </w:t>
            </w:r>
            <w:r/>
          </w:p>
          <w:p>
            <w:pPr>
              <w:ind w:left="113" w:right="187"/>
            </w:pPr>
            <w:r>
              <w:t xml:space="preserve">Скотоводство</w:t>
            </w:r>
            <w:r/>
          </w:p>
        </w:tc>
        <w:tc>
          <w:tcPr>
            <w:tcW w:w="4536" w:type="dxa"/>
            <w:textDirection w:val="lrTb"/>
            <w:noWrap w:val="false"/>
          </w:tcPr>
          <w:p>
            <w:pPr>
              <w:ind w:left="113" w:right="187"/>
              <w:jc w:val="both"/>
            </w:pPr>
            <w: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r/>
          </w:p>
          <w:p>
            <w:pPr>
              <w:ind w:left="113" w:right="187"/>
              <w:jc w:val="both"/>
            </w:pPr>
            <w:r>
              <w:t xml:space="preserve">сенокошен</w:t>
            </w:r>
            <w:r>
              <w:t xml:space="preserve">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r/>
          </w:p>
        </w:tc>
        <w:tc>
          <w:tcPr>
            <w:tcW w:w="4696" w:type="dxa"/>
            <w:textDirection w:val="lrTb"/>
            <w:noWrap w:val="false"/>
          </w:tcPr>
          <w:p>
            <w:pPr>
              <w:ind w:left="113" w:right="187"/>
              <w:jc w:val="both"/>
              <w:tabs>
                <w:tab w:val="left" w:pos="1134" w:leader="none"/>
              </w:tabs>
              <w:rPr>
                <w:rFonts w:eastAsia="SimSun"/>
                <w:lang w:eastAsia="zh-CN" w:bidi="ru-RU"/>
              </w:rPr>
            </w:pPr>
            <w:r>
              <w:rPr>
                <w:rFonts w:eastAsia="SimSun"/>
                <w:lang w:eastAsia="zh-CN" w:bidi="ru-RU"/>
              </w:rPr>
              <w:t xml:space="preserve">Минимальная (максимальная) площадь земельного участка - 1000 (1000000) кв. м;</w:t>
            </w:r>
            <w:r/>
          </w:p>
          <w:p>
            <w:pPr>
              <w:ind w:left="113" w:right="187"/>
              <w:jc w:val="both"/>
              <w:tabs>
                <w:tab w:val="left" w:pos="1134" w:leader="none"/>
              </w:tabs>
              <w:rPr>
                <w:rFonts w:eastAsia="SimSun"/>
                <w:lang w:eastAsia="zh-CN" w:bidi="ru-RU"/>
              </w:rPr>
            </w:pPr>
            <w:r>
              <w:rPr>
                <w:rFonts w:eastAsia="SimSun"/>
                <w:lang w:eastAsia="zh-CN" w:bidi="ru-RU"/>
              </w:rPr>
              <w:t xml:space="preserve">максимальный процент застройки в границах земельного участка – 50%;</w:t>
            </w:r>
            <w:r/>
          </w:p>
          <w:p>
            <w:pPr>
              <w:ind w:left="113" w:right="187"/>
              <w:jc w:val="both"/>
              <w:tabs>
                <w:tab w:val="left" w:pos="1134" w:leader="none"/>
              </w:tabs>
              <w:rPr>
                <w:rFonts w:eastAsia="SimSun"/>
                <w:lang w:eastAsia="zh-CN" w:bidi="ru-RU"/>
              </w:rPr>
            </w:pPr>
            <w:r>
              <w:rPr>
                <w:rFonts w:eastAsia="SimSun"/>
                <w:lang w:eastAsia="zh-CN" w:bidi="ru-RU"/>
              </w:rPr>
              <w:t xml:space="preserve">предельное количество надземных этажей зданий – 2;</w:t>
            </w:r>
            <w:r/>
          </w:p>
          <w:p>
            <w:pPr>
              <w:ind w:left="113" w:right="187"/>
              <w:jc w:val="both"/>
              <w:rPr>
                <w:lang w:eastAsia="ru-RU" w:bidi="ru-RU"/>
              </w:rPr>
            </w:pPr>
            <w:r>
              <w:rPr>
                <w:rFonts w:eastAsia="SimSun"/>
                <w:lang w:eastAsia="zh-CN" w:bidi="ru-RU"/>
              </w:rPr>
              <w:t xml:space="preserve">предельная высота </w:t>
            </w:r>
            <w:r>
              <w:rPr>
                <w:lang w:eastAsia="ru-RU" w:bidi="ru-RU"/>
              </w:rPr>
              <w:t xml:space="preserve">зданий, строений, </w:t>
            </w:r>
            <w:r>
              <w:rPr>
                <w:rFonts w:eastAsia="SimSun"/>
                <w:lang w:eastAsia="zh-CN" w:bidi="ru-RU"/>
              </w:rPr>
              <w:t xml:space="preserve">сооружений</w:t>
            </w:r>
            <w:r>
              <w:rPr>
                <w:lang w:eastAsia="ru-RU" w:bidi="ru-RU"/>
              </w:rPr>
              <w:t xml:space="preserve"> – 15 м;</w:t>
            </w:r>
            <w:r/>
          </w:p>
          <w:p>
            <w:pPr>
              <w:ind w:left="113" w:right="187"/>
              <w:jc w:val="both"/>
              <w:rPr>
                <w:rFonts w:eastAsia="SimSun"/>
                <w:lang w:eastAsia="zh-CN" w:bidi="ru-RU"/>
              </w:rPr>
            </w:pPr>
            <w:r>
              <w:rPr>
                <w:rFonts w:eastAsia="SimSun"/>
                <w:lang w:eastAsia="zh-CN" w:bidi="ru-RU"/>
              </w:rPr>
              <w:t xml:space="preserve">Минимальный отступ зданий, строений и сооружений от красной линии улиц - 5 м. от иных границ 3 м.</w:t>
            </w:r>
            <w:r/>
          </w:p>
        </w:tc>
        <w:tc>
          <w:tcPr>
            <w:tcW w:w="3242" w:type="dxa"/>
            <w:vMerge w:val="continue"/>
            <w:textDirection w:val="lrTb"/>
            <w:noWrap w:val="false"/>
          </w:tcPr>
          <w:p>
            <w:pPr>
              <w:ind w:left="113" w:right="151"/>
              <w:jc w:val="both"/>
              <w:tabs>
                <w:tab w:val="left" w:pos="3071" w:leader="none"/>
              </w:tabs>
              <w:rPr>
                <w:shd w:val="clear" w:color="auto" w:fill="ffffff"/>
              </w:rPr>
            </w:pPr>
            <w:r>
              <w:rPr>
                <w:shd w:val="clear" w:color="auto" w:fill="ffffff"/>
              </w:rPr>
            </w:r>
            <w:r/>
          </w:p>
        </w:tc>
      </w:tr>
      <w:tr>
        <w:trPr>
          <w:trHeight w:val="20"/>
        </w:trPr>
        <w:tc>
          <w:tcPr>
            <w:tcW w:w="2675" w:type="dxa"/>
            <w:textDirection w:val="lrTb"/>
            <w:noWrap w:val="false"/>
          </w:tcPr>
          <w:p>
            <w:pPr>
              <w:ind w:left="113" w:right="187"/>
            </w:pPr>
            <w:r>
              <w:t xml:space="preserve"> [1.9] </w:t>
            </w:r>
            <w:r/>
          </w:p>
          <w:p>
            <w:pPr>
              <w:ind w:left="113" w:right="187"/>
            </w:pPr>
            <w:r>
              <w:t xml:space="preserve">Звероводство</w:t>
            </w:r>
            <w:r/>
          </w:p>
        </w:tc>
        <w:tc>
          <w:tcPr>
            <w:tcW w:w="4536" w:type="dxa"/>
            <w:textDirection w:val="lrTb"/>
            <w:noWrap w:val="false"/>
          </w:tcPr>
          <w:p>
            <w:pPr>
              <w:ind w:left="113" w:right="187"/>
              <w:jc w:val="both"/>
            </w:pPr>
            <w:r>
              <w:t xml:space="preserve">  Осуществление хозяйственной деятельности, связанной с разведением в неволе ценных пушных зверей;</w:t>
            </w:r>
            <w:r/>
          </w:p>
          <w:p>
            <w:pPr>
              <w:ind w:left="113" w:right="187"/>
              <w:jc w:val="both"/>
            </w:pPr>
            <w:r>
              <w:t xml:space="preserve">размещение зданий, сооружений, используемых для содержания и разведения животных, производства, хранения и первичной переработки продукции;</w:t>
            </w:r>
            <w:r/>
          </w:p>
          <w:p>
            <w:pPr>
              <w:ind w:left="113" w:right="187"/>
              <w:jc w:val="both"/>
              <w:tabs>
                <w:tab w:val="left" w:pos="2520" w:leader="none"/>
              </w:tabs>
            </w:pPr>
            <w:r>
              <w:t xml:space="preserve">разведение племенных животных, производство и использование племенной продукции (материала)</w:t>
            </w:r>
            <w:r/>
          </w:p>
        </w:tc>
        <w:tc>
          <w:tcPr>
            <w:tcW w:w="4696" w:type="dxa"/>
            <w:textDirection w:val="lrTb"/>
            <w:noWrap w:val="false"/>
          </w:tcPr>
          <w:p>
            <w:pPr>
              <w:ind w:left="113" w:right="187"/>
              <w:jc w:val="both"/>
              <w:tabs>
                <w:tab w:val="left" w:pos="1134" w:leader="none"/>
              </w:tabs>
              <w:rPr>
                <w:rFonts w:eastAsia="SimSun"/>
                <w:lang w:eastAsia="zh-CN" w:bidi="ru-RU"/>
              </w:rPr>
            </w:pPr>
            <w:r>
              <w:rPr>
                <w:rFonts w:eastAsia="SimSun"/>
                <w:lang w:eastAsia="zh-CN" w:bidi="ru-RU"/>
              </w:rPr>
              <w:t xml:space="preserve">Минимальная (максимальная) площадь земельного участка - 1000 (1000000) кв. м.</w:t>
            </w:r>
            <w:r/>
          </w:p>
          <w:p>
            <w:pPr>
              <w:ind w:left="113" w:right="187"/>
              <w:jc w:val="both"/>
              <w:tabs>
                <w:tab w:val="left" w:pos="1134" w:leader="none"/>
              </w:tabs>
              <w:rPr>
                <w:rFonts w:eastAsia="SimSun"/>
                <w:lang w:eastAsia="zh-CN" w:bidi="ru-RU"/>
              </w:rPr>
            </w:pPr>
            <w:r>
              <w:rPr>
                <w:rFonts w:eastAsia="SimSun"/>
                <w:lang w:eastAsia="zh-CN" w:bidi="ru-RU"/>
              </w:rPr>
              <w:t xml:space="preserve">максимальный процент застройки в границах </w:t>
            </w:r>
            <w:r>
              <w:rPr>
                <w:rFonts w:eastAsia="SimSun"/>
                <w:lang w:eastAsia="zh-CN" w:bidi="ru-RU"/>
              </w:rPr>
              <w:t xml:space="preserve">земельного участка – 50%;</w:t>
            </w:r>
            <w:r/>
          </w:p>
          <w:p>
            <w:pPr>
              <w:ind w:left="113" w:right="187"/>
              <w:jc w:val="both"/>
              <w:tabs>
                <w:tab w:val="left" w:pos="1134" w:leader="none"/>
              </w:tabs>
              <w:rPr>
                <w:rFonts w:eastAsia="SimSun"/>
                <w:lang w:eastAsia="zh-CN" w:bidi="ru-RU"/>
              </w:rPr>
            </w:pPr>
            <w:r>
              <w:rPr>
                <w:rFonts w:eastAsia="SimSun"/>
                <w:lang w:eastAsia="zh-CN" w:bidi="ru-RU"/>
              </w:rPr>
              <w:t xml:space="preserve">предельное количество надземных этажей зданий – 2;</w:t>
            </w:r>
            <w:r/>
          </w:p>
          <w:p>
            <w:pPr>
              <w:ind w:left="113" w:right="187"/>
              <w:jc w:val="both"/>
              <w:rPr>
                <w:lang w:eastAsia="ru-RU" w:bidi="ru-RU"/>
              </w:rPr>
            </w:pPr>
            <w:r>
              <w:rPr>
                <w:rFonts w:eastAsia="SimSun"/>
                <w:lang w:eastAsia="zh-CN" w:bidi="ru-RU"/>
              </w:rPr>
              <w:t xml:space="preserve">предельная высота </w:t>
            </w:r>
            <w:r>
              <w:rPr>
                <w:lang w:eastAsia="ru-RU" w:bidi="ru-RU"/>
              </w:rPr>
              <w:t xml:space="preserve">зданий, строений, </w:t>
            </w:r>
            <w:r>
              <w:rPr>
                <w:rFonts w:eastAsia="SimSun"/>
                <w:lang w:eastAsia="zh-CN" w:bidi="ru-RU"/>
              </w:rPr>
              <w:t xml:space="preserve">сооружений</w:t>
            </w:r>
            <w:r>
              <w:rPr>
                <w:lang w:eastAsia="ru-RU" w:bidi="ru-RU"/>
              </w:rPr>
              <w:t xml:space="preserve"> – 15 м;</w:t>
            </w:r>
            <w:r/>
          </w:p>
          <w:p>
            <w:pPr>
              <w:ind w:left="113" w:right="187"/>
              <w:jc w:val="both"/>
              <w:rPr>
                <w:rFonts w:eastAsia="SimSun"/>
                <w:lang w:eastAsia="zh-CN" w:bidi="ru-RU"/>
              </w:rPr>
            </w:pPr>
            <w:r>
              <w:rPr>
                <w:rFonts w:eastAsia="SimSun"/>
                <w:lang w:eastAsia="zh-CN" w:bidi="ru-RU"/>
              </w:rPr>
              <w:t xml:space="preserve">Минимальный отступ зданий, строений и сооружений от красной линии улиц - 5 м. от иных границ 3 м.</w:t>
            </w:r>
            <w:r/>
          </w:p>
        </w:tc>
        <w:tc>
          <w:tcPr>
            <w:tcW w:w="3242" w:type="dxa"/>
            <w:vMerge w:val="continue"/>
            <w:textDirection w:val="lrTb"/>
            <w:noWrap w:val="false"/>
          </w:tcPr>
          <w:p>
            <w:pPr>
              <w:ind w:firstLine="567"/>
              <w:tabs>
                <w:tab w:val="left" w:pos="2520" w:leader="none"/>
              </w:tabs>
            </w:pPr>
            <w:r/>
            <w:r/>
          </w:p>
        </w:tc>
      </w:tr>
      <w:tr>
        <w:trPr>
          <w:trHeight w:val="20"/>
        </w:trPr>
        <w:tc>
          <w:tcPr>
            <w:tcW w:w="2675" w:type="dxa"/>
            <w:textDirection w:val="lrTb"/>
            <w:noWrap w:val="false"/>
          </w:tcPr>
          <w:p>
            <w:pPr>
              <w:ind w:left="113" w:right="187"/>
            </w:pPr>
            <w:r>
              <w:t xml:space="preserve">[1.10]  </w:t>
            </w:r>
            <w:r/>
          </w:p>
          <w:p>
            <w:pPr>
              <w:ind w:left="113" w:right="187"/>
            </w:pPr>
            <w:r>
              <w:t xml:space="preserve">Птицеводство</w:t>
            </w:r>
            <w:r/>
          </w:p>
        </w:tc>
        <w:tc>
          <w:tcPr>
            <w:tcW w:w="4536" w:type="dxa"/>
            <w:textDirection w:val="lrTb"/>
            <w:noWrap w:val="false"/>
          </w:tcPr>
          <w:p>
            <w:pPr>
              <w:ind w:left="113" w:right="187"/>
              <w:jc w:val="both"/>
            </w:pPr>
            <w:r>
              <w:t xml:space="preserve">     Осуществление хозяйственной деятельности, связанной с разведением домашних пород птиц, в том числе водоплавающих;</w:t>
            </w:r>
            <w:r/>
          </w:p>
          <w:p>
            <w:pPr>
              <w:ind w:left="113" w:right="187"/>
              <w:jc w:val="both"/>
            </w:pPr>
            <w:r>
              <w:t xml:space="preserve">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r/>
          </w:p>
          <w:p>
            <w:pPr>
              <w:ind w:left="113" w:right="187"/>
              <w:jc w:val="both"/>
              <w:tabs>
                <w:tab w:val="left" w:pos="2520" w:leader="none"/>
              </w:tabs>
            </w:pPr>
            <w:r>
              <w:t xml:space="preserve">разведение племенных животных, производство и использование племенной продукции (материала)</w:t>
            </w:r>
            <w:r/>
          </w:p>
        </w:tc>
        <w:tc>
          <w:tcPr>
            <w:tcW w:w="4696" w:type="dxa"/>
            <w:textDirection w:val="lrTb"/>
            <w:noWrap w:val="false"/>
          </w:tcPr>
          <w:p>
            <w:pPr>
              <w:ind w:left="113" w:right="187"/>
              <w:jc w:val="both"/>
              <w:tabs>
                <w:tab w:val="left" w:pos="1134" w:leader="none"/>
              </w:tabs>
              <w:rPr>
                <w:rFonts w:eastAsia="SimSun"/>
                <w:lang w:eastAsia="zh-CN" w:bidi="ru-RU"/>
              </w:rPr>
            </w:pPr>
            <w:r>
              <w:rPr>
                <w:rFonts w:eastAsia="SimSun"/>
                <w:lang w:eastAsia="zh-CN" w:bidi="ru-RU"/>
              </w:rPr>
              <w:t xml:space="preserve">Минимальная (максимальная) площадь земельного участка - 1000 (1000000) кв. м.</w:t>
            </w:r>
            <w:r/>
          </w:p>
          <w:p>
            <w:pPr>
              <w:ind w:left="113" w:right="187"/>
              <w:jc w:val="both"/>
              <w:tabs>
                <w:tab w:val="left" w:pos="1134" w:leader="none"/>
              </w:tabs>
              <w:rPr>
                <w:rFonts w:eastAsia="SimSun"/>
                <w:lang w:eastAsia="zh-CN" w:bidi="ru-RU"/>
              </w:rPr>
            </w:pPr>
            <w:r>
              <w:rPr>
                <w:rFonts w:eastAsia="SimSun"/>
                <w:lang w:eastAsia="zh-CN" w:bidi="ru-RU"/>
              </w:rPr>
              <w:t xml:space="preserve">максимальный процент застройки в границах земельного участка – 50%;</w:t>
            </w:r>
            <w:r/>
          </w:p>
          <w:p>
            <w:pPr>
              <w:ind w:left="113" w:right="187"/>
              <w:jc w:val="both"/>
              <w:tabs>
                <w:tab w:val="left" w:pos="1134" w:leader="none"/>
              </w:tabs>
              <w:rPr>
                <w:rFonts w:eastAsia="SimSun"/>
                <w:lang w:eastAsia="zh-CN" w:bidi="ru-RU"/>
              </w:rPr>
            </w:pPr>
            <w:r>
              <w:rPr>
                <w:rFonts w:eastAsia="SimSun"/>
                <w:lang w:eastAsia="zh-CN" w:bidi="ru-RU"/>
              </w:rPr>
              <w:t xml:space="preserve">предельное количество надземных этажей зданий – 2;</w:t>
            </w:r>
            <w:r/>
          </w:p>
          <w:p>
            <w:pPr>
              <w:ind w:left="113" w:right="187"/>
              <w:jc w:val="both"/>
              <w:rPr>
                <w:lang w:eastAsia="ru-RU" w:bidi="ru-RU"/>
              </w:rPr>
            </w:pPr>
            <w:r>
              <w:rPr>
                <w:rFonts w:eastAsia="SimSun"/>
                <w:lang w:eastAsia="zh-CN" w:bidi="ru-RU"/>
              </w:rPr>
              <w:t xml:space="preserve">предельная высота </w:t>
            </w:r>
            <w:r>
              <w:rPr>
                <w:lang w:eastAsia="ru-RU" w:bidi="ru-RU"/>
              </w:rPr>
              <w:t xml:space="preserve">зданий, строений, </w:t>
            </w:r>
            <w:r>
              <w:rPr>
                <w:rFonts w:eastAsia="SimSun"/>
                <w:lang w:eastAsia="zh-CN" w:bidi="ru-RU"/>
              </w:rPr>
              <w:t xml:space="preserve">сооружений</w:t>
            </w:r>
            <w:r>
              <w:rPr>
                <w:lang w:eastAsia="ru-RU" w:bidi="ru-RU"/>
              </w:rPr>
              <w:t xml:space="preserve"> – 15 м;</w:t>
            </w:r>
            <w:r/>
          </w:p>
          <w:p>
            <w:pPr>
              <w:ind w:left="113" w:right="187"/>
              <w:jc w:val="both"/>
              <w:rPr>
                <w:rFonts w:eastAsia="SimSun"/>
                <w:lang w:eastAsia="zh-CN" w:bidi="ru-RU"/>
              </w:rPr>
            </w:pPr>
            <w:r>
              <w:rPr>
                <w:rFonts w:eastAsia="SimSun"/>
                <w:lang w:eastAsia="zh-CN" w:bidi="ru-RU"/>
              </w:rPr>
              <w:t xml:space="preserve">Минимальный отступ зданий, строений и сооружений от красной линии улиц - 5 м. от иных границ 3 м.</w:t>
            </w:r>
            <w:r/>
          </w:p>
        </w:tc>
        <w:tc>
          <w:tcPr>
            <w:tcW w:w="3242" w:type="dxa"/>
            <w:vMerge w:val="continue"/>
            <w:textDirection w:val="lrTb"/>
            <w:noWrap w:val="false"/>
          </w:tcPr>
          <w:p>
            <w:pPr>
              <w:ind w:firstLine="567"/>
              <w:tabs>
                <w:tab w:val="left" w:pos="2520" w:leader="none"/>
              </w:tabs>
            </w:pPr>
            <w:r/>
            <w:r/>
          </w:p>
        </w:tc>
      </w:tr>
      <w:tr>
        <w:trPr>
          <w:trHeight w:val="20"/>
        </w:trPr>
        <w:tc>
          <w:tcPr>
            <w:tcW w:w="2675" w:type="dxa"/>
            <w:textDirection w:val="lrTb"/>
            <w:noWrap w:val="false"/>
          </w:tcPr>
          <w:p>
            <w:pPr>
              <w:ind w:left="113" w:right="187"/>
            </w:pPr>
            <w:r>
              <w:t xml:space="preserve">[1.11]  </w:t>
            </w:r>
            <w:r/>
          </w:p>
          <w:p>
            <w:pPr>
              <w:ind w:left="113" w:right="187"/>
            </w:pPr>
            <w:r>
              <w:t xml:space="preserve">Свиноводство</w:t>
            </w:r>
            <w:r/>
          </w:p>
        </w:tc>
        <w:tc>
          <w:tcPr>
            <w:tcW w:w="4536" w:type="dxa"/>
            <w:textDirection w:val="lrTb"/>
            <w:noWrap w:val="false"/>
          </w:tcPr>
          <w:p>
            <w:pPr>
              <w:ind w:left="113" w:right="187"/>
              <w:jc w:val="both"/>
            </w:pPr>
            <w:r>
              <w:t xml:space="preserve"> Осуществление хозяйственной деятельности, связанной с разведением свиней;</w:t>
            </w:r>
            <w:r/>
          </w:p>
          <w:p>
            <w:pPr>
              <w:ind w:left="113" w:right="187"/>
              <w:jc w:val="both"/>
            </w:pPr>
            <w:r>
              <w:t xml:space="preserve">Размещение зданий, сооружений, используемых для содержания и разведения животных, производства, хранения и первичной переработки продукции;</w:t>
            </w:r>
            <w:r/>
          </w:p>
          <w:p>
            <w:pPr>
              <w:ind w:left="113" w:right="187"/>
              <w:jc w:val="both"/>
              <w:tabs>
                <w:tab w:val="left" w:pos="2520" w:leader="none"/>
              </w:tabs>
            </w:pPr>
            <w:r>
              <w:t xml:space="preserve">разведение племенных животных, производство и использование племенной продукции (материала)</w:t>
            </w:r>
            <w:r/>
          </w:p>
        </w:tc>
        <w:tc>
          <w:tcPr>
            <w:tcW w:w="4696" w:type="dxa"/>
            <w:textDirection w:val="lrTb"/>
            <w:noWrap w:val="false"/>
          </w:tcPr>
          <w:p>
            <w:pPr>
              <w:ind w:left="113" w:right="187"/>
              <w:jc w:val="both"/>
              <w:tabs>
                <w:tab w:val="left" w:pos="1134" w:leader="none"/>
              </w:tabs>
              <w:rPr>
                <w:rFonts w:eastAsia="SimSun"/>
                <w:lang w:eastAsia="zh-CN" w:bidi="ru-RU"/>
              </w:rPr>
            </w:pPr>
            <w:r>
              <w:rPr>
                <w:rFonts w:eastAsia="SimSun"/>
                <w:lang w:eastAsia="zh-CN" w:bidi="ru-RU"/>
              </w:rPr>
              <w:t xml:space="preserve">Минимальная (максимальная) площадь земельного участка - 1000 (1000000) кв. м.</w:t>
            </w:r>
            <w:r/>
          </w:p>
          <w:p>
            <w:pPr>
              <w:ind w:left="113" w:right="187"/>
              <w:jc w:val="both"/>
              <w:tabs>
                <w:tab w:val="left" w:pos="1134" w:leader="none"/>
              </w:tabs>
              <w:rPr>
                <w:rFonts w:eastAsia="SimSun"/>
                <w:lang w:eastAsia="zh-CN" w:bidi="ru-RU"/>
              </w:rPr>
            </w:pPr>
            <w:r>
              <w:rPr>
                <w:rFonts w:eastAsia="SimSun"/>
                <w:lang w:eastAsia="zh-CN" w:bidi="ru-RU"/>
              </w:rPr>
              <w:t xml:space="preserve">максимальный процент застройки в границах земельного участка – 50%;</w:t>
            </w:r>
            <w:r/>
          </w:p>
          <w:p>
            <w:pPr>
              <w:ind w:left="113" w:right="187"/>
              <w:jc w:val="both"/>
              <w:tabs>
                <w:tab w:val="left" w:pos="1134" w:leader="none"/>
              </w:tabs>
              <w:rPr>
                <w:rFonts w:eastAsia="SimSun"/>
                <w:lang w:eastAsia="zh-CN" w:bidi="ru-RU"/>
              </w:rPr>
            </w:pPr>
            <w:r>
              <w:rPr>
                <w:rFonts w:eastAsia="SimSun"/>
                <w:lang w:eastAsia="zh-CN" w:bidi="ru-RU"/>
              </w:rPr>
              <w:t xml:space="preserve">предельное количество надземных этажей зданий – 2;</w:t>
            </w:r>
            <w:r/>
          </w:p>
          <w:p>
            <w:pPr>
              <w:ind w:left="113" w:right="187"/>
              <w:jc w:val="both"/>
              <w:rPr>
                <w:lang w:eastAsia="ru-RU" w:bidi="ru-RU"/>
              </w:rPr>
            </w:pPr>
            <w:r>
              <w:rPr>
                <w:rFonts w:eastAsia="SimSun"/>
                <w:lang w:eastAsia="zh-CN" w:bidi="ru-RU"/>
              </w:rPr>
              <w:t xml:space="preserve">предельная высота </w:t>
            </w:r>
            <w:r>
              <w:rPr>
                <w:lang w:eastAsia="ru-RU" w:bidi="ru-RU"/>
              </w:rPr>
              <w:t xml:space="preserve">зданий, строений, </w:t>
            </w:r>
            <w:r>
              <w:rPr>
                <w:rFonts w:eastAsia="SimSun"/>
                <w:lang w:eastAsia="zh-CN" w:bidi="ru-RU"/>
              </w:rPr>
              <w:t xml:space="preserve">сооружений</w:t>
            </w:r>
            <w:r>
              <w:rPr>
                <w:lang w:eastAsia="ru-RU" w:bidi="ru-RU"/>
              </w:rPr>
              <w:t xml:space="preserve"> – 15 м;</w:t>
            </w:r>
            <w:r/>
          </w:p>
          <w:p>
            <w:pPr>
              <w:ind w:left="113" w:right="187"/>
              <w:tabs>
                <w:tab w:val="left" w:pos="2520" w:leader="none"/>
              </w:tabs>
              <w:rPr>
                <w:rFonts w:eastAsia="SimSun"/>
                <w:lang w:eastAsia="zh-CN" w:bidi="ru-RU"/>
              </w:rPr>
            </w:pPr>
            <w:r>
              <w:rPr>
                <w:rFonts w:eastAsia="SimSun"/>
                <w:lang w:eastAsia="zh-CN" w:bidi="ru-RU"/>
              </w:rPr>
              <w:t xml:space="preserve">Минимальный отступ зданий, строений и сооружений от красной линии улиц - 5 м. от иных границ 3 м.</w:t>
            </w:r>
            <w:r/>
          </w:p>
        </w:tc>
        <w:tc>
          <w:tcPr>
            <w:tcW w:w="3242" w:type="dxa"/>
            <w:vMerge w:val="continue"/>
            <w:textDirection w:val="lrTb"/>
            <w:noWrap w:val="false"/>
          </w:tcPr>
          <w:p>
            <w:pPr>
              <w:ind w:firstLine="567"/>
              <w:tabs>
                <w:tab w:val="left" w:pos="2520" w:leader="none"/>
              </w:tabs>
            </w:pPr>
            <w:r/>
            <w:r/>
          </w:p>
        </w:tc>
      </w:tr>
      <w:tr>
        <w:trPr>
          <w:trHeight w:val="20"/>
        </w:trPr>
        <w:tc>
          <w:tcPr>
            <w:tcW w:w="2675" w:type="dxa"/>
            <w:textDirection w:val="lrTb"/>
            <w:noWrap w:val="false"/>
          </w:tcPr>
          <w:p>
            <w:pPr>
              <w:ind w:left="113" w:right="187"/>
            </w:pPr>
            <w:r>
              <w:t xml:space="preserve">[1.12]  </w:t>
            </w:r>
            <w:r/>
          </w:p>
          <w:p>
            <w:pPr>
              <w:ind w:left="113" w:right="187"/>
            </w:pPr>
            <w:r>
              <w:t xml:space="preserve">Пчеловодство</w:t>
            </w:r>
            <w:r/>
          </w:p>
        </w:tc>
        <w:tc>
          <w:tcPr>
            <w:tcW w:w="4536" w:type="dxa"/>
            <w:textDirection w:val="lrTb"/>
            <w:noWrap w:val="false"/>
          </w:tcPr>
          <w:p>
            <w:pPr>
              <w:ind w:left="113" w:right="187"/>
              <w:jc w:val="both"/>
            </w:pPr>
            <w:r>
              <w:t xml:space="preserve"> 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r/>
          </w:p>
          <w:p>
            <w:pPr>
              <w:ind w:left="113" w:right="187"/>
              <w:jc w:val="both"/>
            </w:pPr>
            <w:r>
              <w:t xml:space="preserve">размещение ульев, иных объектов и оборудования, необходимого для пчеловодства и разведениях иных полезных насекомых;</w:t>
            </w:r>
            <w:r/>
          </w:p>
          <w:p>
            <w:pPr>
              <w:ind w:left="113" w:right="187"/>
              <w:jc w:val="both"/>
            </w:pPr>
            <w:r>
              <w:t xml:space="preserve">размещение сооружений используемых для хранения и первичной переработки продукции пчеловодства</w:t>
            </w:r>
            <w:r/>
          </w:p>
        </w:tc>
        <w:tc>
          <w:tcPr>
            <w:tcW w:w="4696" w:type="dxa"/>
            <w:textDirection w:val="lrTb"/>
            <w:noWrap w:val="false"/>
          </w:tcPr>
          <w:p>
            <w:pPr>
              <w:ind w:left="113" w:right="187"/>
              <w:jc w:val="both"/>
              <w:tabs>
                <w:tab w:val="left" w:pos="1134" w:leader="none"/>
              </w:tabs>
              <w:rPr>
                <w:rFonts w:eastAsia="SimSun"/>
                <w:lang w:eastAsia="zh-CN" w:bidi="ru-RU"/>
              </w:rPr>
            </w:pPr>
            <w:r>
              <w:rPr>
                <w:rFonts w:eastAsia="SimSun"/>
                <w:lang w:eastAsia="zh-CN" w:bidi="ru-RU"/>
              </w:rPr>
              <w:t xml:space="preserve">Минимальная (максимальная) площадь земельного участка - 300 (1000000) кв. м;</w:t>
            </w:r>
            <w:r/>
          </w:p>
          <w:p>
            <w:pPr>
              <w:ind w:left="113" w:right="187"/>
              <w:jc w:val="both"/>
              <w:tabs>
                <w:tab w:val="left" w:pos="1134" w:leader="none"/>
              </w:tabs>
              <w:rPr>
                <w:rFonts w:eastAsia="SimSun"/>
                <w:lang w:eastAsia="zh-CN" w:bidi="ru-RU"/>
              </w:rPr>
            </w:pPr>
            <w:r>
              <w:rPr>
                <w:rFonts w:eastAsia="SimSun"/>
                <w:lang w:eastAsia="zh-CN" w:bidi="ru-RU"/>
              </w:rPr>
              <w:t xml:space="preserve">максимальный процент застройки в границах земельного участка – 50%;</w:t>
            </w:r>
            <w:r/>
          </w:p>
          <w:p>
            <w:pPr>
              <w:ind w:left="113" w:right="187"/>
              <w:jc w:val="both"/>
              <w:tabs>
                <w:tab w:val="left" w:pos="1134" w:leader="none"/>
              </w:tabs>
              <w:rPr>
                <w:rFonts w:eastAsia="SimSun"/>
                <w:lang w:eastAsia="zh-CN" w:bidi="ru-RU"/>
              </w:rPr>
            </w:pPr>
            <w:r>
              <w:rPr>
                <w:rFonts w:eastAsia="SimSun"/>
                <w:lang w:eastAsia="zh-CN" w:bidi="ru-RU"/>
              </w:rPr>
              <w:t xml:space="preserve">предельное количество надземных этажей зданий – 2;</w:t>
            </w:r>
            <w:r/>
          </w:p>
          <w:p>
            <w:pPr>
              <w:ind w:left="113" w:right="187"/>
              <w:jc w:val="both"/>
              <w:rPr>
                <w:lang w:eastAsia="ru-RU" w:bidi="ru-RU"/>
              </w:rPr>
            </w:pPr>
            <w:r>
              <w:rPr>
                <w:rFonts w:eastAsia="SimSun"/>
                <w:lang w:eastAsia="zh-CN" w:bidi="ru-RU"/>
              </w:rPr>
              <w:t xml:space="preserve">предельная высота </w:t>
            </w:r>
            <w:r>
              <w:rPr>
                <w:lang w:eastAsia="ru-RU" w:bidi="ru-RU"/>
              </w:rPr>
              <w:t xml:space="preserve">зданий, строений, </w:t>
            </w:r>
            <w:r>
              <w:rPr>
                <w:rFonts w:eastAsia="SimSun"/>
                <w:lang w:eastAsia="zh-CN" w:bidi="ru-RU"/>
              </w:rPr>
              <w:t xml:space="preserve">сооружений</w:t>
            </w:r>
            <w:r>
              <w:rPr>
                <w:lang w:eastAsia="ru-RU" w:bidi="ru-RU"/>
              </w:rPr>
              <w:t xml:space="preserve"> – 15 м;</w:t>
            </w:r>
            <w:r/>
          </w:p>
          <w:p>
            <w:pPr>
              <w:ind w:left="113" w:right="187"/>
              <w:jc w:val="both"/>
            </w:pPr>
            <w:r>
              <w:rPr>
                <w:rFonts w:eastAsia="SimSun"/>
                <w:lang w:eastAsia="zh-CN" w:bidi="ru-RU"/>
              </w:rPr>
              <w:t xml:space="preserve">Минимальный отступ зданий, строений и сооружений от красной линии улиц - 5 м. от иных границ 3 м.</w:t>
            </w:r>
            <w:r/>
          </w:p>
        </w:tc>
        <w:tc>
          <w:tcPr>
            <w:tcW w:w="3242" w:type="dxa"/>
            <w:vMerge w:val="continue"/>
            <w:textDirection w:val="lrTb"/>
            <w:noWrap w:val="false"/>
          </w:tcPr>
          <w:p>
            <w:pPr>
              <w:ind w:firstLine="567"/>
              <w:tabs>
                <w:tab w:val="left" w:pos="2520" w:leader="none"/>
              </w:tabs>
            </w:pPr>
            <w:r/>
            <w:r/>
          </w:p>
        </w:tc>
      </w:tr>
      <w:tr>
        <w:trPr>
          <w:trHeight w:val="20"/>
        </w:trPr>
        <w:tc>
          <w:tcPr>
            <w:tcW w:w="2675" w:type="dxa"/>
            <w:textDirection w:val="lrTb"/>
            <w:noWrap w:val="false"/>
          </w:tcPr>
          <w:p>
            <w:pPr>
              <w:ind w:left="113" w:right="187"/>
            </w:pPr>
            <w:r>
              <w:t xml:space="preserve">[1.13]  </w:t>
            </w:r>
            <w:r/>
          </w:p>
          <w:p>
            <w:pPr>
              <w:ind w:left="113" w:right="187"/>
            </w:pPr>
            <w:r>
              <w:t xml:space="preserve">Рыбоводство</w:t>
            </w:r>
            <w:r/>
          </w:p>
        </w:tc>
        <w:tc>
          <w:tcPr>
            <w:tcW w:w="4536" w:type="dxa"/>
            <w:textDirection w:val="lrTb"/>
            <w:noWrap w:val="false"/>
          </w:tcPr>
          <w:p>
            <w:pPr>
              <w:ind w:left="113" w:right="187"/>
              <w:jc w:val="both"/>
              <w:tabs>
                <w:tab w:val="left" w:pos="2520" w:leader="none"/>
              </w:tabs>
            </w:pPr>
            <w:r>
              <w:t xml:space="preserve">Осуществление хозяйственной деятельности, связанной с разведением и (или) содержанием, выращиванием объектов рыбоводства </w:t>
            </w:r>
            <w:r>
              <w:t xml:space="preserve">(аквакультуры); размещение зданий, сооружений, оборудования, необходимых для осуществления рыбоводства (аквакультуры)</w:t>
            </w:r>
            <w:r/>
          </w:p>
        </w:tc>
        <w:tc>
          <w:tcPr>
            <w:tcW w:w="4696" w:type="dxa"/>
            <w:textDirection w:val="lrTb"/>
            <w:noWrap w:val="false"/>
          </w:tcPr>
          <w:p>
            <w:pPr>
              <w:ind w:left="113" w:right="187"/>
              <w:jc w:val="both"/>
              <w:tabs>
                <w:tab w:val="left" w:pos="1134" w:leader="none"/>
              </w:tabs>
              <w:rPr>
                <w:rFonts w:eastAsia="SimSun"/>
                <w:lang w:eastAsia="zh-CN" w:bidi="ru-RU"/>
              </w:rPr>
            </w:pPr>
            <w:r>
              <w:rPr>
                <w:rFonts w:eastAsia="SimSun"/>
                <w:lang w:eastAsia="zh-CN" w:bidi="ru-RU"/>
              </w:rPr>
              <w:t xml:space="preserve">Минимальная (максимальная) площадь земельного участка - 300 (1000000) кв. м;</w:t>
            </w:r>
            <w:r/>
          </w:p>
          <w:p>
            <w:pPr>
              <w:ind w:left="113" w:right="187"/>
              <w:jc w:val="both"/>
              <w:tabs>
                <w:tab w:val="left" w:pos="1134" w:leader="none"/>
              </w:tabs>
              <w:rPr>
                <w:rFonts w:eastAsia="SimSun"/>
                <w:lang w:eastAsia="zh-CN" w:bidi="ru-RU"/>
              </w:rPr>
            </w:pPr>
            <w:r>
              <w:rPr>
                <w:rFonts w:eastAsia="SimSun"/>
                <w:lang w:eastAsia="zh-CN" w:bidi="ru-RU"/>
              </w:rPr>
              <w:t xml:space="preserve">максимальный процент застройки в границах </w:t>
            </w:r>
            <w:r>
              <w:rPr>
                <w:rFonts w:eastAsia="SimSun"/>
                <w:lang w:eastAsia="zh-CN" w:bidi="ru-RU"/>
              </w:rPr>
              <w:t xml:space="preserve">земельного участка – 50%;</w:t>
            </w:r>
            <w:r/>
          </w:p>
          <w:p>
            <w:pPr>
              <w:ind w:left="113" w:right="187"/>
              <w:jc w:val="both"/>
              <w:tabs>
                <w:tab w:val="left" w:pos="1134" w:leader="none"/>
              </w:tabs>
              <w:rPr>
                <w:rFonts w:eastAsia="SimSun"/>
                <w:lang w:eastAsia="zh-CN" w:bidi="ru-RU"/>
              </w:rPr>
            </w:pPr>
            <w:r>
              <w:rPr>
                <w:rFonts w:eastAsia="SimSun"/>
                <w:lang w:eastAsia="zh-CN" w:bidi="ru-RU"/>
              </w:rPr>
              <w:t xml:space="preserve">предельное количество надземных этажей зданий – 2;</w:t>
            </w:r>
            <w:r/>
          </w:p>
          <w:p>
            <w:pPr>
              <w:ind w:left="113" w:right="187"/>
              <w:jc w:val="both"/>
              <w:rPr>
                <w:lang w:eastAsia="ru-RU" w:bidi="ru-RU"/>
              </w:rPr>
            </w:pPr>
            <w:r>
              <w:rPr>
                <w:rFonts w:eastAsia="SimSun"/>
                <w:lang w:eastAsia="zh-CN" w:bidi="ru-RU"/>
              </w:rPr>
              <w:t xml:space="preserve">предельная высота </w:t>
            </w:r>
            <w:r>
              <w:rPr>
                <w:lang w:eastAsia="ru-RU" w:bidi="ru-RU"/>
              </w:rPr>
              <w:t xml:space="preserve">зданий, строений, </w:t>
            </w:r>
            <w:r>
              <w:rPr>
                <w:rFonts w:eastAsia="SimSun"/>
                <w:lang w:eastAsia="zh-CN" w:bidi="ru-RU"/>
              </w:rPr>
              <w:t xml:space="preserve">сооружений</w:t>
            </w:r>
            <w:r>
              <w:rPr>
                <w:lang w:eastAsia="ru-RU" w:bidi="ru-RU"/>
              </w:rPr>
              <w:t xml:space="preserve"> – 15 м;</w:t>
            </w:r>
            <w:r/>
          </w:p>
          <w:p>
            <w:pPr>
              <w:ind w:left="113" w:right="187"/>
              <w:jc w:val="both"/>
            </w:pPr>
            <w:r>
              <w:rPr>
                <w:rFonts w:eastAsia="SimSun"/>
                <w:lang w:eastAsia="zh-CN" w:bidi="ru-RU"/>
              </w:rPr>
              <w:t xml:space="preserve">Минимальный отступ зданий, строений и сооружений от красной линии улиц - 5 м. от иных границ 3 м.</w:t>
            </w:r>
            <w:r/>
          </w:p>
        </w:tc>
        <w:tc>
          <w:tcPr>
            <w:tcW w:w="3242" w:type="dxa"/>
            <w:vMerge w:val="restart"/>
            <w:textDirection w:val="lrTb"/>
            <w:noWrap w:val="false"/>
          </w:tcPr>
          <w:p>
            <w:pPr>
              <w:ind w:left="113" w:right="151"/>
              <w:jc w:val="both"/>
              <w:rPr>
                <w:shd w:val="clear" w:color="auto" w:fill="ffffff"/>
              </w:rPr>
            </w:pPr>
            <w:r>
              <w:rPr>
                <w:shd w:val="clear" w:color="auto" w:fill="ffffff"/>
              </w:rPr>
            </w:r>
            <w:r/>
          </w:p>
          <w:p>
            <w:pPr>
              <w:ind w:left="113" w:right="151"/>
              <w:jc w:val="both"/>
            </w:pPr>
            <w:r/>
            <w:r/>
          </w:p>
        </w:tc>
      </w:tr>
      <w:tr>
        <w:trPr>
          <w:trHeight w:val="20"/>
        </w:trPr>
        <w:tc>
          <w:tcPr>
            <w:tcW w:w="2675" w:type="dxa"/>
            <w:textDirection w:val="lrTb"/>
            <w:noWrap w:val="false"/>
          </w:tcPr>
          <w:p>
            <w:pPr>
              <w:ind w:left="113" w:right="187"/>
            </w:pPr>
            <w:r>
              <w:t xml:space="preserve">[1.14]  </w:t>
            </w:r>
            <w:r/>
          </w:p>
          <w:p>
            <w:pPr>
              <w:ind w:left="113" w:right="187"/>
            </w:pPr>
            <w:r>
              <w:t xml:space="preserve">Научное обеспечение сельского хозяйства</w:t>
            </w:r>
            <w:r/>
          </w:p>
        </w:tc>
        <w:tc>
          <w:tcPr>
            <w:tcW w:w="4536" w:type="dxa"/>
            <w:textDirection w:val="lrTb"/>
            <w:noWrap w:val="false"/>
          </w:tcPr>
          <w:p>
            <w:pPr>
              <w:ind w:left="113" w:right="187"/>
              <w:jc w:val="both"/>
              <w:tabs>
                <w:tab w:val="left" w:pos="2520" w:leader="none"/>
              </w:tabs>
            </w:pPr>
            <w: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r/>
          </w:p>
        </w:tc>
        <w:tc>
          <w:tcPr>
            <w:tcW w:w="4696" w:type="dxa"/>
            <w:textDirection w:val="lrTb"/>
            <w:noWrap w:val="false"/>
          </w:tcPr>
          <w:p>
            <w:pPr>
              <w:ind w:left="113" w:right="187"/>
              <w:jc w:val="both"/>
              <w:tabs>
                <w:tab w:val="left" w:pos="1134" w:leader="none"/>
              </w:tabs>
              <w:rPr>
                <w:rFonts w:eastAsia="SimSun"/>
                <w:lang w:eastAsia="zh-CN" w:bidi="ru-RU"/>
              </w:rPr>
            </w:pPr>
            <w:r>
              <w:rPr>
                <w:rFonts w:eastAsia="SimSun"/>
                <w:lang w:eastAsia="zh-CN" w:bidi="ru-RU"/>
              </w:rPr>
              <w:t xml:space="preserve">Минимальная (максимальная) площадь земельного участка - 1000 (1000000) кв. м.</w:t>
            </w:r>
            <w:r/>
          </w:p>
          <w:p>
            <w:pPr>
              <w:ind w:left="113" w:right="187"/>
              <w:jc w:val="both"/>
              <w:tabs>
                <w:tab w:val="left" w:pos="1134" w:leader="none"/>
              </w:tabs>
              <w:rPr>
                <w:rFonts w:eastAsia="SimSun"/>
                <w:lang w:eastAsia="zh-CN" w:bidi="ru-RU"/>
              </w:rPr>
            </w:pPr>
            <w:r>
              <w:rPr>
                <w:rFonts w:eastAsia="SimSun"/>
                <w:lang w:eastAsia="zh-CN" w:bidi="ru-RU"/>
              </w:rPr>
              <w:t xml:space="preserve">максимальный процент застройки в границах земельного участка – 50%;</w:t>
            </w:r>
            <w:r/>
          </w:p>
          <w:p>
            <w:pPr>
              <w:ind w:left="113" w:right="187"/>
              <w:jc w:val="both"/>
              <w:tabs>
                <w:tab w:val="left" w:pos="1134" w:leader="none"/>
              </w:tabs>
              <w:rPr>
                <w:rFonts w:eastAsia="SimSun"/>
                <w:lang w:eastAsia="zh-CN" w:bidi="ru-RU"/>
              </w:rPr>
            </w:pPr>
            <w:r>
              <w:rPr>
                <w:rFonts w:eastAsia="SimSun"/>
                <w:lang w:eastAsia="zh-CN" w:bidi="ru-RU"/>
              </w:rPr>
              <w:t xml:space="preserve">предельное количество надземных этажей зданий – 2;</w:t>
            </w:r>
            <w:r/>
          </w:p>
          <w:p>
            <w:pPr>
              <w:ind w:left="113" w:right="187"/>
              <w:jc w:val="both"/>
              <w:rPr>
                <w:lang w:eastAsia="ru-RU" w:bidi="ru-RU"/>
              </w:rPr>
            </w:pPr>
            <w:r>
              <w:rPr>
                <w:rFonts w:eastAsia="SimSun"/>
                <w:lang w:eastAsia="zh-CN" w:bidi="ru-RU"/>
              </w:rPr>
              <w:t xml:space="preserve">предельная высота </w:t>
            </w:r>
            <w:r>
              <w:rPr>
                <w:lang w:eastAsia="ru-RU" w:bidi="ru-RU"/>
              </w:rPr>
              <w:t xml:space="preserve">зданий, строений, </w:t>
            </w:r>
            <w:r>
              <w:rPr>
                <w:rFonts w:eastAsia="SimSun"/>
                <w:lang w:eastAsia="zh-CN" w:bidi="ru-RU"/>
              </w:rPr>
              <w:t xml:space="preserve">сооружений</w:t>
            </w:r>
            <w:r>
              <w:rPr>
                <w:lang w:eastAsia="ru-RU" w:bidi="ru-RU"/>
              </w:rPr>
              <w:t xml:space="preserve"> – 15 м;</w:t>
            </w:r>
            <w:r/>
          </w:p>
          <w:p>
            <w:pPr>
              <w:ind w:left="113" w:right="187"/>
              <w:jc w:val="both"/>
              <w:rPr>
                <w:rFonts w:eastAsia="SimSun"/>
                <w:lang w:eastAsia="zh-CN" w:bidi="ru-RU"/>
              </w:rPr>
            </w:pPr>
            <w:r>
              <w:rPr>
                <w:rFonts w:eastAsia="SimSun"/>
                <w:lang w:eastAsia="zh-CN" w:bidi="ru-RU"/>
              </w:rPr>
              <w:t xml:space="preserve">Минимальный отступ зданий, строений и сооружений от красной линии улиц - 5 м. от проездов – 3 м., от иных границ 1 м.</w:t>
            </w:r>
            <w:r/>
          </w:p>
          <w:p>
            <w:pPr>
              <w:ind w:left="113" w:right="187"/>
              <w:tabs>
                <w:tab w:val="left" w:pos="2520" w:leader="none"/>
              </w:tabs>
            </w:pPr>
            <w:r>
              <w:rPr>
                <w:rFonts w:eastAsia="Calibri"/>
              </w:rPr>
              <w:t xml:space="preserve">минимальный процент озеленения земельного участка 15%.</w:t>
            </w:r>
            <w:r/>
          </w:p>
        </w:tc>
        <w:tc>
          <w:tcPr>
            <w:tcW w:w="3242" w:type="dxa"/>
            <w:vMerge w:val="continue"/>
            <w:textDirection w:val="lrTb"/>
            <w:noWrap w:val="false"/>
          </w:tcPr>
          <w:p>
            <w:pPr>
              <w:ind w:firstLine="567"/>
              <w:tabs>
                <w:tab w:val="left" w:pos="2520" w:leader="none"/>
              </w:tabs>
            </w:pPr>
            <w:r/>
            <w:r/>
          </w:p>
        </w:tc>
      </w:tr>
      <w:tr>
        <w:trPr>
          <w:trHeight w:val="20"/>
        </w:trPr>
        <w:tc>
          <w:tcPr>
            <w:tcW w:w="2675" w:type="dxa"/>
            <w:textDirection w:val="lrTb"/>
            <w:noWrap w:val="false"/>
          </w:tcPr>
          <w:p>
            <w:pPr>
              <w:ind w:left="113" w:right="187"/>
            </w:pPr>
            <w:r>
              <w:t xml:space="preserve">[1.15]  </w:t>
            </w:r>
            <w:r/>
          </w:p>
          <w:p>
            <w:pPr>
              <w:ind w:left="113" w:right="187"/>
            </w:pPr>
            <w:r>
              <w:t xml:space="preserve">Хранение и переработка сельскохозяйственной продукции</w:t>
            </w:r>
            <w:r/>
          </w:p>
        </w:tc>
        <w:tc>
          <w:tcPr>
            <w:tcW w:w="4536" w:type="dxa"/>
            <w:textDirection w:val="lrTb"/>
            <w:noWrap w:val="false"/>
          </w:tcPr>
          <w:p>
            <w:pPr>
              <w:ind w:left="113" w:right="187"/>
              <w:jc w:val="both"/>
              <w:tabs>
                <w:tab w:val="left" w:pos="2520" w:leader="none"/>
              </w:tabs>
            </w:pPr>
            <w:r>
              <w:t xml:space="preserve">Размещение зданий, сооружений, используемых для производства, хранения, первичной и глубокой переработки сельскохозяйственной продукции</w:t>
            </w:r>
            <w:r/>
          </w:p>
        </w:tc>
        <w:tc>
          <w:tcPr>
            <w:tcW w:w="4696" w:type="dxa"/>
            <w:textDirection w:val="lrTb"/>
            <w:noWrap w:val="false"/>
          </w:tcPr>
          <w:p>
            <w:pPr>
              <w:ind w:left="113" w:right="187"/>
              <w:jc w:val="both"/>
              <w:tabs>
                <w:tab w:val="left" w:pos="1134" w:leader="none"/>
              </w:tabs>
              <w:rPr>
                <w:rFonts w:eastAsia="SimSun"/>
                <w:lang w:eastAsia="zh-CN" w:bidi="ru-RU"/>
              </w:rPr>
            </w:pPr>
            <w:r>
              <w:rPr>
                <w:rFonts w:eastAsia="SimSun"/>
                <w:lang w:eastAsia="zh-CN" w:bidi="ru-RU"/>
              </w:rPr>
              <w:t xml:space="preserve">Минимальная (максимальная) площадь земельного участка - 1000 (1000000) кв. м.</w:t>
            </w:r>
            <w:r/>
          </w:p>
          <w:p>
            <w:pPr>
              <w:ind w:left="113" w:right="187"/>
              <w:jc w:val="both"/>
              <w:tabs>
                <w:tab w:val="left" w:pos="1134" w:leader="none"/>
              </w:tabs>
              <w:rPr>
                <w:rFonts w:eastAsia="SimSun"/>
                <w:lang w:eastAsia="zh-CN" w:bidi="ru-RU"/>
              </w:rPr>
            </w:pPr>
            <w:r>
              <w:rPr>
                <w:rFonts w:eastAsia="SimSun"/>
                <w:lang w:eastAsia="zh-CN" w:bidi="ru-RU"/>
              </w:rPr>
              <w:t xml:space="preserve">максимальный процент застройки в границах земельного участка – 60%;</w:t>
            </w:r>
            <w:r/>
          </w:p>
          <w:p>
            <w:pPr>
              <w:ind w:left="113" w:right="187"/>
              <w:jc w:val="both"/>
              <w:tabs>
                <w:tab w:val="left" w:pos="1134" w:leader="none"/>
              </w:tabs>
              <w:rPr>
                <w:rFonts w:eastAsia="SimSun"/>
                <w:lang w:eastAsia="zh-CN" w:bidi="ru-RU"/>
              </w:rPr>
            </w:pPr>
            <w:r>
              <w:rPr>
                <w:rFonts w:eastAsia="SimSun"/>
                <w:lang w:eastAsia="zh-CN" w:bidi="ru-RU"/>
              </w:rPr>
              <w:t xml:space="preserve">предельное количество надземных этажей зданий – 2;</w:t>
            </w:r>
            <w:r/>
          </w:p>
          <w:p>
            <w:pPr>
              <w:ind w:left="113" w:right="187"/>
              <w:jc w:val="both"/>
              <w:rPr>
                <w:lang w:eastAsia="ru-RU" w:bidi="ru-RU"/>
              </w:rPr>
            </w:pPr>
            <w:r>
              <w:rPr>
                <w:rFonts w:eastAsia="SimSun"/>
                <w:lang w:eastAsia="zh-CN" w:bidi="ru-RU"/>
              </w:rPr>
              <w:t xml:space="preserve">предельная высота </w:t>
            </w:r>
            <w:r>
              <w:rPr>
                <w:lang w:eastAsia="ru-RU" w:bidi="ru-RU"/>
              </w:rPr>
              <w:t xml:space="preserve">зданий, строений, </w:t>
            </w:r>
            <w:r>
              <w:rPr>
                <w:rFonts w:eastAsia="SimSun"/>
                <w:lang w:eastAsia="zh-CN" w:bidi="ru-RU"/>
              </w:rPr>
              <w:t xml:space="preserve">сооружений</w:t>
            </w:r>
            <w:r>
              <w:rPr>
                <w:lang w:eastAsia="ru-RU" w:bidi="ru-RU"/>
              </w:rPr>
              <w:t xml:space="preserve"> – 15 м;</w:t>
            </w:r>
            <w:r/>
          </w:p>
          <w:p>
            <w:pPr>
              <w:ind w:left="113" w:right="187"/>
              <w:jc w:val="both"/>
            </w:pPr>
            <w:r>
              <w:rPr>
                <w:rFonts w:eastAsia="SimSun"/>
                <w:lang w:eastAsia="zh-CN" w:bidi="ru-RU"/>
              </w:rPr>
              <w:t xml:space="preserve">Минимальный отступ зданий, строений и сооружений от красной линии улиц - 5 м, от иных границ 3 м.</w:t>
            </w:r>
            <w:r/>
          </w:p>
        </w:tc>
        <w:tc>
          <w:tcPr>
            <w:tcW w:w="3242" w:type="dxa"/>
            <w:vMerge w:val="continue"/>
            <w:textDirection w:val="lrTb"/>
            <w:noWrap w:val="false"/>
          </w:tcPr>
          <w:p>
            <w:pPr>
              <w:ind w:firstLine="567"/>
              <w:tabs>
                <w:tab w:val="left" w:pos="2520" w:leader="none"/>
              </w:tabs>
            </w:pPr>
            <w:r/>
            <w:r/>
          </w:p>
        </w:tc>
      </w:tr>
      <w:tr>
        <w:trPr>
          <w:trHeight w:val="20"/>
        </w:trPr>
        <w:tc>
          <w:tcPr>
            <w:tcW w:w="2675" w:type="dxa"/>
            <w:textDirection w:val="lrTb"/>
            <w:noWrap w:val="false"/>
          </w:tcPr>
          <w:p>
            <w:pPr>
              <w:ind w:left="113" w:right="187"/>
            </w:pPr>
            <w:r>
              <w:t xml:space="preserve">[1.16]  </w:t>
            </w:r>
            <w:r/>
          </w:p>
          <w:p>
            <w:pPr>
              <w:ind w:left="113" w:right="187"/>
            </w:pPr>
            <w:r>
              <w:t xml:space="preserve">Ведение личного подсобного хозяйства на полевых участках</w:t>
            </w:r>
            <w:r/>
          </w:p>
        </w:tc>
        <w:tc>
          <w:tcPr>
            <w:tcW w:w="4536" w:type="dxa"/>
            <w:textDirection w:val="lrTb"/>
            <w:noWrap w:val="false"/>
          </w:tcPr>
          <w:p>
            <w:pPr>
              <w:ind w:left="113" w:right="187"/>
              <w:jc w:val="both"/>
              <w:tabs>
                <w:tab w:val="left" w:pos="2520" w:leader="none"/>
              </w:tabs>
            </w:pPr>
            <w:r>
              <w:t xml:space="preserve">Производство сельскохозяйственной продукции без права возведения объектов капитального строительства</w:t>
            </w:r>
            <w:r/>
          </w:p>
        </w:tc>
        <w:tc>
          <w:tcPr>
            <w:tcW w:w="4696" w:type="dxa"/>
            <w:textDirection w:val="lrTb"/>
            <w:noWrap w:val="false"/>
          </w:tcPr>
          <w:p>
            <w:pPr>
              <w:ind w:left="113" w:right="187"/>
              <w:jc w:val="both"/>
              <w:tabs>
                <w:tab w:val="left" w:pos="1134" w:leader="none"/>
              </w:tabs>
              <w:rPr>
                <w:rFonts w:eastAsia="SimSun"/>
                <w:lang w:eastAsia="zh-CN" w:bidi="ru-RU"/>
              </w:rPr>
            </w:pPr>
            <w:r>
              <w:rPr>
                <w:rFonts w:eastAsia="SimSun"/>
                <w:lang w:eastAsia="zh-CN" w:bidi="ru-RU"/>
              </w:rPr>
              <w:t xml:space="preserve">Минимальная (максимальная) площадь земельного участка - 300 (1000000) кв. м;</w:t>
            </w:r>
            <w:r/>
          </w:p>
          <w:p>
            <w:pPr>
              <w:ind w:left="113" w:right="187"/>
              <w:jc w:val="both"/>
              <w:tabs>
                <w:tab w:val="left" w:pos="1134" w:leader="none"/>
              </w:tabs>
              <w:rPr>
                <w:rFonts w:eastAsia="SimSun"/>
                <w:lang w:eastAsia="zh-CN" w:bidi="ru-RU"/>
              </w:rPr>
            </w:pPr>
            <w:r>
              <w:rPr>
                <w:rFonts w:eastAsia="SimSun"/>
                <w:lang w:eastAsia="zh-CN" w:bidi="ru-RU"/>
              </w:rPr>
              <w:t xml:space="preserve">Предельные параметры не подлежат установлению.</w:t>
            </w:r>
            <w:r/>
          </w:p>
          <w:p>
            <w:pPr>
              <w:ind w:left="113" w:right="187"/>
              <w:tabs>
                <w:tab w:val="left" w:pos="2520" w:leader="none"/>
              </w:tabs>
            </w:pPr>
            <w:r>
              <w:rPr>
                <w:rFonts w:eastAsia="SimSun"/>
                <w:lang w:eastAsia="zh-CN" w:bidi="ru-RU"/>
              </w:rPr>
              <w:t xml:space="preserve">Использование земельного участка без права строительства</w:t>
            </w:r>
            <w:r/>
          </w:p>
        </w:tc>
        <w:tc>
          <w:tcPr>
            <w:tcW w:w="3242" w:type="dxa"/>
            <w:vMerge w:val="continue"/>
            <w:textDirection w:val="lrTb"/>
            <w:noWrap w:val="false"/>
          </w:tcPr>
          <w:p>
            <w:pPr>
              <w:ind w:firstLine="567"/>
              <w:tabs>
                <w:tab w:val="left" w:pos="2520" w:leader="none"/>
              </w:tabs>
            </w:pPr>
            <w:r/>
            <w:r/>
          </w:p>
        </w:tc>
      </w:tr>
      <w:tr>
        <w:trPr>
          <w:trHeight w:val="20"/>
        </w:trPr>
        <w:tc>
          <w:tcPr>
            <w:tcW w:w="2675" w:type="dxa"/>
            <w:textDirection w:val="lrTb"/>
            <w:noWrap w:val="false"/>
          </w:tcPr>
          <w:p>
            <w:pPr>
              <w:ind w:left="113" w:right="187"/>
            </w:pPr>
            <w:r>
              <w:t xml:space="preserve">[1.17]  Питомники</w:t>
            </w:r>
            <w:r/>
          </w:p>
        </w:tc>
        <w:tc>
          <w:tcPr>
            <w:tcW w:w="4536" w:type="dxa"/>
            <w:textDirection w:val="lrTb"/>
            <w:noWrap w:val="false"/>
          </w:tcPr>
          <w:p>
            <w:pPr>
              <w:ind w:left="113" w:right="187"/>
              <w:jc w:val="both"/>
            </w:pPr>
            <w:r>
              <w:t xml:space="preserve">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r/>
          </w:p>
          <w:p>
            <w:pPr>
              <w:ind w:left="113" w:right="187"/>
              <w:jc w:val="both"/>
              <w:tabs>
                <w:tab w:val="left" w:pos="2520" w:leader="none"/>
              </w:tabs>
            </w:pPr>
            <w:r>
              <w:t xml:space="preserve">размещение сооружений, необходимых для указанных видов сельскохозяйственного </w:t>
            </w:r>
            <w:r>
              <w:t xml:space="preserve">производства</w:t>
            </w:r>
            <w:r/>
          </w:p>
        </w:tc>
        <w:tc>
          <w:tcPr>
            <w:tcW w:w="4696" w:type="dxa"/>
            <w:textDirection w:val="lrTb"/>
            <w:noWrap w:val="false"/>
          </w:tcPr>
          <w:p>
            <w:pPr>
              <w:ind w:left="113" w:right="187"/>
              <w:jc w:val="both"/>
              <w:tabs>
                <w:tab w:val="left" w:pos="1134" w:leader="none"/>
              </w:tabs>
              <w:rPr>
                <w:rFonts w:eastAsia="SimSun"/>
                <w:lang w:eastAsia="zh-CN" w:bidi="ru-RU"/>
              </w:rPr>
            </w:pPr>
            <w:r>
              <w:rPr>
                <w:rFonts w:eastAsia="SimSun"/>
                <w:lang w:eastAsia="zh-CN" w:bidi="ru-RU"/>
              </w:rPr>
              <w:t xml:space="preserve">Минимальная (максимальная) площадь земельного участка - 300 (1000000) кв. м;</w:t>
            </w:r>
            <w:r/>
          </w:p>
          <w:p>
            <w:pPr>
              <w:ind w:left="113" w:right="187"/>
              <w:jc w:val="both"/>
              <w:tabs>
                <w:tab w:val="left" w:pos="1134" w:leader="none"/>
              </w:tabs>
              <w:rPr>
                <w:rFonts w:eastAsia="SimSun"/>
                <w:lang w:eastAsia="zh-CN" w:bidi="ru-RU"/>
              </w:rPr>
            </w:pPr>
            <w:r>
              <w:rPr>
                <w:rFonts w:eastAsia="SimSun"/>
                <w:lang w:eastAsia="zh-CN" w:bidi="ru-RU"/>
              </w:rPr>
              <w:t xml:space="preserve">максимальный процент застройки в границах земельного участка – 50%;</w:t>
            </w:r>
            <w:r/>
          </w:p>
          <w:p>
            <w:pPr>
              <w:ind w:left="113" w:right="187"/>
              <w:jc w:val="both"/>
              <w:tabs>
                <w:tab w:val="left" w:pos="1134" w:leader="none"/>
              </w:tabs>
              <w:rPr>
                <w:rFonts w:eastAsia="SimSun"/>
                <w:lang w:eastAsia="zh-CN" w:bidi="ru-RU"/>
              </w:rPr>
            </w:pPr>
            <w:r>
              <w:rPr>
                <w:rFonts w:eastAsia="SimSun"/>
                <w:lang w:eastAsia="zh-CN" w:bidi="ru-RU"/>
              </w:rPr>
              <w:t xml:space="preserve">предельное количество надземных этажей зданий – 2;</w:t>
            </w:r>
            <w:r/>
          </w:p>
          <w:p>
            <w:pPr>
              <w:ind w:left="113" w:right="187"/>
              <w:jc w:val="both"/>
              <w:rPr>
                <w:lang w:eastAsia="ru-RU" w:bidi="ru-RU"/>
              </w:rPr>
            </w:pPr>
            <w:r>
              <w:rPr>
                <w:rFonts w:eastAsia="SimSun"/>
                <w:lang w:eastAsia="zh-CN" w:bidi="ru-RU"/>
              </w:rPr>
              <w:t xml:space="preserve">предельная высота </w:t>
            </w:r>
            <w:r>
              <w:rPr>
                <w:lang w:eastAsia="ru-RU" w:bidi="ru-RU"/>
              </w:rPr>
              <w:t xml:space="preserve">зданий, строений, </w:t>
            </w:r>
            <w:r>
              <w:rPr>
                <w:rFonts w:eastAsia="SimSun"/>
                <w:lang w:eastAsia="zh-CN" w:bidi="ru-RU"/>
              </w:rPr>
              <w:t xml:space="preserve">сооружений</w:t>
            </w:r>
            <w:r>
              <w:rPr>
                <w:lang w:eastAsia="ru-RU" w:bidi="ru-RU"/>
              </w:rPr>
              <w:t xml:space="preserve"> – 15 м;</w:t>
            </w:r>
            <w:r/>
          </w:p>
          <w:p>
            <w:pPr>
              <w:ind w:left="113" w:right="187"/>
              <w:jc w:val="both"/>
            </w:pPr>
            <w:r>
              <w:rPr>
                <w:rFonts w:eastAsia="SimSun"/>
                <w:lang w:eastAsia="zh-CN" w:bidi="ru-RU"/>
              </w:rPr>
              <w:t xml:space="preserve">Минимальный отступ зданий, строений и сооружений от красной линии улиц - 5 м. от иных границ 3 м.</w:t>
            </w:r>
            <w:r/>
          </w:p>
        </w:tc>
        <w:tc>
          <w:tcPr>
            <w:tcW w:w="3242" w:type="dxa"/>
            <w:vMerge w:val="restart"/>
            <w:textDirection w:val="lrTb"/>
            <w:noWrap w:val="false"/>
          </w:tcPr>
          <w:p>
            <w:pPr>
              <w:ind w:firstLine="567"/>
              <w:tabs>
                <w:tab w:val="left" w:pos="2520" w:leader="none"/>
              </w:tabs>
            </w:pPr>
            <w:r/>
            <w:r/>
          </w:p>
        </w:tc>
      </w:tr>
      <w:tr>
        <w:trPr>
          <w:trHeight w:val="20"/>
        </w:trPr>
        <w:tc>
          <w:tcPr>
            <w:tcW w:w="2675" w:type="dxa"/>
            <w:textDirection w:val="lrTb"/>
            <w:noWrap w:val="false"/>
          </w:tcPr>
          <w:p>
            <w:pPr>
              <w:ind w:left="113"/>
            </w:pPr>
            <w:r>
              <w:t xml:space="preserve">[1.18]  </w:t>
            </w:r>
            <w:bookmarkStart w:id="8" w:name="sub_10118"/>
            <w:r/>
            <w:r/>
          </w:p>
          <w:p>
            <w:pPr>
              <w:ind w:left="113"/>
            </w:pPr>
            <w:r>
              <w:t xml:space="preserve">Обеспечение</w:t>
            </w:r>
            <w:bookmarkEnd w:id="8"/>
            <w:r>
              <w:t xml:space="preserve">  сельскохозяйственного производства</w:t>
            </w:r>
            <w:r/>
          </w:p>
        </w:tc>
        <w:tc>
          <w:tcPr>
            <w:tcW w:w="4536" w:type="dxa"/>
            <w:textDirection w:val="lrTb"/>
            <w:noWrap w:val="false"/>
          </w:tcPr>
          <w:p>
            <w:pPr>
              <w:ind w:left="113" w:right="187"/>
              <w:jc w:val="both"/>
              <w:tabs>
                <w:tab w:val="left" w:pos="2520" w:leader="none"/>
              </w:tabs>
            </w:pPr>
            <w:r>
              <w:t xml:space="preserve">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r/>
          </w:p>
        </w:tc>
        <w:tc>
          <w:tcPr>
            <w:tcW w:w="4696" w:type="dxa"/>
            <w:textDirection w:val="lrTb"/>
            <w:noWrap w:val="false"/>
          </w:tcPr>
          <w:p>
            <w:pPr>
              <w:ind w:left="113" w:right="187"/>
              <w:jc w:val="both"/>
              <w:tabs>
                <w:tab w:val="left" w:pos="1134" w:leader="none"/>
              </w:tabs>
              <w:rPr>
                <w:rFonts w:eastAsia="SimSun"/>
                <w:lang w:eastAsia="zh-CN" w:bidi="ru-RU"/>
              </w:rPr>
            </w:pPr>
            <w:r>
              <w:rPr>
                <w:rFonts w:eastAsia="SimSun"/>
                <w:lang w:eastAsia="zh-CN" w:bidi="ru-RU"/>
              </w:rPr>
              <w:t xml:space="preserve">Минимальная (максимальная) площадь земельного участка - 1000 (1000000) кв. м.</w:t>
            </w:r>
            <w:r/>
          </w:p>
          <w:p>
            <w:pPr>
              <w:ind w:left="113" w:right="187"/>
              <w:jc w:val="both"/>
              <w:tabs>
                <w:tab w:val="left" w:pos="1134" w:leader="none"/>
              </w:tabs>
              <w:rPr>
                <w:rFonts w:eastAsia="SimSun"/>
                <w:lang w:eastAsia="zh-CN" w:bidi="ru-RU"/>
              </w:rPr>
            </w:pPr>
            <w:r>
              <w:rPr>
                <w:rFonts w:eastAsia="SimSun"/>
                <w:lang w:eastAsia="zh-CN" w:bidi="ru-RU"/>
              </w:rPr>
              <w:t xml:space="preserve">максимальный процент застройки в границах земельного участка – 60%;</w:t>
            </w:r>
            <w:r/>
          </w:p>
          <w:p>
            <w:pPr>
              <w:ind w:left="113" w:right="187"/>
              <w:jc w:val="both"/>
              <w:tabs>
                <w:tab w:val="left" w:pos="1134" w:leader="none"/>
              </w:tabs>
              <w:rPr>
                <w:rFonts w:eastAsia="SimSun"/>
                <w:lang w:eastAsia="zh-CN" w:bidi="ru-RU"/>
              </w:rPr>
            </w:pPr>
            <w:r>
              <w:rPr>
                <w:rFonts w:eastAsia="SimSun"/>
                <w:lang w:eastAsia="zh-CN" w:bidi="ru-RU"/>
              </w:rPr>
              <w:t xml:space="preserve">предельное количество надземных этажей зданий – 2;</w:t>
            </w:r>
            <w:r/>
          </w:p>
          <w:p>
            <w:pPr>
              <w:ind w:left="113" w:right="187"/>
              <w:jc w:val="both"/>
              <w:rPr>
                <w:lang w:eastAsia="ru-RU" w:bidi="ru-RU"/>
              </w:rPr>
            </w:pPr>
            <w:r>
              <w:rPr>
                <w:rFonts w:eastAsia="SimSun"/>
                <w:lang w:eastAsia="zh-CN" w:bidi="ru-RU"/>
              </w:rPr>
              <w:t xml:space="preserve">предельная высота </w:t>
            </w:r>
            <w:r>
              <w:rPr>
                <w:lang w:eastAsia="ru-RU" w:bidi="ru-RU"/>
              </w:rPr>
              <w:t xml:space="preserve">зданий, строений, </w:t>
            </w:r>
            <w:r>
              <w:rPr>
                <w:rFonts w:eastAsia="SimSun"/>
                <w:lang w:eastAsia="zh-CN" w:bidi="ru-RU"/>
              </w:rPr>
              <w:t xml:space="preserve">сооружений</w:t>
            </w:r>
            <w:r>
              <w:rPr>
                <w:lang w:eastAsia="ru-RU" w:bidi="ru-RU"/>
              </w:rPr>
              <w:t xml:space="preserve"> – 15 м;</w:t>
            </w:r>
            <w:r/>
          </w:p>
          <w:p>
            <w:pPr>
              <w:ind w:left="113" w:right="187"/>
              <w:tabs>
                <w:tab w:val="left" w:pos="2520" w:leader="none"/>
              </w:tabs>
            </w:pPr>
            <w:r>
              <w:rPr>
                <w:rFonts w:eastAsia="SimSun"/>
                <w:lang w:eastAsia="zh-CN" w:bidi="ru-RU"/>
              </w:rPr>
              <w:t xml:space="preserve">Минимальный отступ зданий, строений и сооружений от красной линии улиц - 5 м, от иных границ 3 м.</w:t>
            </w:r>
            <w:r/>
          </w:p>
        </w:tc>
        <w:tc>
          <w:tcPr>
            <w:tcW w:w="3242" w:type="dxa"/>
            <w:vMerge w:val="continue"/>
            <w:textDirection w:val="lrTb"/>
            <w:noWrap w:val="false"/>
          </w:tcPr>
          <w:p>
            <w:pPr>
              <w:ind w:firstLine="567"/>
              <w:tabs>
                <w:tab w:val="left" w:pos="2520" w:leader="none"/>
              </w:tabs>
            </w:pPr>
            <w:r/>
            <w:r/>
          </w:p>
        </w:tc>
      </w:tr>
      <w:tr>
        <w:trPr>
          <w:trHeight w:val="20"/>
        </w:trPr>
        <w:tc>
          <w:tcPr>
            <w:tcW w:w="2675" w:type="dxa"/>
            <w:textDirection w:val="lrTb"/>
            <w:noWrap w:val="false"/>
          </w:tcPr>
          <w:p>
            <w:pPr>
              <w:ind w:left="113"/>
              <w:rPr>
                <w:lang w:val="en-US"/>
              </w:rPr>
            </w:pPr>
            <w:r>
              <w:rPr>
                <w:lang w:val="en-US"/>
              </w:rPr>
              <w:t xml:space="preserve">[1.19]</w:t>
            </w:r>
            <w:r/>
          </w:p>
          <w:p>
            <w:pPr>
              <w:ind w:left="113"/>
            </w:pPr>
            <w:r>
              <w:t xml:space="preserve">Сенокошение</w:t>
            </w:r>
            <w:r/>
          </w:p>
        </w:tc>
        <w:tc>
          <w:tcPr>
            <w:tcW w:w="4536" w:type="dxa"/>
            <w:textDirection w:val="lrTb"/>
            <w:noWrap w:val="false"/>
          </w:tcPr>
          <w:p>
            <w:pPr>
              <w:ind w:left="113" w:right="187"/>
              <w:jc w:val="both"/>
              <w:tabs>
                <w:tab w:val="left" w:pos="2520" w:leader="none"/>
              </w:tabs>
            </w:pPr>
            <w:r>
              <w:t xml:space="preserve">Кошение трав, сбор и заготовка сена</w:t>
            </w:r>
            <w:r/>
          </w:p>
        </w:tc>
        <w:tc>
          <w:tcPr>
            <w:tcW w:w="4696" w:type="dxa"/>
            <w:textDirection w:val="lrTb"/>
            <w:noWrap w:val="false"/>
          </w:tcPr>
          <w:p>
            <w:pPr>
              <w:ind w:left="113" w:right="187"/>
              <w:jc w:val="both"/>
              <w:tabs>
                <w:tab w:val="left" w:pos="1134" w:leader="none"/>
              </w:tabs>
              <w:rPr>
                <w:rFonts w:eastAsia="SimSun"/>
                <w:lang w:eastAsia="zh-CN" w:bidi="ru-RU"/>
              </w:rPr>
            </w:pPr>
            <w:r>
              <w:rPr>
                <w:rFonts w:eastAsia="SimSun"/>
                <w:lang w:eastAsia="zh-CN" w:bidi="ru-RU"/>
              </w:rPr>
              <w:t xml:space="preserve">Минимальная (максимальная) площадь земельного участка - 300 (10000) кв. м.</w:t>
            </w:r>
            <w:r/>
          </w:p>
          <w:p>
            <w:pPr>
              <w:ind w:left="113" w:right="187"/>
              <w:jc w:val="both"/>
              <w:tabs>
                <w:tab w:val="left" w:pos="1134" w:leader="none"/>
              </w:tabs>
              <w:rPr>
                <w:rFonts w:eastAsia="SimSun"/>
                <w:lang w:eastAsia="zh-CN" w:bidi="ru-RU"/>
              </w:rPr>
            </w:pPr>
            <w:r>
              <w:rPr>
                <w:rFonts w:eastAsia="SimSun"/>
                <w:lang w:eastAsia="zh-CN" w:bidi="ru-RU"/>
              </w:rPr>
              <w:t xml:space="preserve">Предельные параметры не подлежат установлению.</w:t>
            </w:r>
            <w:r/>
          </w:p>
          <w:p>
            <w:pPr>
              <w:ind w:left="113" w:right="187"/>
              <w:jc w:val="both"/>
              <w:tabs>
                <w:tab w:val="left" w:pos="1134" w:leader="none"/>
              </w:tabs>
              <w:rPr>
                <w:rFonts w:eastAsia="SimSun"/>
                <w:lang w:eastAsia="zh-CN" w:bidi="ru-RU"/>
              </w:rPr>
            </w:pPr>
            <w:r>
              <w:rPr>
                <w:rFonts w:eastAsia="SimSun"/>
                <w:lang w:eastAsia="zh-CN" w:bidi="ru-RU"/>
              </w:rPr>
              <w:t xml:space="preserve">Использование земельного участка без права строительства</w:t>
            </w:r>
            <w:r/>
          </w:p>
        </w:tc>
        <w:tc>
          <w:tcPr>
            <w:tcW w:w="3242" w:type="dxa"/>
            <w:vMerge w:val="continue"/>
            <w:textDirection w:val="lrTb"/>
            <w:noWrap w:val="false"/>
          </w:tcPr>
          <w:p>
            <w:pPr>
              <w:ind w:firstLine="567"/>
              <w:tabs>
                <w:tab w:val="left" w:pos="2520" w:leader="none"/>
              </w:tabs>
            </w:pPr>
            <w:r/>
            <w:r/>
          </w:p>
        </w:tc>
      </w:tr>
      <w:tr>
        <w:trPr>
          <w:trHeight w:val="20"/>
        </w:trPr>
        <w:tc>
          <w:tcPr>
            <w:tcW w:w="2675" w:type="dxa"/>
            <w:textDirection w:val="lrTb"/>
            <w:noWrap w:val="false"/>
          </w:tcPr>
          <w:p>
            <w:pPr>
              <w:ind w:left="113"/>
            </w:pPr>
            <w:r>
              <w:t xml:space="preserve">[1.20] </w:t>
            </w:r>
            <w:r/>
          </w:p>
          <w:p>
            <w:pPr>
              <w:ind w:left="113"/>
            </w:pPr>
            <w:r>
              <w:t xml:space="preserve"> Выпас сельскохозяйственных животных</w:t>
            </w:r>
            <w:r/>
          </w:p>
        </w:tc>
        <w:tc>
          <w:tcPr>
            <w:tcW w:w="4536" w:type="dxa"/>
            <w:textDirection w:val="lrTb"/>
            <w:noWrap w:val="false"/>
          </w:tcPr>
          <w:p>
            <w:pPr>
              <w:ind w:left="113" w:right="187"/>
              <w:jc w:val="both"/>
            </w:pPr>
            <w:r>
              <w:t xml:space="preserve">Выпас сельскохозяйственных животных</w:t>
            </w:r>
            <w:r/>
          </w:p>
        </w:tc>
        <w:tc>
          <w:tcPr>
            <w:tcW w:w="4696" w:type="dxa"/>
            <w:textDirection w:val="lrTb"/>
            <w:noWrap w:val="false"/>
          </w:tcPr>
          <w:p>
            <w:pPr>
              <w:ind w:left="113" w:right="187"/>
              <w:jc w:val="both"/>
              <w:tabs>
                <w:tab w:val="left" w:pos="1134" w:leader="none"/>
              </w:tabs>
              <w:rPr>
                <w:rFonts w:eastAsia="SimSun"/>
                <w:lang w:eastAsia="zh-CN" w:bidi="ru-RU"/>
              </w:rPr>
            </w:pPr>
            <w:r>
              <w:rPr>
                <w:rFonts w:eastAsia="SimSun"/>
                <w:lang w:eastAsia="zh-CN" w:bidi="ru-RU"/>
              </w:rPr>
              <w:t xml:space="preserve">Минимальная (максимальная) площадь земельного участка - 300 (10000) кв. м.</w:t>
            </w:r>
            <w:r/>
          </w:p>
          <w:p>
            <w:pPr>
              <w:ind w:left="113" w:right="187"/>
              <w:jc w:val="both"/>
              <w:tabs>
                <w:tab w:val="left" w:pos="1134" w:leader="none"/>
              </w:tabs>
              <w:rPr>
                <w:rFonts w:eastAsia="SimSun"/>
                <w:lang w:eastAsia="zh-CN" w:bidi="ru-RU"/>
              </w:rPr>
            </w:pPr>
            <w:r>
              <w:rPr>
                <w:rFonts w:eastAsia="SimSun"/>
                <w:lang w:eastAsia="zh-CN" w:bidi="ru-RU"/>
              </w:rPr>
              <w:t xml:space="preserve">Предельные параметры не подлежат установлению.</w:t>
            </w:r>
            <w:r/>
          </w:p>
          <w:p>
            <w:pPr>
              <w:ind w:left="113" w:right="187"/>
              <w:jc w:val="both"/>
            </w:pPr>
            <w:r>
              <w:rPr>
                <w:rFonts w:eastAsia="SimSun"/>
                <w:lang w:eastAsia="zh-CN" w:bidi="ru-RU"/>
              </w:rPr>
              <w:t xml:space="preserve">Использование земельного участка без права строительства</w:t>
            </w:r>
            <w:r/>
          </w:p>
        </w:tc>
        <w:tc>
          <w:tcPr>
            <w:tcW w:w="3242" w:type="dxa"/>
            <w:vMerge w:val="continue"/>
            <w:textDirection w:val="lrTb"/>
            <w:noWrap w:val="false"/>
          </w:tcPr>
          <w:p>
            <w:pPr>
              <w:ind w:firstLine="567"/>
              <w:jc w:val="both"/>
            </w:pPr>
            <w:r/>
            <w:r/>
          </w:p>
        </w:tc>
      </w:tr>
      <w:tr>
        <w:trPr>
          <w:trHeight w:val="20"/>
        </w:trPr>
        <w:tc>
          <w:tcPr>
            <w:tcW w:w="2675" w:type="dxa"/>
            <w:textDirection w:val="lrTb"/>
            <w:noWrap w:val="false"/>
          </w:tcPr>
          <w:p>
            <w:pPr>
              <w:ind w:left="113" w:right="187"/>
              <w:jc w:val="both"/>
            </w:pPr>
            <w:r>
              <w:t xml:space="preserve">[9.3] </w:t>
            </w:r>
            <w:r/>
          </w:p>
          <w:p>
            <w:pPr>
              <w:ind w:left="113"/>
            </w:pPr>
            <w:r>
              <w:t xml:space="preserve">Историко-культурная деятельность</w:t>
            </w:r>
            <w:r/>
          </w:p>
        </w:tc>
        <w:tc>
          <w:tcPr>
            <w:tcW w:w="4536" w:type="dxa"/>
            <w:textDirection w:val="lrTb"/>
            <w:noWrap w:val="false"/>
          </w:tcPr>
          <w:p>
            <w:pPr>
              <w:ind w:left="113" w:right="187"/>
              <w:jc w:val="both"/>
            </w:pPr>
            <w: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w:t>
            </w:r>
            <w:r>
              <w:t xml:space="preserve">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r/>
          </w:p>
        </w:tc>
        <w:tc>
          <w:tcPr>
            <w:tcW w:w="4696" w:type="dxa"/>
            <w:textDirection w:val="lrTb"/>
            <w:noWrap w:val="false"/>
          </w:tcPr>
          <w:p>
            <w:pPr>
              <w:ind w:left="132"/>
              <w:jc w:val="center"/>
              <w:rPr>
                <w:rFonts w:eastAsia="Calibri"/>
              </w:rPr>
            </w:pPr>
            <w:r>
              <w:rPr>
                <w:rFonts w:eastAsia="Calibri"/>
              </w:rPr>
              <w:t xml:space="preserve">Не подлежат установлению</w:t>
            </w:r>
            <w:r/>
          </w:p>
          <w:p>
            <w:pPr>
              <w:ind w:left="113" w:right="187"/>
              <w:jc w:val="center"/>
              <w:tabs>
                <w:tab w:val="left" w:pos="1134" w:leader="none"/>
              </w:tabs>
              <w:rPr>
                <w:rFonts w:eastAsia="SimSun"/>
                <w:lang w:eastAsia="zh-CN" w:bidi="ru-RU"/>
              </w:rPr>
            </w:pPr>
            <w:r>
              <w:rPr>
                <w:rFonts w:eastAsia="Calibri"/>
              </w:rPr>
              <w:t xml:space="preserve">(определяется при проектировании)</w:t>
            </w:r>
            <w:r/>
          </w:p>
        </w:tc>
        <w:tc>
          <w:tcPr>
            <w:tcW w:w="3242" w:type="dxa"/>
            <w:vMerge w:val="continue"/>
            <w:textDirection w:val="lrTb"/>
            <w:noWrap w:val="false"/>
          </w:tcPr>
          <w:p>
            <w:pPr>
              <w:ind w:firstLine="567"/>
              <w:jc w:val="both"/>
            </w:pPr>
            <w:r/>
            <w:r/>
          </w:p>
        </w:tc>
      </w:tr>
      <w:tr>
        <w:trPr>
          <w:trHeight w:val="2052"/>
        </w:trPr>
        <w:tc>
          <w:tcPr>
            <w:tcW w:w="2675" w:type="dxa"/>
            <w:textDirection w:val="lrTb"/>
            <w:noWrap w:val="false"/>
          </w:tcPr>
          <w:p>
            <w:pPr>
              <w:ind w:left="113" w:right="187"/>
            </w:pPr>
            <w:r>
              <w:t xml:space="preserve">[13.1]  </w:t>
            </w:r>
            <w:r/>
          </w:p>
          <w:p>
            <w:pPr>
              <w:ind w:left="113" w:right="187"/>
            </w:pPr>
            <w:r>
              <w:t xml:space="preserve">Ведение огородничества</w:t>
            </w:r>
            <w:r/>
          </w:p>
        </w:tc>
        <w:tc>
          <w:tcPr>
            <w:tcW w:w="4536" w:type="dxa"/>
            <w:textDirection w:val="lrTb"/>
            <w:noWrap w:val="false"/>
          </w:tcPr>
          <w:p>
            <w:pPr>
              <w:ind w:left="113" w:right="187"/>
              <w:jc w:val="both"/>
            </w:pPr>
            <w:r>
              <w:rPr>
                <w:shd w:val="clear" w:color="auto" w:fill="ffffff"/>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r/>
          </w:p>
        </w:tc>
        <w:tc>
          <w:tcPr>
            <w:tcW w:w="4696" w:type="dxa"/>
            <w:textDirection w:val="lrTb"/>
            <w:noWrap w:val="false"/>
          </w:tcPr>
          <w:p>
            <w:pPr>
              <w:ind w:left="113" w:right="187"/>
              <w:jc w:val="both"/>
              <w:tabs>
                <w:tab w:val="left" w:pos="1134" w:leader="none"/>
              </w:tabs>
              <w:rPr>
                <w:rFonts w:eastAsia="SimSun"/>
                <w:lang w:eastAsia="zh-CN" w:bidi="ru-RU"/>
              </w:rPr>
            </w:pPr>
            <w:r>
              <w:rPr>
                <w:rFonts w:eastAsia="SimSun"/>
                <w:lang w:eastAsia="zh-CN" w:bidi="ru-RU"/>
              </w:rPr>
              <w:t xml:space="preserve">Минимальная (максимальная) площадь земельного участка - 300 (1500) кв. м.</w:t>
            </w:r>
            <w:r/>
          </w:p>
          <w:p>
            <w:pPr>
              <w:ind w:left="113" w:right="187"/>
              <w:jc w:val="both"/>
              <w:tabs>
                <w:tab w:val="left" w:pos="1134" w:leader="none"/>
              </w:tabs>
              <w:rPr>
                <w:rFonts w:eastAsia="SimSun"/>
                <w:lang w:eastAsia="zh-CN" w:bidi="ru-RU"/>
              </w:rPr>
            </w:pPr>
            <w:r>
              <w:rPr>
                <w:rFonts w:eastAsia="SimSun"/>
                <w:lang w:eastAsia="zh-CN" w:bidi="ru-RU"/>
              </w:rPr>
              <w:t xml:space="preserve">Предельные параметры не подлежат установлению.</w:t>
            </w:r>
            <w:r/>
          </w:p>
          <w:p>
            <w:pPr>
              <w:ind w:left="113" w:right="187"/>
              <w:jc w:val="both"/>
            </w:pPr>
            <w:r>
              <w:rPr>
                <w:rFonts w:eastAsia="SimSun"/>
                <w:lang w:eastAsia="zh-CN" w:bidi="ru-RU"/>
              </w:rPr>
              <w:t xml:space="preserve">Использование земельного участка без права строительства</w:t>
            </w:r>
            <w:r/>
          </w:p>
        </w:tc>
        <w:tc>
          <w:tcPr>
            <w:tcW w:w="3242" w:type="dxa"/>
            <w:vMerge w:val="continue"/>
            <w:textDirection w:val="lrTb"/>
            <w:noWrap w:val="false"/>
          </w:tcPr>
          <w:p>
            <w:pPr>
              <w:ind w:firstLine="567"/>
              <w:jc w:val="both"/>
            </w:pPr>
            <w:r/>
            <w:r/>
          </w:p>
        </w:tc>
      </w:tr>
    </w:tbl>
    <w:p>
      <w:pPr>
        <w:ind w:firstLine="567"/>
        <w:jc w:val="center"/>
        <w:tabs>
          <w:tab w:val="left" w:pos="2520" w:leader="none"/>
        </w:tabs>
      </w:pPr>
      <w:r/>
      <w:r/>
    </w:p>
    <w:p>
      <w:pPr>
        <w:ind w:firstLine="567"/>
        <w:jc w:val="center"/>
        <w:tabs>
          <w:tab w:val="left" w:pos="2520" w:leader="none"/>
        </w:tabs>
      </w:pPr>
      <w:r/>
      <w:r/>
    </w:p>
    <w:p>
      <w:pPr>
        <w:jc w:val="center"/>
        <w:tabs>
          <w:tab w:val="left" w:pos="2520" w:leader="none"/>
        </w:tabs>
      </w:pPr>
      <w:r>
        <w:rPr>
          <w:b/>
          <w:color w:val="000000"/>
        </w:rPr>
        <w:t xml:space="preserve">УСЛОВНО РАЗРЕШЕННЫЕ ВИДЫ И ПАРАМЕТРЫ ИСПОЛЬЗОВАНИЯ ЗЕМЕЛЬНЫХ УЧАСТКОВ И ОБЪЕКТОВ КАПИТАЛЬНОГО СТРОИТЕЛЬСТВА</w:t>
      </w:r>
      <w:r/>
    </w:p>
    <w:p>
      <w:pPr>
        <w:ind w:firstLine="567"/>
        <w:jc w:val="center"/>
        <w:tabs>
          <w:tab w:val="left" w:pos="2520" w:leader="none"/>
        </w:tabs>
      </w:pPr>
      <w:r/>
      <w:r/>
    </w:p>
    <w:tbl>
      <w:tblPr>
        <w:tblW w:w="15178" w:type="dxa"/>
        <w:tblLayout w:type="fixed"/>
        <w:tblCellMar>
          <w:left w:w="10" w:type="dxa"/>
          <w:right w:w="10" w:type="dxa"/>
        </w:tblCellMar>
        <w:tblLook w:val="04A0" w:firstRow="1" w:lastRow="0" w:firstColumn="1" w:lastColumn="0" w:noHBand="0" w:noVBand="1"/>
      </w:tblPr>
      <w:tblGrid>
        <w:gridCol w:w="3134"/>
        <w:gridCol w:w="4029"/>
        <w:gridCol w:w="5727"/>
        <w:gridCol w:w="2288"/>
      </w:tblGrid>
      <w:tr>
        <w:trPr>
          <w:trHeight w:val="23"/>
        </w:trPr>
        <w:tc>
          <w:tcPr>
            <w:tcBorders>
              <w:top w:val="single" w:color="000000" w:sz="4" w:space="0"/>
              <w:left w:val="single" w:color="000000" w:sz="4" w:space="0"/>
              <w:bottom w:val="single" w:color="000000" w:sz="4" w:space="0"/>
              <w:right w:val="none" w:color="000000" w:sz="4" w:space="0"/>
            </w:tcBorders>
            <w:tcW w:w="3134" w:type="dxa"/>
            <w:vAlign w:val="center"/>
            <w:textDirection w:val="lrTb"/>
            <w:noWrap/>
          </w:tcPr>
          <w:p>
            <w:pPr>
              <w:ind w:left="142" w:right="137"/>
              <w:jc w:val="center"/>
              <w:tabs>
                <w:tab w:val="left" w:pos="2520" w:leader="none"/>
              </w:tabs>
            </w:pPr>
            <w:r>
              <w:rPr>
                <w:rFonts w:eastAsia="SimSun"/>
                <w:lang w:eastAsia="zh-CN" w:bidi="ru-RU"/>
              </w:rPr>
              <w:t xml:space="preserve">[</w:t>
            </w:r>
            <w:r>
              <w:rPr>
                <w:b/>
              </w:rPr>
              <w:t xml:space="preserve">КОД (ЧИСЛОВОЕ ОБОЗНАЧЕНИЕ)</w:t>
            </w:r>
            <w:r>
              <w:rPr>
                <w:rFonts w:eastAsia="SimSun"/>
                <w:lang w:eastAsia="zh-CN" w:bidi="ru-RU"/>
              </w:rPr>
              <w:t xml:space="preserve">]-</w:t>
            </w:r>
            <w:r>
              <w:rPr>
                <w:b/>
              </w:rPr>
              <w:t xml:space="preserve"> НАИМЕНОВАНИЕ ВИДАРАЗРЕШЕННОГО ИСПОЛЬЗОВАНИЯ ЗЕМЕЛЬНЫХ УЧАСТКОВ</w:t>
            </w:r>
            <w:r/>
          </w:p>
        </w:tc>
        <w:tc>
          <w:tcPr>
            <w:tcBorders>
              <w:top w:val="single" w:color="000000" w:sz="4" w:space="0"/>
              <w:left w:val="single" w:color="000000" w:sz="4" w:space="0"/>
              <w:bottom w:val="single" w:color="000000" w:sz="4" w:space="0"/>
              <w:right w:val="none" w:color="000000" w:sz="4" w:space="0"/>
            </w:tcBorders>
            <w:tcW w:w="4029" w:type="dxa"/>
            <w:vAlign w:val="center"/>
            <w:textDirection w:val="lrTb"/>
            <w:noWrap/>
          </w:tcPr>
          <w:p>
            <w:pPr>
              <w:ind w:left="142" w:right="137"/>
              <w:jc w:val="center"/>
              <w:tabs>
                <w:tab w:val="left" w:pos="2520" w:leader="none"/>
              </w:tabs>
            </w:pPr>
            <w:r>
              <w:rPr>
                <w:b/>
              </w:rPr>
              <w:t xml:space="preserve">ВИДЫ ОБЪЕКТОВ КАПИТАЛЬНОГО</w:t>
            </w:r>
            <w:r>
              <w:rPr>
                <w:b/>
              </w:rPr>
              <w:br/>
              <w:t xml:space="preserve"> СТРОИТЕЛЬСТВА</w:t>
            </w:r>
            <w:r/>
          </w:p>
        </w:tc>
        <w:tc>
          <w:tcPr>
            <w:tcBorders>
              <w:top w:val="single" w:color="000000" w:sz="4" w:space="0"/>
              <w:left w:val="single" w:color="000000" w:sz="4" w:space="0"/>
              <w:bottom w:val="single" w:color="000000" w:sz="4" w:space="0"/>
              <w:right w:val="single" w:color="000000" w:sz="4" w:space="0"/>
            </w:tcBorders>
            <w:tcW w:w="5727" w:type="dxa"/>
            <w:vAlign w:val="center"/>
            <w:textDirection w:val="lrTb"/>
            <w:noWrap/>
          </w:tcPr>
          <w:p>
            <w:pPr>
              <w:ind w:left="142" w:right="137"/>
              <w:jc w:val="center"/>
              <w:tabs>
                <w:tab w:val="left" w:pos="2520" w:leader="none"/>
              </w:tabs>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Borders>
              <w:top w:val="single" w:color="000000" w:sz="4" w:space="0"/>
              <w:left w:val="single" w:color="000000" w:sz="4" w:space="0"/>
              <w:bottom w:val="single" w:color="000000" w:sz="4" w:space="0"/>
              <w:right w:val="single" w:color="000000" w:sz="4" w:space="0"/>
            </w:tcBorders>
            <w:tcW w:w="2288" w:type="dxa"/>
            <w:vAlign w:val="center"/>
            <w:textDirection w:val="lrTb"/>
            <w:noWrap/>
          </w:tcPr>
          <w:p>
            <w:pPr>
              <w:ind w:right="142" w:firstLine="567"/>
              <w:jc w:val="center"/>
              <w:tabs>
                <w:tab w:val="left" w:pos="3071" w:leader="none"/>
              </w:tabs>
            </w:pPr>
            <w:r>
              <w:rPr>
                <w:b/>
              </w:rPr>
              <w:t xml:space="preserve">ОСОБЫЕ УСЛОВИЯ РЕАЛИЗАЦИИ РЕГЛАМЕНТА</w:t>
            </w:r>
            <w:r/>
          </w:p>
        </w:tc>
      </w:tr>
      <w:tr>
        <w:trPr>
          <w:trHeight w:val="23"/>
        </w:trPr>
        <w:tc>
          <w:tcPr>
            <w:gridSpan w:val="4"/>
            <w:tcBorders>
              <w:top w:val="single" w:color="000000" w:sz="4" w:space="0"/>
              <w:left w:val="single" w:color="000000" w:sz="4" w:space="0"/>
              <w:bottom w:val="single" w:color="000000" w:sz="4" w:space="0"/>
              <w:right w:val="single" w:color="000000" w:sz="4" w:space="0"/>
            </w:tcBorders>
            <w:tcW w:w="15178" w:type="dxa"/>
            <w:vAlign w:val="center"/>
            <w:textDirection w:val="lrTb"/>
            <w:noWrap/>
          </w:tcPr>
          <w:p>
            <w:pPr>
              <w:ind w:right="142" w:firstLine="567"/>
              <w:jc w:val="center"/>
              <w:tabs>
                <w:tab w:val="left" w:pos="3071" w:leader="none"/>
              </w:tabs>
            </w:pPr>
            <w:r>
              <w:t xml:space="preserve">Не установлены</w:t>
            </w:r>
            <w:r/>
          </w:p>
        </w:tc>
      </w:tr>
    </w:tbl>
    <w:p>
      <w:pPr>
        <w:ind w:firstLine="567"/>
        <w:jc w:val="center"/>
        <w:tabs>
          <w:tab w:val="left" w:pos="2520" w:leader="none"/>
        </w:tabs>
      </w:pPr>
      <w:r/>
      <w:r/>
    </w:p>
    <w:p>
      <w:pPr>
        <w:ind w:firstLine="567"/>
        <w:jc w:val="center"/>
        <w:tabs>
          <w:tab w:val="left" w:pos="2520" w:leader="none"/>
        </w:tabs>
      </w:pPr>
      <w:r>
        <w:rPr>
          <w:b/>
          <w:color w:val="000000"/>
        </w:rPr>
        <w:t xml:space="preserve">ВСПОМОГАТЕЛЬНЫЕ ВИДЫ И ПАРАМЕТРЫ РАЗРЕШЕННОГО ИСПОЛЬЗОВАНИЯ ЗЕМЕЛЬНЫХ УЧАСТКОВ И ОБЪЕКТОВ КАПИТАЛЬНОГО СТРОИТЕЛЬСТВА</w:t>
      </w:r>
      <w:r/>
    </w:p>
    <w:p>
      <w:pPr>
        <w:ind w:firstLine="567"/>
        <w:jc w:val="center"/>
        <w:tabs>
          <w:tab w:val="left" w:pos="2520" w:leader="none"/>
        </w:tabs>
      </w:pPr>
      <w:r/>
      <w:r/>
    </w:p>
    <w:p>
      <w:pPr>
        <w:ind w:firstLine="567"/>
        <w:jc w:val="both"/>
      </w:pPr>
      <w:r>
        <w:rPr>
          <w:lang w:eastAsia="ru-RU" w:bidi="ru-RU"/>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Pr>
          <w:rFonts w:eastAsia="SimSun"/>
          <w:lang w:eastAsia="zh-CN" w:bidi="ru-RU"/>
        </w:rPr>
        <w:t xml:space="preserve"> Предельные (мин</w:t>
      </w:r>
      <w:r>
        <w:rPr>
          <w:rFonts w:eastAsia="SimSun"/>
          <w:lang w:eastAsia="zh-CN" w:bidi="ru-RU"/>
        </w:rPr>
        <w:t xml:space="preserve">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r/>
    </w:p>
    <w:p>
      <w:pPr>
        <w:ind w:firstLine="567"/>
        <w:jc w:val="center"/>
        <w:tabs>
          <w:tab w:val="left" w:pos="2520" w:leader="none"/>
        </w:tabs>
      </w:pPr>
      <w:r/>
      <w:r/>
    </w:p>
    <w:tbl>
      <w:tblPr>
        <w:tblW w:w="0" w:type="auto"/>
        <w:tblLayout w:type="fixed"/>
        <w:tblCellMar>
          <w:left w:w="10" w:type="dxa"/>
          <w:right w:w="10" w:type="dxa"/>
        </w:tblCellMar>
        <w:tblLook w:val="04A0" w:firstRow="1" w:lastRow="0" w:firstColumn="1" w:lastColumn="0" w:noHBand="0" w:noVBand="1"/>
      </w:tblPr>
      <w:tblGrid>
        <w:gridCol w:w="7090"/>
        <w:gridCol w:w="4744"/>
        <w:gridCol w:w="3344"/>
      </w:tblGrid>
      <w:tr>
        <w:trPr>
          <w:trHeight w:val="460"/>
        </w:trPr>
        <w:tc>
          <w:tcPr>
            <w:tcBorders>
              <w:top w:val="single" w:color="000000" w:sz="4" w:space="0"/>
              <w:left w:val="single" w:color="000000" w:sz="4" w:space="0"/>
              <w:bottom w:val="single" w:color="000000" w:sz="4" w:space="0"/>
              <w:right w:val="none" w:color="000000" w:sz="4" w:space="0"/>
            </w:tcBorders>
            <w:tcW w:w="7090" w:type="dxa"/>
            <w:vAlign w:val="center"/>
            <w:textDirection w:val="lrTb"/>
            <w:noWrap/>
          </w:tcPr>
          <w:p>
            <w:pPr>
              <w:ind w:firstLine="567"/>
              <w:jc w:val="center"/>
              <w:tabs>
                <w:tab w:val="left" w:pos="2520" w:leader="none"/>
              </w:tabs>
            </w:pPr>
            <w:r>
              <w:rPr>
                <w:b/>
              </w:rPr>
              <w:t xml:space="preserve">ВИДЫ ВСПОМОГАТЕЛЬНЫХ ОБЪЕКТОВ КАПИТАЛЬНОГО</w:t>
            </w:r>
            <w:r>
              <w:rPr>
                <w:b/>
              </w:rPr>
              <w:br/>
              <w:t xml:space="preserve"> СТРОИТЕЛЬСТВА</w:t>
            </w:r>
            <w:r/>
          </w:p>
        </w:tc>
        <w:tc>
          <w:tcPr>
            <w:tcBorders>
              <w:top w:val="single" w:color="000000" w:sz="4" w:space="0"/>
              <w:left w:val="single" w:color="000000" w:sz="4" w:space="0"/>
              <w:bottom w:val="single" w:color="000000" w:sz="4" w:space="0"/>
              <w:right w:val="single" w:color="000000" w:sz="4" w:space="0"/>
            </w:tcBorders>
            <w:tcW w:w="4744" w:type="dxa"/>
            <w:vAlign w:val="center"/>
            <w:textDirection w:val="lrTb"/>
            <w:noWrap/>
          </w:tcPr>
          <w:p>
            <w:pPr>
              <w:ind w:firstLine="567"/>
              <w:jc w:val="center"/>
              <w:tabs>
                <w:tab w:val="left" w:pos="2520" w:leader="none"/>
              </w:tabs>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Borders>
              <w:top w:val="single" w:color="000000" w:sz="4" w:space="0"/>
              <w:left w:val="single" w:color="000000" w:sz="4" w:space="0"/>
              <w:bottom w:val="single" w:color="000000" w:sz="4" w:space="0"/>
              <w:right w:val="single" w:color="000000" w:sz="4" w:space="0"/>
            </w:tcBorders>
            <w:tcW w:w="3344" w:type="dxa"/>
            <w:vAlign w:val="center"/>
            <w:textDirection w:val="lrTb"/>
            <w:noWrap/>
          </w:tcPr>
          <w:p>
            <w:pPr>
              <w:ind w:right="557" w:firstLine="567"/>
              <w:jc w:val="center"/>
              <w:tabs>
                <w:tab w:val="left" w:pos="3071" w:leader="none"/>
              </w:tabs>
            </w:pPr>
            <w:r>
              <w:rPr>
                <w:b/>
              </w:rPr>
              <w:t xml:space="preserve">ОСОБЫЕ УСЛОВИЯ РЕАЛИЗАЦИИ РЕГЛАМЕНТА</w:t>
            </w:r>
            <w:r/>
          </w:p>
          <w:p>
            <w:pPr>
              <w:ind w:right="557" w:firstLine="567"/>
              <w:jc w:val="center"/>
              <w:tabs>
                <w:tab w:val="left" w:pos="3071" w:leader="none"/>
              </w:tabs>
            </w:pPr>
            <w:r/>
            <w:r/>
          </w:p>
        </w:tc>
      </w:tr>
      <w:tr>
        <w:trPr>
          <w:trHeight w:val="298"/>
        </w:trPr>
        <w:tc>
          <w:tcPr>
            <w:gridSpan w:val="3"/>
            <w:tcBorders>
              <w:top w:val="single" w:color="000000" w:sz="4" w:space="0"/>
              <w:left w:val="single" w:color="000000" w:sz="4" w:space="0"/>
              <w:bottom w:val="single" w:color="000000" w:sz="4" w:space="0"/>
              <w:right w:val="single" w:color="000000" w:sz="4" w:space="0"/>
            </w:tcBorders>
            <w:tcW w:w="15178" w:type="dxa"/>
            <w:textDirection w:val="lrTb"/>
            <w:noWrap/>
          </w:tcPr>
          <w:p>
            <w:pPr>
              <w:ind w:left="127" w:right="132"/>
              <w:jc w:val="center"/>
            </w:pPr>
            <w:r>
              <w:rPr>
                <w:rFonts w:eastAsia="Calibri"/>
              </w:rPr>
              <w:t xml:space="preserve">Вспомогательные виды и их параметры определяются материалами проектной документации.</w:t>
            </w:r>
            <w:r/>
          </w:p>
          <w:p>
            <w:pPr>
              <w:ind w:right="142" w:firstLine="567"/>
              <w:jc w:val="both"/>
              <w:tabs>
                <w:tab w:val="left" w:pos="3071" w:leader="none"/>
              </w:tabs>
              <w:rPr>
                <w:rFonts w:eastAsia="Calibri"/>
              </w:rPr>
            </w:pPr>
            <w:r>
              <w:rPr>
                <w:rFonts w:eastAsia="Calibri"/>
              </w:rPr>
            </w:r>
            <w:r/>
          </w:p>
        </w:tc>
      </w:tr>
    </w:tbl>
    <w:p>
      <w:pPr>
        <w:ind w:firstLine="567"/>
        <w:jc w:val="both"/>
      </w:pPr>
      <w:r>
        <w:t xml:space="preserve">Примечания:</w:t>
      </w:r>
      <w:r/>
    </w:p>
    <w:p>
      <w:pPr>
        <w:ind w:firstLine="567"/>
        <w:jc w:val="both"/>
      </w:pPr>
      <w:r>
        <w:t xml:space="preserve">Общая площадь некапитального объекта принята до 25 кв.м. Этажность отдельно стоящих нек</w:t>
      </w:r>
      <w:r>
        <w:t xml:space="preserve">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w:t>
      </w:r>
      <w:r>
        <w:t xml:space="preserve">Дмитриевского</w:t>
      </w:r>
      <w:r>
        <w:t xml:space="preserve"> сельского поселения Кавказско</w:t>
      </w:r>
      <w:r>
        <w:t xml:space="preserve">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w:t>
      </w:r>
      <w:r>
        <w:t xml:space="preserve">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r/>
    </w:p>
    <w:p>
      <w:pPr>
        <w:ind w:firstLine="567"/>
        <w:jc w:val="center"/>
      </w:pPr>
      <w:r/>
      <w:r/>
    </w:p>
    <w:p>
      <w:pPr>
        <w:ind w:firstLine="567"/>
        <w:jc w:val="center"/>
      </w:pPr>
      <w:r>
        <w:rPr>
          <w:b/>
          <w:color w:val="000000"/>
          <w:sz w:val="24"/>
          <w:szCs w:val="24"/>
        </w:rPr>
        <w:t xml:space="preserve">ИНАЯ ЗОНА СЕЛЬСКОХОЗЯЙСТВЕННОГО НАЗНАЧЕНИЯ</w:t>
      </w:r>
      <w:r/>
    </w:p>
    <w:p>
      <w:pPr>
        <w:ind w:firstLine="567"/>
        <w:jc w:val="center"/>
      </w:pPr>
      <w:r/>
      <w:r/>
    </w:p>
    <w:p>
      <w:pPr>
        <w:ind w:firstLine="567"/>
        <w:jc w:val="both"/>
      </w:pPr>
      <w:r>
        <w:rPr>
          <w:color w:val="000000" w:themeColor="text1"/>
          <w:sz w:val="24"/>
          <w:szCs w:val="24"/>
        </w:rPr>
        <w:t xml:space="preserve">Кодовое обозначение – СХ-3</w:t>
      </w:r>
      <w:r/>
    </w:p>
    <w:p>
      <w:pPr>
        <w:pStyle w:val="1379"/>
        <w:ind w:left="709" w:firstLine="720"/>
        <w:jc w:val="both"/>
        <w:spacing w:after="0" w:line="240" w:lineRule="auto"/>
        <w:tabs>
          <w:tab w:val="left" w:pos="993" w:leader="none"/>
          <w:tab w:val="left" w:pos="1134" w:leader="none"/>
        </w:tabs>
      </w:pPr>
      <w:r>
        <w:rPr>
          <w:rFonts w:ascii="Times New Roman" w:hAnsi="Times New Roman"/>
          <w:sz w:val="24"/>
          <w:szCs w:val="24"/>
        </w:rPr>
        <w:t xml:space="preserve">Зона предназначена для ведения личного подсобного хозяйства, ведения крестьянско-фермерского хозяйства, для целей, связанных с сельскохозяйственным производством</w:t>
      </w:r>
      <w:r>
        <w:rPr>
          <w:rFonts w:ascii="Times New Roman" w:hAnsi="Times New Roman"/>
          <w:bCs/>
          <w:iCs/>
          <w:sz w:val="24"/>
          <w:szCs w:val="24"/>
        </w:rPr>
        <w:t xml:space="preserve">.</w:t>
      </w:r>
      <w:r/>
    </w:p>
    <w:p>
      <w:pPr>
        <w:ind w:firstLine="567"/>
        <w:jc w:val="center"/>
        <w:tabs>
          <w:tab w:val="left" w:pos="2520" w:leader="none"/>
        </w:tabs>
      </w:pPr>
      <w:r/>
      <w:r/>
    </w:p>
    <w:p>
      <w:pPr>
        <w:ind w:firstLine="567"/>
        <w:jc w:val="center"/>
        <w:tabs>
          <w:tab w:val="left" w:pos="2520" w:leader="none"/>
        </w:tabs>
      </w:pPr>
      <w:r>
        <w:rPr>
          <w:b/>
          <w:color w:val="000000"/>
        </w:rPr>
        <w:t xml:space="preserve">ОСНОВНЫЕ ВИДЫ И ПАРАМЕТРЫ РАЗРЕШЕННОГО ИСПОЛЬЗОВАНИЯ ЗЕМЕЛЬНЫХ УЧАСТКОВ И ОБЪЕКТОВ КАПИТАЛЬНОГО СТРОИТЕЛЬСТВА</w:t>
      </w:r>
      <w:r/>
    </w:p>
    <w:p>
      <w:pPr>
        <w:ind w:firstLine="567"/>
        <w:jc w:val="center"/>
        <w:tabs>
          <w:tab w:val="left" w:pos="2520" w:leader="none"/>
        </w:tabs>
      </w:pPr>
      <w:r/>
      <w:r/>
    </w:p>
    <w:tbl>
      <w:tblPr>
        <w:tblW w:w="0" w:type="auto"/>
        <w:tblLayout w:type="fixed"/>
        <w:tblCellMar>
          <w:left w:w="10" w:type="dxa"/>
          <w:right w:w="10" w:type="dxa"/>
        </w:tblCellMar>
        <w:tblLook w:val="0000" w:firstRow="0" w:lastRow="0" w:firstColumn="0" w:lastColumn="0" w:noHBand="0" w:noVBand="0"/>
      </w:tblPr>
      <w:tblGrid>
        <w:gridCol w:w="3157"/>
        <w:gridCol w:w="27"/>
        <w:gridCol w:w="4035"/>
        <w:gridCol w:w="36"/>
        <w:gridCol w:w="7426"/>
        <w:gridCol w:w="8"/>
      </w:tblGrid>
      <w:tr>
        <w:trPr>
          <w:gridAfter w:val="1"/>
          <w:trHeight w:val="23"/>
        </w:trPr>
        <w:tc>
          <w:tcPr>
            <w:shd w:val="clear" w:color="auto" w:fill="auto"/>
            <w:tcBorders>
              <w:top w:val="single" w:color="000000" w:sz="4" w:space="0"/>
              <w:left w:val="single" w:color="000000" w:sz="4" w:space="0"/>
              <w:bottom w:val="single" w:color="000000" w:sz="4" w:space="0"/>
            </w:tcBorders>
            <w:tcW w:w="3157" w:type="dxa"/>
            <w:vAlign w:val="center"/>
            <w:textDirection w:val="lrTb"/>
            <w:noWrap w:val="false"/>
          </w:tcPr>
          <w:p>
            <w:pPr>
              <w:jc w:val="center"/>
              <w:tabs>
                <w:tab w:val="left" w:pos="2520" w:leader="none"/>
              </w:tabs>
              <w:rPr>
                <w:b/>
                <w:color w:val="000000"/>
              </w:rPr>
            </w:pPr>
            <w:r>
              <w:rPr>
                <w:b/>
                <w:color w:val="000000"/>
              </w:rPr>
              <w:t xml:space="preserve">ВИДЫ ИСПОЛЬЗОВАНИЯ ЗЕМЕЛЬНЫХ УЧАСТКОВ</w:t>
            </w:r>
            <w:r/>
          </w:p>
        </w:tc>
        <w:tc>
          <w:tcPr>
            <w:gridSpan w:val="2"/>
            <w:shd w:val="clear" w:color="auto" w:fill="auto"/>
            <w:tcBorders>
              <w:top w:val="single" w:color="000000" w:sz="4" w:space="0"/>
              <w:left w:val="single" w:color="000000" w:sz="4" w:space="0"/>
              <w:bottom w:val="single" w:color="000000" w:sz="4" w:space="0"/>
            </w:tcBorders>
            <w:tcW w:w="4062" w:type="dxa"/>
            <w:vAlign w:val="center"/>
            <w:textDirection w:val="lrTb"/>
            <w:noWrap w:val="false"/>
          </w:tcPr>
          <w:p>
            <w:pPr>
              <w:ind w:left="-170"/>
              <w:jc w:val="center"/>
              <w:tabs>
                <w:tab w:val="left" w:pos="2520" w:leader="none"/>
              </w:tabs>
              <w:rPr>
                <w:b/>
                <w:color w:val="000000"/>
              </w:rPr>
            </w:pPr>
            <w:r>
              <w:rPr>
                <w:b/>
                <w:color w:val="000000"/>
              </w:rPr>
              <w:t xml:space="preserve">ВИДЫ ОБЪЕКТОВ КАПИТАЛЬНОГО СТРОИТЕЛЬСТВА</w:t>
            </w:r>
            <w:r/>
          </w:p>
        </w:tc>
        <w:tc>
          <w:tcPr>
            <w:gridSpan w:val="2"/>
            <w:shd w:val="clear" w:color="auto" w:fill="auto"/>
            <w:tcBorders>
              <w:top w:val="single" w:color="000000" w:sz="4" w:space="0"/>
              <w:left w:val="single" w:color="000000" w:sz="4" w:space="0"/>
              <w:bottom w:val="single" w:color="000000" w:sz="4" w:space="0"/>
              <w:right w:val="single" w:color="000000" w:sz="4" w:space="0"/>
            </w:tcBorders>
            <w:tcW w:w="7462" w:type="dxa"/>
            <w:vAlign w:val="center"/>
            <w:textDirection w:val="lrTb"/>
            <w:noWrap w:val="false"/>
          </w:tcPr>
          <w:p>
            <w:pPr>
              <w:ind w:firstLine="34"/>
              <w:jc w:val="center"/>
              <w:tabs>
                <w:tab w:val="left" w:pos="2520" w:leader="none"/>
              </w:tabs>
              <w:rPr>
                <w:b/>
                <w:color w:val="000000"/>
              </w:rPr>
            </w:pPr>
            <w:r>
              <w:rPr>
                <w:b/>
                <w:color w:val="000000"/>
              </w:rPr>
              <w:t xml:space="preserve">ПАРАМЕТРЫ РАЗРЕШЕННОГО ИСПОЛЬЗОВАНИЯ ЗЕМЕЛЬНЫХ УЧАСТКОВ И ОБЪЕКТОВ КАПИТАЛЬНОГО СТРОИТЕЛЬСТВА</w:t>
            </w:r>
            <w:r/>
          </w:p>
        </w:tc>
      </w:tr>
      <w:tr>
        <w:trPr>
          <w:gridAfter w:val="1"/>
          <w:trHeight w:val="23"/>
        </w:trPr>
        <w:tc>
          <w:tcPr>
            <w:shd w:val="clear" w:color="auto" w:fill="auto"/>
            <w:tcBorders>
              <w:top w:val="single" w:color="000000" w:sz="4" w:space="0"/>
              <w:left w:val="single" w:color="000000" w:sz="4" w:space="0"/>
              <w:bottom w:val="single" w:color="000000" w:sz="4" w:space="0"/>
            </w:tcBorders>
            <w:tcW w:w="3157" w:type="dxa"/>
            <w:textDirection w:val="lrTb"/>
            <w:noWrap w:val="false"/>
          </w:tcPr>
          <w:p>
            <w:pPr>
              <w:ind w:left="161"/>
              <w:rPr>
                <w:color w:val="000000"/>
              </w:rPr>
            </w:pPr>
            <w:r>
              <w:rPr>
                <w:color w:val="000000"/>
              </w:rPr>
              <w:t xml:space="preserve">[1.17]  Питомники</w:t>
            </w:r>
            <w:r/>
          </w:p>
        </w:tc>
        <w:tc>
          <w:tcPr>
            <w:gridSpan w:val="2"/>
            <w:shd w:val="clear" w:color="auto" w:fill="auto"/>
            <w:tcBorders>
              <w:top w:val="single" w:color="000000" w:sz="4" w:space="0"/>
              <w:left w:val="single" w:color="000000" w:sz="4" w:space="0"/>
              <w:bottom w:val="single" w:color="000000" w:sz="4" w:space="0"/>
            </w:tcBorders>
            <w:tcW w:w="4062" w:type="dxa"/>
            <w:textDirection w:val="lrTb"/>
            <w:noWrap w:val="false"/>
          </w:tcPr>
          <w:p>
            <w:pPr>
              <w:ind w:left="122" w:right="92"/>
              <w:jc w:val="both"/>
              <w:rPr>
                <w:color w:val="000000"/>
              </w:rPr>
            </w:pPr>
            <w:r>
              <w:rPr>
                <w:color w:val="000000"/>
              </w:rPr>
              <w:t xml:space="preserve">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r/>
          </w:p>
          <w:p>
            <w:pPr>
              <w:ind w:left="122" w:right="92"/>
              <w:jc w:val="both"/>
              <w:tabs>
                <w:tab w:val="left" w:pos="2520" w:leader="none"/>
              </w:tabs>
              <w:rPr>
                <w:color w:val="000000"/>
              </w:rPr>
            </w:pPr>
            <w:r>
              <w:rPr>
                <w:color w:val="000000"/>
              </w:rPr>
              <w:t xml:space="preserve">размещение сооружений, необходимых для указанных видов сельскохозяйственного производства</w:t>
            </w:r>
            <w:r/>
          </w:p>
        </w:tc>
        <w:tc>
          <w:tcPr>
            <w:gridSpan w:val="2"/>
            <w:shd w:val="clear" w:color="auto" w:fill="auto"/>
            <w:tcBorders>
              <w:top w:val="single" w:color="000000" w:sz="4" w:space="0"/>
              <w:left w:val="single" w:color="000000" w:sz="4" w:space="0"/>
              <w:bottom w:val="single" w:color="000000" w:sz="4" w:space="0"/>
              <w:right w:val="single" w:color="000000" w:sz="4" w:space="0"/>
            </w:tcBorders>
            <w:tcW w:w="7462" w:type="dxa"/>
            <w:textDirection w:val="lrTb"/>
            <w:noWrap w:val="false"/>
          </w:tcPr>
          <w:p>
            <w:pPr>
              <w:ind w:left="171"/>
              <w:tabs>
                <w:tab w:val="left" w:pos="2520" w:leader="none"/>
              </w:tabs>
              <w:rPr>
                <w:color w:val="000000"/>
              </w:rPr>
            </w:pPr>
            <w:r>
              <w:rPr>
                <w:color w:val="000000"/>
              </w:rPr>
              <w:t xml:space="preserve">минимальная/максимальная площадь земельных участков  – 300/500000 кв. м;</w:t>
            </w:r>
            <w:r/>
          </w:p>
        </w:tc>
      </w:tr>
      <w:tr>
        <w:trPr>
          <w:gridAfter w:val="1"/>
          <w:trHeight w:val="23"/>
        </w:trPr>
        <w:tc>
          <w:tcPr>
            <w:shd w:val="clear" w:color="auto" w:fill="auto"/>
            <w:tcBorders>
              <w:top w:val="single" w:color="000000" w:sz="4" w:space="0"/>
              <w:left w:val="single" w:color="000000" w:sz="4" w:space="0"/>
              <w:bottom w:val="single" w:color="000000" w:sz="4" w:space="0"/>
            </w:tcBorders>
            <w:tcW w:w="3157" w:type="dxa"/>
            <w:textDirection w:val="lrTb"/>
            <w:noWrap w:val="false"/>
          </w:tcPr>
          <w:p>
            <w:pPr>
              <w:ind w:left="161"/>
              <w:rPr>
                <w:color w:val="000000"/>
              </w:rPr>
            </w:pPr>
            <w:r>
              <w:rPr>
                <w:color w:val="000000"/>
              </w:rPr>
              <w:t xml:space="preserve">[1.19]  Сенокошение</w:t>
            </w:r>
            <w:r/>
          </w:p>
        </w:tc>
        <w:tc>
          <w:tcPr>
            <w:gridSpan w:val="2"/>
            <w:shd w:val="clear" w:color="auto" w:fill="auto"/>
            <w:tcBorders>
              <w:top w:val="single" w:color="000000" w:sz="4" w:space="0"/>
              <w:left w:val="single" w:color="000000" w:sz="4" w:space="0"/>
              <w:bottom w:val="single" w:color="000000" w:sz="4" w:space="0"/>
            </w:tcBorders>
            <w:tcW w:w="4062" w:type="dxa"/>
            <w:textDirection w:val="lrTb"/>
            <w:noWrap w:val="false"/>
          </w:tcPr>
          <w:p>
            <w:pPr>
              <w:ind w:left="122" w:right="92"/>
              <w:jc w:val="both"/>
              <w:tabs>
                <w:tab w:val="left" w:pos="2520" w:leader="none"/>
              </w:tabs>
              <w:rPr>
                <w:color w:val="000000"/>
              </w:rPr>
            </w:pPr>
            <w:r>
              <w:rPr>
                <w:color w:val="000000"/>
              </w:rPr>
              <w:t xml:space="preserve">Кошение трав, сбор и заготовка сена</w:t>
            </w:r>
            <w:r/>
          </w:p>
        </w:tc>
        <w:tc>
          <w:tcPr>
            <w:gridSpan w:val="2"/>
            <w:shd w:val="clear" w:color="auto" w:fill="auto"/>
            <w:tcBorders>
              <w:top w:val="single" w:color="000000" w:sz="4" w:space="0"/>
              <w:left w:val="single" w:color="000000" w:sz="4" w:space="0"/>
              <w:bottom w:val="single" w:color="000000" w:sz="4" w:space="0"/>
              <w:right w:val="single" w:color="000000" w:sz="4" w:space="0"/>
            </w:tcBorders>
            <w:tcW w:w="7462" w:type="dxa"/>
            <w:textDirection w:val="lrTb"/>
            <w:noWrap w:val="false"/>
          </w:tcPr>
          <w:p>
            <w:pPr>
              <w:ind w:left="171"/>
              <w:tabs>
                <w:tab w:val="left" w:pos="1134" w:leader="none"/>
              </w:tabs>
              <w:rPr>
                <w:color w:val="000000"/>
              </w:rPr>
            </w:pPr>
            <w:r>
              <w:rPr>
                <w:color w:val="000000"/>
              </w:rPr>
              <w:t xml:space="preserve">минимальная/максимальная площадь земельных участков  – 300/500000 кв. м;</w:t>
            </w:r>
            <w:r/>
          </w:p>
        </w:tc>
      </w:tr>
      <w:tr>
        <w:trPr>
          <w:gridAfter w:val="1"/>
          <w:trHeight w:val="23"/>
        </w:trPr>
        <w:tc>
          <w:tcPr>
            <w:shd w:val="clear" w:color="auto" w:fill="auto"/>
            <w:tcBorders>
              <w:top w:val="single" w:color="000000" w:sz="4" w:space="0"/>
              <w:left w:val="single" w:color="000000" w:sz="4" w:space="0"/>
              <w:bottom w:val="single" w:color="000000" w:sz="4" w:space="0"/>
            </w:tcBorders>
            <w:tcW w:w="3157" w:type="dxa"/>
            <w:textDirection w:val="lrTb"/>
            <w:noWrap w:val="false"/>
          </w:tcPr>
          <w:p>
            <w:pPr>
              <w:pStyle w:val="1052"/>
              <w:ind w:left="161"/>
              <w:rPr>
                <w:rFonts w:ascii="Times New Roman" w:hAnsi="Times New Roman" w:cs="Times New Roman"/>
                <w:color w:val="000000"/>
                <w:sz w:val="20"/>
                <w:szCs w:val="20"/>
              </w:rPr>
            </w:pPr>
            <w:r>
              <w:rPr>
                <w:rFonts w:ascii="Times New Roman" w:hAnsi="Times New Roman" w:cs="Times New Roman"/>
                <w:color w:val="000000"/>
                <w:sz w:val="20"/>
                <w:szCs w:val="20"/>
              </w:rPr>
              <w:t xml:space="preserve">[1.20]  Выпас</w:t>
            </w:r>
            <w:r/>
          </w:p>
          <w:p>
            <w:pPr>
              <w:pStyle w:val="1052"/>
              <w:ind w:left="161"/>
              <w:rPr>
                <w:rFonts w:ascii="Times New Roman" w:hAnsi="Times New Roman" w:cs="Times New Roman"/>
                <w:color w:val="000000"/>
                <w:sz w:val="20"/>
                <w:szCs w:val="20"/>
              </w:rPr>
            </w:pPr>
            <w:r>
              <w:rPr>
                <w:rFonts w:ascii="Times New Roman" w:hAnsi="Times New Roman" w:cs="Times New Roman"/>
                <w:color w:val="000000"/>
                <w:sz w:val="20"/>
                <w:szCs w:val="20"/>
              </w:rPr>
              <w:t xml:space="preserve">сельскохозяйственных</w:t>
            </w:r>
            <w:r/>
          </w:p>
          <w:p>
            <w:pPr>
              <w:ind w:left="161"/>
              <w:rPr>
                <w:color w:val="000000"/>
              </w:rPr>
            </w:pPr>
            <w:r>
              <w:rPr>
                <w:color w:val="000000"/>
              </w:rPr>
              <w:t xml:space="preserve">животных</w:t>
            </w:r>
            <w:r/>
          </w:p>
        </w:tc>
        <w:tc>
          <w:tcPr>
            <w:gridSpan w:val="2"/>
            <w:shd w:val="clear" w:color="auto" w:fill="auto"/>
            <w:tcBorders>
              <w:top w:val="single" w:color="000000" w:sz="4" w:space="0"/>
              <w:left w:val="single" w:color="000000" w:sz="4" w:space="0"/>
              <w:bottom w:val="single" w:color="000000" w:sz="4" w:space="0"/>
            </w:tcBorders>
            <w:tcW w:w="4062" w:type="dxa"/>
            <w:textDirection w:val="lrTb"/>
            <w:noWrap w:val="false"/>
          </w:tcPr>
          <w:p>
            <w:pPr>
              <w:ind w:left="122" w:right="92"/>
              <w:jc w:val="both"/>
              <w:tabs>
                <w:tab w:val="left" w:pos="2520" w:leader="none"/>
              </w:tabs>
              <w:rPr>
                <w:color w:val="000000"/>
              </w:rPr>
            </w:pPr>
            <w:r>
              <w:rPr>
                <w:color w:val="000000"/>
              </w:rPr>
              <w:t xml:space="preserve">Выпас сельскохозяйственных животных</w:t>
            </w:r>
            <w:r/>
          </w:p>
        </w:tc>
        <w:tc>
          <w:tcPr>
            <w:gridSpan w:val="2"/>
            <w:shd w:val="clear" w:color="auto" w:fill="auto"/>
            <w:tcBorders>
              <w:top w:val="single" w:color="000000" w:sz="4" w:space="0"/>
              <w:left w:val="single" w:color="000000" w:sz="4" w:space="0"/>
              <w:bottom w:val="single" w:color="000000" w:sz="4" w:space="0"/>
              <w:right w:val="single" w:color="000000" w:sz="4" w:space="0"/>
            </w:tcBorders>
            <w:tcW w:w="7462" w:type="dxa"/>
            <w:textDirection w:val="lrTb"/>
            <w:noWrap w:val="false"/>
          </w:tcPr>
          <w:p>
            <w:pPr>
              <w:ind w:left="171"/>
              <w:tabs>
                <w:tab w:val="left" w:pos="1134" w:leader="none"/>
              </w:tabs>
              <w:rPr>
                <w:color w:val="000000"/>
              </w:rPr>
            </w:pPr>
            <w:r>
              <w:rPr>
                <w:color w:val="000000"/>
              </w:rPr>
              <w:t xml:space="preserve">минимальная/максимальная площадь земельных участков  – 1000/500000 кв. м;</w:t>
            </w:r>
            <w:r/>
          </w:p>
        </w:tc>
      </w:tr>
      <w:tr>
        <w:trPr>
          <w:gridAfter w:val="1"/>
          <w:trHeight w:val="23"/>
        </w:trPr>
        <w:tc>
          <w:tcPr>
            <w:shd w:val="clear" w:color="auto" w:fill="auto"/>
            <w:tcBorders>
              <w:top w:val="single" w:color="000000" w:sz="4" w:space="0"/>
              <w:left w:val="single" w:color="000000" w:sz="4" w:space="0"/>
              <w:bottom w:val="single" w:color="000000" w:sz="4" w:space="0"/>
            </w:tcBorders>
            <w:tcW w:w="3157" w:type="dxa"/>
            <w:textDirection w:val="lrTb"/>
            <w:noWrap w:val="false"/>
          </w:tcPr>
          <w:p>
            <w:pPr>
              <w:ind w:left="161"/>
              <w:rPr>
                <w:color w:val="000000"/>
              </w:rPr>
            </w:pPr>
            <w:r>
              <w:rPr>
                <w:color w:val="000000"/>
              </w:rPr>
              <w:t xml:space="preserve">[10.0]  </w:t>
            </w:r>
            <w:bookmarkStart w:id="9" w:name="sub_10100"/>
            <w:r>
              <w:rPr>
                <w:color w:val="000000"/>
              </w:rPr>
              <w:t xml:space="preserve">Использование лесов</w:t>
            </w:r>
            <w:bookmarkEnd w:id="9"/>
            <w:r/>
            <w:r/>
          </w:p>
          <w:p>
            <w:pPr>
              <w:ind w:left="161"/>
              <w:rPr>
                <w:color w:val="000000"/>
              </w:rPr>
            </w:pPr>
            <w:r>
              <w:rPr>
                <w:color w:val="000000"/>
              </w:rPr>
            </w:r>
            <w:r/>
          </w:p>
        </w:tc>
        <w:tc>
          <w:tcPr>
            <w:gridSpan w:val="2"/>
            <w:shd w:val="clear" w:color="auto" w:fill="auto"/>
            <w:tcBorders>
              <w:top w:val="single" w:color="000000" w:sz="4" w:space="0"/>
              <w:left w:val="single" w:color="000000" w:sz="4" w:space="0"/>
              <w:bottom w:val="single" w:color="000000" w:sz="4" w:space="0"/>
            </w:tcBorders>
            <w:tcW w:w="4062" w:type="dxa"/>
            <w:textDirection w:val="lrTb"/>
            <w:noWrap w:val="false"/>
          </w:tcPr>
          <w:p>
            <w:pPr>
              <w:ind w:left="122" w:right="92"/>
              <w:jc w:val="both"/>
              <w:tabs>
                <w:tab w:val="left" w:pos="2520" w:leader="none"/>
              </w:tabs>
              <w:rPr>
                <w:color w:val="000000"/>
              </w:rPr>
            </w:pPr>
            <w:r>
              <w:rPr>
                <w:color w:val="000000"/>
              </w:rPr>
              <w:t xml:space="preserve">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w:tooltip="#sub_10101" w:anchor="sub_10101" w:history="1">
              <w:r>
                <w:rPr>
                  <w:rStyle w:val="977"/>
                  <w:color w:val="000000"/>
                </w:rPr>
                <w:t xml:space="preserve">кодами 10.1 - 10.4</w:t>
              </w:r>
            </w:hyperlink>
            <w:r/>
            <w:r/>
          </w:p>
        </w:tc>
        <w:tc>
          <w:tcPr>
            <w:gridSpan w:val="2"/>
            <w:shd w:val="clear" w:color="auto" w:fill="auto"/>
            <w:tcBorders>
              <w:top w:val="single" w:color="000000" w:sz="4" w:space="0"/>
              <w:left w:val="single" w:color="000000" w:sz="4" w:space="0"/>
              <w:bottom w:val="single" w:color="000000" w:sz="4" w:space="0"/>
              <w:right w:val="single" w:color="000000" w:sz="4" w:space="0"/>
            </w:tcBorders>
            <w:tcW w:w="7462" w:type="dxa"/>
            <w:textDirection w:val="lrTb"/>
            <w:noWrap w:val="false"/>
          </w:tcPr>
          <w:p>
            <w:pPr>
              <w:ind w:left="171"/>
              <w:tabs>
                <w:tab w:val="left" w:pos="2520" w:leader="none"/>
              </w:tabs>
              <w:rPr>
                <w:color w:val="000000"/>
              </w:rPr>
            </w:pPr>
            <w:r>
              <w:rPr>
                <w:color w:val="000000"/>
              </w:rPr>
              <w:t xml:space="preserve">минимальная/максимальная площадь земельных участков  – 1000/500000 кв. м;</w:t>
            </w:r>
            <w:r/>
          </w:p>
        </w:tc>
      </w:tr>
      <w:tr>
        <w:trPr>
          <w:gridAfter w:val="1"/>
          <w:trHeight w:val="23"/>
        </w:trPr>
        <w:tc>
          <w:tcPr>
            <w:shd w:val="clear" w:color="auto" w:fill="auto"/>
            <w:tcBorders>
              <w:top w:val="single" w:color="000000" w:sz="4" w:space="0"/>
              <w:left w:val="single" w:color="000000" w:sz="4" w:space="0"/>
              <w:bottom w:val="single" w:color="000000" w:sz="4" w:space="0"/>
            </w:tcBorders>
            <w:tcW w:w="3157" w:type="dxa"/>
            <w:textDirection w:val="lrTb"/>
            <w:noWrap w:val="false"/>
          </w:tcPr>
          <w:p>
            <w:pPr>
              <w:ind w:left="161"/>
              <w:rPr>
                <w:color w:val="000000"/>
              </w:rPr>
            </w:pPr>
            <w:r>
              <w:rPr>
                <w:color w:val="000000"/>
              </w:rPr>
              <w:t xml:space="preserve">[10.1]  </w:t>
            </w:r>
            <w:bookmarkStart w:id="10" w:name="sub_10101"/>
            <w:r>
              <w:rPr>
                <w:color w:val="000000"/>
              </w:rPr>
              <w:t xml:space="preserve">Заготовка древесины</w:t>
            </w:r>
            <w:bookmarkEnd w:id="10"/>
            <w:r>
              <w:rPr>
                <w:color w:val="000000"/>
              </w:rPr>
              <w:t xml:space="preserve"> </w:t>
            </w:r>
            <w:r/>
          </w:p>
        </w:tc>
        <w:tc>
          <w:tcPr>
            <w:gridSpan w:val="2"/>
            <w:shd w:val="clear" w:color="auto" w:fill="auto"/>
            <w:tcBorders>
              <w:top w:val="single" w:color="000000" w:sz="4" w:space="0"/>
              <w:left w:val="single" w:color="000000" w:sz="4" w:space="0"/>
              <w:bottom w:val="single" w:color="000000" w:sz="4" w:space="0"/>
            </w:tcBorders>
            <w:tcW w:w="4062" w:type="dxa"/>
            <w:textDirection w:val="lrTb"/>
            <w:noWrap w:val="false"/>
          </w:tcPr>
          <w:p>
            <w:pPr>
              <w:ind w:left="122" w:right="92"/>
              <w:jc w:val="both"/>
              <w:tabs>
                <w:tab w:val="left" w:pos="2520" w:leader="none"/>
              </w:tabs>
              <w:rPr>
                <w:color w:val="000000"/>
              </w:rPr>
            </w:pPr>
            <w:r>
              <w:rPr>
                <w:color w:val="000000"/>
              </w:rPr>
              <w:t xml:space="preserve">Рубка лесных насаждений, выросших в природных у</w:t>
            </w:r>
            <w:r>
              <w:rPr>
                <w:color w:val="000000"/>
              </w:rPr>
              <w:t xml:space="preserve">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r/>
          </w:p>
        </w:tc>
        <w:tc>
          <w:tcPr>
            <w:gridSpan w:val="2"/>
            <w:shd w:val="clear" w:color="auto" w:fill="auto"/>
            <w:tcBorders>
              <w:top w:val="single" w:color="000000" w:sz="4" w:space="0"/>
              <w:left w:val="single" w:color="000000" w:sz="4" w:space="0"/>
              <w:bottom w:val="single" w:color="000000" w:sz="4" w:space="0"/>
              <w:right w:val="single" w:color="000000" w:sz="4" w:space="0"/>
            </w:tcBorders>
            <w:tcW w:w="7462" w:type="dxa"/>
            <w:textDirection w:val="lrTb"/>
            <w:noWrap w:val="false"/>
          </w:tcPr>
          <w:p>
            <w:pPr>
              <w:ind w:left="171"/>
              <w:tabs>
                <w:tab w:val="left" w:pos="2520" w:leader="none"/>
              </w:tabs>
              <w:rPr>
                <w:color w:val="000000"/>
              </w:rPr>
            </w:pPr>
            <w:r>
              <w:rPr>
                <w:color w:val="000000"/>
              </w:rPr>
              <w:t xml:space="preserve">минимальная/максимальная площадь земельных участков  – 1000/500000 кв. м;</w:t>
            </w:r>
            <w:r/>
          </w:p>
        </w:tc>
      </w:tr>
      <w:tr>
        <w:trPr>
          <w:gridAfter w:val="1"/>
          <w:trHeight w:val="23"/>
        </w:trPr>
        <w:tc>
          <w:tcPr>
            <w:shd w:val="clear" w:color="auto" w:fill="auto"/>
            <w:tcBorders>
              <w:top w:val="single" w:color="000000" w:sz="4" w:space="0"/>
              <w:left w:val="single" w:color="000000" w:sz="4" w:space="0"/>
              <w:bottom w:val="single" w:color="000000" w:sz="4" w:space="0"/>
            </w:tcBorders>
            <w:tcW w:w="3157" w:type="dxa"/>
            <w:textDirection w:val="lrTb"/>
            <w:noWrap w:val="false"/>
          </w:tcPr>
          <w:p>
            <w:pPr>
              <w:ind w:left="161"/>
              <w:rPr>
                <w:color w:val="000000"/>
              </w:rPr>
            </w:pPr>
            <w:r>
              <w:rPr>
                <w:color w:val="000000"/>
              </w:rPr>
              <w:t xml:space="preserve">[10.2]  </w:t>
            </w:r>
            <w:bookmarkStart w:id="11" w:name="sub_10102"/>
            <w:r>
              <w:rPr>
                <w:color w:val="000000"/>
              </w:rPr>
              <w:t xml:space="preserve">Лесные плантации</w:t>
            </w:r>
            <w:bookmarkEnd w:id="11"/>
            <w:r>
              <w:rPr>
                <w:color w:val="000000"/>
              </w:rPr>
              <w:t xml:space="preserve"> </w:t>
            </w:r>
            <w:r/>
          </w:p>
        </w:tc>
        <w:tc>
          <w:tcPr>
            <w:gridSpan w:val="2"/>
            <w:shd w:val="clear" w:color="auto" w:fill="auto"/>
            <w:tcBorders>
              <w:top w:val="single" w:color="000000" w:sz="4" w:space="0"/>
              <w:left w:val="single" w:color="000000" w:sz="4" w:space="0"/>
              <w:bottom w:val="single" w:color="000000" w:sz="4" w:space="0"/>
            </w:tcBorders>
            <w:tcW w:w="4062" w:type="dxa"/>
            <w:textDirection w:val="lrTb"/>
            <w:noWrap w:val="false"/>
          </w:tcPr>
          <w:p>
            <w:pPr>
              <w:ind w:left="122" w:right="92"/>
              <w:jc w:val="both"/>
              <w:tabs>
                <w:tab w:val="left" w:pos="2520" w:leader="none"/>
              </w:tabs>
              <w:rPr>
                <w:color w:val="000000"/>
              </w:rPr>
            </w:pPr>
            <w:r>
              <w:rPr>
                <w:color w:val="000000"/>
              </w:rPr>
              <w:t xml:space="preserve">Выращивание и рубка лесных насаждений, выращенных трудом человека, частичная </w:t>
            </w:r>
            <w:r>
              <w:rPr>
                <w:color w:val="000000"/>
              </w:rPr>
              <w:t xml:space="preserve">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r/>
          </w:p>
        </w:tc>
        <w:tc>
          <w:tcPr>
            <w:gridSpan w:val="2"/>
            <w:shd w:val="clear" w:color="auto" w:fill="auto"/>
            <w:tcBorders>
              <w:top w:val="single" w:color="000000" w:sz="4" w:space="0"/>
              <w:left w:val="single" w:color="000000" w:sz="4" w:space="0"/>
              <w:bottom w:val="single" w:color="000000" w:sz="4" w:space="0"/>
              <w:right w:val="single" w:color="000000" w:sz="4" w:space="0"/>
            </w:tcBorders>
            <w:tcW w:w="7462" w:type="dxa"/>
            <w:textDirection w:val="lrTb"/>
            <w:noWrap w:val="false"/>
          </w:tcPr>
          <w:p>
            <w:pPr>
              <w:ind w:left="171"/>
              <w:tabs>
                <w:tab w:val="left" w:pos="2520" w:leader="none"/>
              </w:tabs>
              <w:rPr>
                <w:color w:val="000000"/>
              </w:rPr>
            </w:pPr>
            <w:r>
              <w:rPr>
                <w:color w:val="000000"/>
              </w:rPr>
              <w:t xml:space="preserve">минимальная/максимальная площадь земельных участков  – 1000/500000 кв. м;</w:t>
            </w:r>
            <w:r/>
          </w:p>
        </w:tc>
      </w:tr>
      <w:tr>
        <w:trPr>
          <w:gridAfter w:val="1"/>
          <w:trHeight w:val="23"/>
        </w:trPr>
        <w:tc>
          <w:tcPr>
            <w:shd w:val="clear" w:color="auto" w:fill="auto"/>
            <w:tcBorders>
              <w:top w:val="single" w:color="000000" w:sz="4" w:space="0"/>
              <w:left w:val="single" w:color="000000" w:sz="4" w:space="0"/>
              <w:bottom w:val="single" w:color="000000" w:sz="4" w:space="0"/>
            </w:tcBorders>
            <w:tcW w:w="3157" w:type="dxa"/>
            <w:textDirection w:val="lrTb"/>
            <w:noWrap w:val="false"/>
          </w:tcPr>
          <w:p>
            <w:pPr>
              <w:ind w:left="161"/>
              <w:rPr>
                <w:color w:val="000000"/>
              </w:rPr>
            </w:pPr>
            <w:r>
              <w:rPr>
                <w:color w:val="000000"/>
              </w:rPr>
              <w:t xml:space="preserve">[10.3]  </w:t>
            </w:r>
            <w:bookmarkStart w:id="12" w:name="sub_10103"/>
            <w:r>
              <w:rPr>
                <w:color w:val="000000"/>
              </w:rPr>
              <w:t xml:space="preserve">Заготовка лесных ресурсов</w:t>
            </w:r>
            <w:bookmarkEnd w:id="12"/>
            <w:r/>
            <w:r/>
          </w:p>
          <w:p>
            <w:pPr>
              <w:ind w:left="161"/>
              <w:rPr>
                <w:color w:val="000000"/>
              </w:rPr>
            </w:pPr>
            <w:r>
              <w:rPr>
                <w:color w:val="000000"/>
              </w:rPr>
            </w:r>
            <w:r/>
          </w:p>
        </w:tc>
        <w:tc>
          <w:tcPr>
            <w:gridSpan w:val="2"/>
            <w:shd w:val="clear" w:color="auto" w:fill="auto"/>
            <w:tcBorders>
              <w:top w:val="single" w:color="000000" w:sz="4" w:space="0"/>
              <w:left w:val="single" w:color="000000" w:sz="4" w:space="0"/>
              <w:bottom w:val="single" w:color="000000" w:sz="4" w:space="0"/>
            </w:tcBorders>
            <w:tcW w:w="4062" w:type="dxa"/>
            <w:textDirection w:val="lrTb"/>
            <w:noWrap w:val="false"/>
          </w:tcPr>
          <w:p>
            <w:pPr>
              <w:ind w:left="122" w:right="92"/>
              <w:jc w:val="both"/>
              <w:tabs>
                <w:tab w:val="left" w:pos="2520" w:leader="none"/>
              </w:tabs>
              <w:rPr>
                <w:color w:val="000000"/>
              </w:rPr>
            </w:pPr>
            <w:r>
              <w:rPr>
                <w:color w:val="000000"/>
              </w:rPr>
              <w:t xml:space="preserve">Заготовка живицы, сбор недревесных лесных ресурсов, в том числе гражданами для собственных нужд, заготовка п</w:t>
            </w:r>
            <w:r>
              <w:rPr>
                <w:color w:val="000000"/>
              </w:rPr>
              <w:t xml:space="preserve">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r/>
          </w:p>
        </w:tc>
        <w:tc>
          <w:tcPr>
            <w:gridSpan w:val="2"/>
            <w:shd w:val="clear" w:color="auto" w:fill="auto"/>
            <w:tcBorders>
              <w:top w:val="single" w:color="000000" w:sz="4" w:space="0"/>
              <w:left w:val="single" w:color="000000" w:sz="4" w:space="0"/>
              <w:bottom w:val="single" w:color="000000" w:sz="4" w:space="0"/>
              <w:right w:val="single" w:color="000000" w:sz="4" w:space="0"/>
            </w:tcBorders>
            <w:tcW w:w="7462" w:type="dxa"/>
            <w:textDirection w:val="lrTb"/>
            <w:noWrap w:val="false"/>
          </w:tcPr>
          <w:p>
            <w:pPr>
              <w:ind w:left="171"/>
              <w:tabs>
                <w:tab w:val="left" w:pos="2520" w:leader="none"/>
              </w:tabs>
              <w:rPr>
                <w:color w:val="000000"/>
              </w:rPr>
            </w:pPr>
            <w:r>
              <w:rPr>
                <w:color w:val="000000"/>
              </w:rPr>
              <w:t xml:space="preserve">минимальная/максимальная площадь земельных участков  – 1000/500000 кв. м;</w:t>
            </w:r>
            <w:r/>
          </w:p>
        </w:tc>
      </w:tr>
      <w:tr>
        <w:trPr>
          <w:gridAfter w:val="1"/>
          <w:trHeight w:val="23"/>
        </w:trPr>
        <w:tc>
          <w:tcPr>
            <w:shd w:val="clear" w:color="auto" w:fill="auto"/>
            <w:tcBorders>
              <w:top w:val="single" w:color="000000" w:sz="4" w:space="0"/>
              <w:left w:val="single" w:color="000000" w:sz="4" w:space="0"/>
              <w:bottom w:val="single" w:color="000000" w:sz="4" w:space="0"/>
            </w:tcBorders>
            <w:tcW w:w="3157" w:type="dxa"/>
            <w:textDirection w:val="lrTb"/>
            <w:noWrap w:val="false"/>
          </w:tcPr>
          <w:p>
            <w:pPr>
              <w:ind w:left="161"/>
              <w:rPr>
                <w:color w:val="000000"/>
              </w:rPr>
            </w:pPr>
            <w:r>
              <w:rPr>
                <w:color w:val="000000"/>
              </w:rPr>
              <w:t xml:space="preserve">[10.4]  </w:t>
            </w:r>
            <w:bookmarkStart w:id="13" w:name="sub_10104"/>
            <w:r>
              <w:rPr>
                <w:color w:val="000000"/>
              </w:rPr>
              <w:t xml:space="preserve">Резервные леса</w:t>
            </w:r>
            <w:bookmarkEnd w:id="13"/>
            <w:r>
              <w:rPr>
                <w:color w:val="000000"/>
              </w:rPr>
              <w:t xml:space="preserve"> </w:t>
            </w:r>
            <w:r/>
          </w:p>
        </w:tc>
        <w:tc>
          <w:tcPr>
            <w:gridSpan w:val="2"/>
            <w:shd w:val="clear" w:color="auto" w:fill="auto"/>
            <w:tcBorders>
              <w:top w:val="single" w:color="000000" w:sz="4" w:space="0"/>
              <w:left w:val="single" w:color="000000" w:sz="4" w:space="0"/>
              <w:bottom w:val="single" w:color="000000" w:sz="4" w:space="0"/>
            </w:tcBorders>
            <w:tcW w:w="4062" w:type="dxa"/>
            <w:textDirection w:val="lrTb"/>
            <w:noWrap w:val="false"/>
          </w:tcPr>
          <w:p>
            <w:pPr>
              <w:ind w:left="122" w:right="92"/>
              <w:jc w:val="both"/>
              <w:tabs>
                <w:tab w:val="left" w:pos="2520" w:leader="none"/>
              </w:tabs>
              <w:rPr>
                <w:color w:val="000000"/>
              </w:rPr>
            </w:pPr>
            <w:r>
              <w:rPr>
                <w:color w:val="000000"/>
              </w:rPr>
              <w:t xml:space="preserve">Деятельность, связанная с охраной лесов</w:t>
            </w:r>
            <w:r/>
          </w:p>
        </w:tc>
        <w:tc>
          <w:tcPr>
            <w:gridSpan w:val="2"/>
            <w:shd w:val="clear" w:color="auto" w:fill="auto"/>
            <w:tcBorders>
              <w:top w:val="single" w:color="000000" w:sz="4" w:space="0"/>
              <w:left w:val="single" w:color="000000" w:sz="4" w:space="0"/>
              <w:bottom w:val="single" w:color="000000" w:sz="4" w:space="0"/>
              <w:right w:val="single" w:color="000000" w:sz="4" w:space="0"/>
            </w:tcBorders>
            <w:tcW w:w="7462" w:type="dxa"/>
            <w:textDirection w:val="lrTb"/>
            <w:noWrap w:val="false"/>
          </w:tcPr>
          <w:p>
            <w:pPr>
              <w:ind w:left="171"/>
              <w:tabs>
                <w:tab w:val="left" w:pos="2520" w:leader="none"/>
              </w:tabs>
              <w:rPr>
                <w:color w:val="000000"/>
              </w:rPr>
            </w:pPr>
            <w:r>
              <w:rPr>
                <w:color w:val="000000"/>
              </w:rPr>
              <w:t xml:space="preserve">минимальная/максимальная площадь земельных участков  – 1000/500000 кв. м;</w:t>
            </w:r>
            <w:r/>
          </w:p>
        </w:tc>
      </w:tr>
      <w:tr>
        <w:trPr>
          <w:gridAfter w:val="1"/>
          <w:trHeight w:val="23"/>
        </w:trPr>
        <w:tc>
          <w:tcPr>
            <w:shd w:val="clear" w:color="auto" w:fill="auto"/>
            <w:tcBorders>
              <w:top w:val="single" w:color="000000" w:sz="4" w:space="0"/>
              <w:left w:val="single" w:color="000000" w:sz="4" w:space="0"/>
              <w:bottom w:val="single" w:color="000000" w:sz="4" w:space="0"/>
            </w:tcBorders>
            <w:tcW w:w="3157" w:type="dxa"/>
            <w:textDirection w:val="lrTb"/>
            <w:noWrap w:val="false"/>
          </w:tcPr>
          <w:p>
            <w:pPr>
              <w:ind w:left="161"/>
              <w:rPr>
                <w:color w:val="000000"/>
              </w:rPr>
            </w:pPr>
            <w:r>
              <w:rPr>
                <w:color w:val="000000"/>
              </w:rPr>
              <w:t xml:space="preserve">[9.0]  </w:t>
            </w:r>
            <w:bookmarkStart w:id="14" w:name="sub_1090"/>
            <w:r>
              <w:rPr>
                <w:color w:val="000000"/>
              </w:rPr>
              <w:t xml:space="preserve">Деятельность по особой охране и изучению природы</w:t>
            </w:r>
            <w:bookmarkEnd w:id="14"/>
            <w:r/>
            <w:r/>
          </w:p>
        </w:tc>
        <w:tc>
          <w:tcPr>
            <w:gridSpan w:val="2"/>
            <w:shd w:val="clear" w:color="auto" w:fill="auto"/>
            <w:tcBorders>
              <w:top w:val="single" w:color="000000" w:sz="4" w:space="0"/>
              <w:left w:val="single" w:color="000000" w:sz="4" w:space="0"/>
              <w:bottom w:val="single" w:color="000000" w:sz="4" w:space="0"/>
            </w:tcBorders>
            <w:tcW w:w="4062" w:type="dxa"/>
            <w:textDirection w:val="lrTb"/>
            <w:noWrap w:val="false"/>
          </w:tcPr>
          <w:p>
            <w:pPr>
              <w:ind w:left="122" w:right="92"/>
              <w:jc w:val="both"/>
              <w:tabs>
                <w:tab w:val="left" w:pos="2520" w:leader="none"/>
              </w:tabs>
              <w:rPr>
                <w:color w:val="000000"/>
              </w:rPr>
            </w:pPr>
            <w:r>
              <w:rPr>
                <w:color w:val="000000"/>
              </w:rPr>
              <w:t xml:space="preserve">Сохранение и изучение растительного и животного мира путем создания особо охраняемых природных территорий, в границах </w:t>
            </w:r>
            <w:r>
              <w:rPr>
                <w:color w:val="000000"/>
              </w:rPr>
              <w:t xml:space="preserve">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r/>
          </w:p>
        </w:tc>
        <w:tc>
          <w:tcPr>
            <w:gridSpan w:val="2"/>
            <w:shd w:val="clear" w:color="auto" w:fill="auto"/>
            <w:tcBorders>
              <w:top w:val="single" w:color="000000" w:sz="4" w:space="0"/>
              <w:left w:val="single" w:color="000000" w:sz="4" w:space="0"/>
              <w:bottom w:val="single" w:color="000000" w:sz="4" w:space="0"/>
              <w:right w:val="single" w:color="000000" w:sz="4" w:space="0"/>
            </w:tcBorders>
            <w:tcW w:w="7462" w:type="dxa"/>
            <w:textDirection w:val="lrTb"/>
            <w:noWrap w:val="false"/>
          </w:tcPr>
          <w:p>
            <w:pPr>
              <w:ind w:left="171"/>
              <w:tabs>
                <w:tab w:val="left" w:pos="2520" w:leader="none"/>
              </w:tabs>
              <w:rPr>
                <w:color w:val="000000"/>
              </w:rPr>
            </w:pPr>
            <w:r>
              <w:rPr>
                <w:color w:val="000000"/>
              </w:rPr>
              <w:t xml:space="preserve">минимальная/максимальная площадь земельных участков  – 1000/500000 кв. м;</w:t>
            </w:r>
            <w:r/>
          </w:p>
        </w:tc>
      </w:tr>
      <w:tr>
        <w:trPr>
          <w:gridAfter w:val="1"/>
          <w:trHeight w:val="23"/>
        </w:trPr>
        <w:tc>
          <w:tcPr>
            <w:shd w:val="clear" w:color="auto" w:fill="auto"/>
            <w:tcBorders>
              <w:top w:val="single" w:color="000000" w:sz="4" w:space="0"/>
              <w:left w:val="single" w:color="000000" w:sz="4" w:space="0"/>
              <w:bottom w:val="single" w:color="000000" w:sz="4" w:space="0"/>
            </w:tcBorders>
            <w:tcW w:w="3157" w:type="dxa"/>
            <w:textDirection w:val="lrTb"/>
            <w:noWrap w:val="false"/>
          </w:tcPr>
          <w:p>
            <w:pPr>
              <w:ind w:left="161"/>
              <w:rPr>
                <w:color w:val="000000"/>
              </w:rPr>
            </w:pPr>
            <w:r>
              <w:rPr>
                <w:color w:val="000000"/>
              </w:rPr>
              <w:t xml:space="preserve">[10.4]  </w:t>
            </w:r>
            <w:bookmarkStart w:id="15" w:name="sub_1091"/>
            <w:r>
              <w:rPr>
                <w:color w:val="000000"/>
              </w:rPr>
              <w:t xml:space="preserve">Охрана природных территорий</w:t>
            </w:r>
            <w:bookmarkEnd w:id="15"/>
            <w:r/>
            <w:r/>
          </w:p>
        </w:tc>
        <w:tc>
          <w:tcPr>
            <w:gridSpan w:val="2"/>
            <w:shd w:val="clear" w:color="auto" w:fill="auto"/>
            <w:tcBorders>
              <w:top w:val="single" w:color="000000" w:sz="4" w:space="0"/>
              <w:left w:val="single" w:color="000000" w:sz="4" w:space="0"/>
              <w:bottom w:val="single" w:color="000000" w:sz="4" w:space="0"/>
            </w:tcBorders>
            <w:tcW w:w="4062" w:type="dxa"/>
            <w:textDirection w:val="lrTb"/>
            <w:noWrap w:val="false"/>
          </w:tcPr>
          <w:p>
            <w:pPr>
              <w:ind w:left="122" w:right="92"/>
              <w:jc w:val="both"/>
              <w:tabs>
                <w:tab w:val="left" w:pos="2520" w:leader="none"/>
              </w:tabs>
              <w:rPr>
                <w:color w:val="000000"/>
              </w:rPr>
            </w:pPr>
            <w:r>
              <w:rPr>
                <w:color w:val="000000"/>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w:t>
            </w:r>
            <w:r>
              <w:rPr>
                <w:color w:val="000000"/>
              </w:rPr>
              <w:t xml:space="preserve">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r/>
          </w:p>
        </w:tc>
        <w:tc>
          <w:tcPr>
            <w:gridSpan w:val="2"/>
            <w:shd w:val="clear" w:color="auto" w:fill="auto"/>
            <w:tcBorders>
              <w:top w:val="single" w:color="000000" w:sz="4" w:space="0"/>
              <w:left w:val="single" w:color="000000" w:sz="4" w:space="0"/>
              <w:bottom w:val="single" w:color="000000" w:sz="4" w:space="0"/>
              <w:right w:val="single" w:color="000000" w:sz="4" w:space="0"/>
            </w:tcBorders>
            <w:tcW w:w="7462" w:type="dxa"/>
            <w:textDirection w:val="lrTb"/>
            <w:noWrap w:val="false"/>
          </w:tcPr>
          <w:p>
            <w:pPr>
              <w:ind w:left="171"/>
              <w:tabs>
                <w:tab w:val="left" w:pos="2520" w:leader="none"/>
              </w:tabs>
              <w:rPr>
                <w:color w:val="000000"/>
              </w:rPr>
            </w:pPr>
            <w:r>
              <w:rPr>
                <w:color w:val="000000"/>
              </w:rPr>
              <w:t xml:space="preserve">минимальная/максимальная площадь земельных участков  – 1000/500000 кв. м;</w:t>
            </w:r>
            <w:r/>
          </w:p>
        </w:tc>
      </w:tr>
      <w:tr>
        <w:trPr>
          <w:gridAfter w:val="1"/>
          <w:trHeight w:val="23"/>
        </w:trPr>
        <w:tc>
          <w:tcPr>
            <w:gridSpan w:val="2"/>
            <w:shd w:val="clear" w:color="auto" w:fill="auto"/>
            <w:tcBorders>
              <w:top w:val="single" w:color="000000" w:sz="4" w:space="0"/>
              <w:left w:val="single" w:color="000000" w:sz="4" w:space="0"/>
              <w:bottom w:val="single" w:color="000000" w:sz="4" w:space="0"/>
            </w:tcBorders>
            <w:tcW w:w="3184" w:type="dxa"/>
            <w:textDirection w:val="lrTb"/>
            <w:noWrap w:val="false"/>
          </w:tcPr>
          <w:p>
            <w:pPr>
              <w:ind w:left="161"/>
              <w:tabs>
                <w:tab w:val="left" w:pos="2520" w:leader="none"/>
              </w:tabs>
              <w:rPr>
                <w:color w:val="000000"/>
              </w:rPr>
            </w:pPr>
            <w:r>
              <w:rPr>
                <w:color w:val="000000"/>
              </w:rPr>
              <w:t xml:space="preserve">[9.3] Историко-культурная деятельность</w:t>
            </w:r>
            <w:r/>
          </w:p>
        </w:tc>
        <w:tc>
          <w:tcPr>
            <w:gridSpan w:val="2"/>
            <w:shd w:val="clear" w:color="auto" w:fill="auto"/>
            <w:tcBorders>
              <w:top w:val="single" w:color="000000" w:sz="4" w:space="0"/>
              <w:left w:val="single" w:color="000000" w:sz="4" w:space="0"/>
              <w:bottom w:val="single" w:color="000000" w:sz="4" w:space="0"/>
            </w:tcBorders>
            <w:tcW w:w="4071" w:type="dxa"/>
            <w:textDirection w:val="lrTb"/>
            <w:noWrap w:val="false"/>
          </w:tcPr>
          <w:p>
            <w:pPr>
              <w:ind w:left="95" w:right="128"/>
              <w:jc w:val="both"/>
              <w:tabs>
                <w:tab w:val="left" w:pos="2520" w:leader="none"/>
              </w:tabs>
              <w:rPr>
                <w:color w:val="000000"/>
              </w:rPr>
            </w:pPr>
            <w:r>
              <w:rPr>
                <w:color w:val="000000"/>
              </w:rPr>
              <w:t xml:space="preserve">     Сохранение и изучение объектов культурного наследия народов Российской Федерации (памятников истории и культуры), в том числе: объектов </w:t>
            </w:r>
            <w:r>
              <w:rPr>
                <w:color w:val="000000"/>
              </w:rPr>
              <w:t xml:space="preserve">археологического наследия, достопримечательных мест, мест бытования исторических промыслов, производств и ремесе</w:t>
            </w:r>
            <w:r>
              <w:rPr>
                <w:color w:val="000000"/>
              </w:rPr>
              <w:t xml:space="preserve">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r/>
          </w:p>
        </w:tc>
        <w:tc>
          <w:tcPr>
            <w:shd w:val="clear" w:color="auto" w:fill="auto"/>
            <w:tcBorders>
              <w:top w:val="single" w:color="000000" w:sz="4" w:space="0"/>
              <w:left w:val="single" w:color="000000" w:sz="4" w:space="0"/>
              <w:bottom w:val="single" w:color="000000" w:sz="4" w:space="0"/>
              <w:right w:val="single" w:color="000000" w:sz="4" w:space="0"/>
            </w:tcBorders>
            <w:tcW w:w="7426" w:type="dxa"/>
            <w:textDirection w:val="lrTb"/>
            <w:noWrap w:val="false"/>
          </w:tcPr>
          <w:p>
            <w:pPr>
              <w:ind w:left="135"/>
              <w:tabs>
                <w:tab w:val="left" w:pos="1134" w:leader="none"/>
              </w:tabs>
              <w:rPr>
                <w:color w:val="000000"/>
              </w:rPr>
            </w:pPr>
            <w:r>
              <w:rPr>
                <w:color w:val="000000"/>
              </w:rPr>
              <w:t xml:space="preserve">не подлежит установлению</w:t>
            </w:r>
            <w:r/>
          </w:p>
        </w:tc>
      </w:tr>
      <w:tr>
        <w:trPr>
          <w:trHeight w:val="23"/>
        </w:trPr>
        <w:tc>
          <w:tcPr>
            <w:gridSpan w:val="2"/>
            <w:shd w:val="clear" w:color="auto" w:fill="auto"/>
            <w:tcBorders>
              <w:top w:val="single" w:color="000000" w:sz="4" w:space="0"/>
              <w:left w:val="single" w:color="000000" w:sz="4" w:space="0"/>
              <w:bottom w:val="single" w:color="000000" w:sz="4" w:space="0"/>
            </w:tcBorders>
            <w:tcW w:w="3184" w:type="dxa"/>
            <w:textDirection w:val="lrTb"/>
            <w:noWrap w:val="false"/>
          </w:tcPr>
          <w:p>
            <w:pPr>
              <w:ind w:left="161" w:right="168"/>
              <w:tabs>
                <w:tab w:val="left" w:pos="2520" w:leader="none"/>
              </w:tabs>
              <w:rPr>
                <w:color w:val="000000"/>
              </w:rPr>
            </w:pPr>
            <w:r>
              <w:rPr>
                <w:color w:val="000000"/>
              </w:rPr>
              <w:t xml:space="preserve">[12.0] Земельные участки (территории) общего пользования</w:t>
            </w:r>
            <w:r/>
          </w:p>
        </w:tc>
        <w:tc>
          <w:tcPr>
            <w:gridSpan w:val="2"/>
            <w:shd w:val="clear" w:color="auto" w:fill="auto"/>
            <w:tcBorders>
              <w:top w:val="single" w:color="000000" w:sz="4" w:space="0"/>
              <w:left w:val="single" w:color="000000" w:sz="4" w:space="0"/>
              <w:bottom w:val="single" w:color="000000" w:sz="4" w:space="0"/>
            </w:tcBorders>
            <w:tcW w:w="4071" w:type="dxa"/>
            <w:textDirection w:val="lrTb"/>
            <w:noWrap w:val="false"/>
          </w:tcPr>
          <w:p>
            <w:pPr>
              <w:pStyle w:val="1051"/>
              <w:ind w:left="95" w:right="128"/>
              <w:rPr>
                <w:rFonts w:ascii="Times New Roman" w:hAnsi="Times New Roman" w:cs="Times New Roman"/>
                <w:color w:val="000000"/>
                <w:sz w:val="20"/>
                <w:szCs w:val="20"/>
              </w:rPr>
            </w:pPr>
            <w:r>
              <w:rPr>
                <w:rFonts w:ascii="Times New Roman" w:hAnsi="Times New Roman" w:cs="Times New Roman"/>
                <w:color w:val="000000"/>
                <w:sz w:val="20"/>
                <w:szCs w:val="20"/>
              </w:rPr>
              <w:t xml:space="preserve">Земельные участки общего пользования.</w:t>
            </w:r>
            <w:r/>
          </w:p>
          <w:p>
            <w:pPr>
              <w:ind w:left="95" w:right="128"/>
              <w:jc w:val="both"/>
              <w:tabs>
                <w:tab w:val="left" w:pos="2520" w:leader="none"/>
              </w:tabs>
              <w:rPr>
                <w:color w:val="000000"/>
              </w:rPr>
            </w:pPr>
            <w:r>
              <w:rPr>
                <w:color w:val="000000"/>
              </w:rPr>
              <w:t xml:space="preserve">Содержание данного вида разрешенного использования включает в себя содержание видов разрешенного использования с </w:t>
            </w:r>
            <w:hyperlink w:tooltip="#sub_11201" w:anchor="sub_11201" w:history="1">
              <w:r>
                <w:rPr>
                  <w:rStyle w:val="977"/>
                  <w:color w:val="000000"/>
                </w:rPr>
                <w:t xml:space="preserve">кодами 12.0.1 - 12.0.2</w:t>
              </w:r>
            </w:hyperlink>
            <w:r/>
            <w:r/>
          </w:p>
        </w:tc>
        <w:tc>
          <w:tcPr>
            <w:gridSpan w:val="2"/>
            <w:shd w:val="clear" w:color="auto" w:fill="auto"/>
            <w:tcBorders>
              <w:top w:val="single" w:color="000000" w:sz="4" w:space="0"/>
              <w:left w:val="single" w:color="000000" w:sz="4" w:space="0"/>
              <w:bottom w:val="single" w:color="000000" w:sz="4" w:space="0"/>
              <w:right w:val="single" w:color="000000" w:sz="4" w:space="0"/>
            </w:tcBorders>
            <w:tcW w:w="7434" w:type="dxa"/>
            <w:textDirection w:val="lrTb"/>
            <w:noWrap w:val="false"/>
          </w:tcPr>
          <w:p>
            <w:pPr>
              <w:ind w:left="135"/>
              <w:tabs>
                <w:tab w:val="left" w:pos="1134" w:leader="none"/>
              </w:tabs>
              <w:rPr>
                <w:color w:val="000000"/>
              </w:rPr>
            </w:pPr>
            <w:r>
              <w:rPr>
                <w:color w:val="000000"/>
              </w:rPr>
              <w:t xml:space="preserve">не подлежит установлению</w:t>
            </w:r>
            <w:r/>
          </w:p>
        </w:tc>
      </w:tr>
      <w:tr>
        <w:trPr>
          <w:trHeight w:val="23"/>
        </w:trPr>
        <w:tc>
          <w:tcPr>
            <w:gridSpan w:val="2"/>
            <w:shd w:val="clear" w:color="auto" w:fill="auto"/>
            <w:tcBorders>
              <w:top w:val="single" w:color="000000" w:sz="4" w:space="0"/>
              <w:left w:val="single" w:color="000000" w:sz="4" w:space="0"/>
              <w:bottom w:val="single" w:color="000000" w:sz="4" w:space="0"/>
            </w:tcBorders>
            <w:tcW w:w="3184" w:type="dxa"/>
            <w:textDirection w:val="lrTb"/>
            <w:noWrap w:val="false"/>
          </w:tcPr>
          <w:p>
            <w:pPr>
              <w:ind w:left="161" w:right="168"/>
              <w:tabs>
                <w:tab w:val="left" w:pos="2520" w:leader="none"/>
              </w:tabs>
              <w:rPr>
                <w:color w:val="000000"/>
              </w:rPr>
            </w:pPr>
            <w:r>
              <w:rPr>
                <w:color w:val="000000"/>
              </w:rPr>
              <w:t xml:space="preserve">[12.0.1] Улично-дорожная сеть</w:t>
            </w:r>
            <w:r/>
          </w:p>
        </w:tc>
        <w:tc>
          <w:tcPr>
            <w:gridSpan w:val="2"/>
            <w:shd w:val="clear" w:color="auto" w:fill="auto"/>
            <w:tcBorders>
              <w:top w:val="single" w:color="000000" w:sz="4" w:space="0"/>
              <w:left w:val="single" w:color="000000" w:sz="4" w:space="0"/>
              <w:bottom w:val="single" w:color="000000" w:sz="4" w:space="0"/>
            </w:tcBorders>
            <w:tcW w:w="4071" w:type="dxa"/>
            <w:textDirection w:val="lrTb"/>
            <w:noWrap w:val="false"/>
          </w:tcPr>
          <w:p>
            <w:pPr>
              <w:pStyle w:val="1051"/>
              <w:ind w:left="95" w:right="128" w:firstLine="136"/>
              <w:rPr>
                <w:rFonts w:ascii="Times New Roman" w:hAnsi="Times New Roman" w:cs="Times New Roman"/>
                <w:color w:val="000000"/>
                <w:sz w:val="20"/>
                <w:szCs w:val="20"/>
              </w:rPr>
            </w:pPr>
            <w:r>
              <w:rPr>
                <w:rFonts w:ascii="Times New Roman" w:hAnsi="Times New Roman" w:cs="Times New Roman"/>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p>
          <w:p>
            <w:pPr>
              <w:ind w:left="95" w:right="128" w:firstLine="136"/>
              <w:jc w:val="both"/>
              <w:tabs>
                <w:tab w:val="left" w:pos="2520" w:leader="none"/>
              </w:tabs>
              <w:rPr>
                <w:color w:val="000000"/>
              </w:rPr>
            </w:pPr>
            <w:r>
              <w:rPr>
                <w:color w:val="000000"/>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tooltip="#sub_10271" w:anchor="sub_10271" w:history="1">
              <w:r>
                <w:rPr>
                  <w:rStyle w:val="977"/>
                  <w:color w:val="000000"/>
                </w:rPr>
                <w:t xml:space="preserve">кодами 2.7.1</w:t>
              </w:r>
            </w:hyperlink>
            <w:r>
              <w:rPr>
                <w:color w:val="000000"/>
              </w:rPr>
              <w:t xml:space="preserve">, </w:t>
            </w:r>
            <w:hyperlink w:tooltip="#sub_1049" w:anchor="sub_1049" w:history="1">
              <w:r>
                <w:rPr>
                  <w:rStyle w:val="977"/>
                  <w:color w:val="000000"/>
                </w:rPr>
                <w:t xml:space="preserve">4.9</w:t>
              </w:r>
            </w:hyperlink>
            <w:r>
              <w:rPr>
                <w:color w:val="000000"/>
              </w:rPr>
              <w:t xml:space="preserve">, </w:t>
            </w:r>
            <w:hyperlink w:tooltip="#sub_1723" w:anchor="sub_1723" w:history="1">
              <w:r>
                <w:rPr>
                  <w:rStyle w:val="977"/>
                  <w:color w:val="000000"/>
                </w:rPr>
                <w:t xml:space="preserve">7.2.3</w:t>
              </w:r>
            </w:hyperlink>
            <w:r>
              <w:rPr>
                <w:color w:val="000000"/>
              </w:rPr>
              <w:t xml:space="preserve">, а также некапитальных сооружений, предназначенных для охраны транспортных средств</w:t>
            </w:r>
            <w:r/>
          </w:p>
        </w:tc>
        <w:tc>
          <w:tcPr>
            <w:gridSpan w:val="2"/>
            <w:shd w:val="clear" w:color="auto" w:fill="auto"/>
            <w:tcBorders>
              <w:top w:val="single" w:color="000000" w:sz="4" w:space="0"/>
              <w:left w:val="single" w:color="000000" w:sz="4" w:space="0"/>
              <w:bottom w:val="single" w:color="000000" w:sz="4" w:space="0"/>
              <w:right w:val="single" w:color="000000" w:sz="4" w:space="0"/>
            </w:tcBorders>
            <w:tcW w:w="7434" w:type="dxa"/>
            <w:textDirection w:val="lrTb"/>
            <w:noWrap w:val="false"/>
          </w:tcPr>
          <w:p>
            <w:pPr>
              <w:ind w:left="135"/>
              <w:tabs>
                <w:tab w:val="left" w:pos="1134" w:leader="none"/>
              </w:tabs>
              <w:rPr>
                <w:color w:val="000000"/>
              </w:rPr>
            </w:pPr>
            <w:r>
              <w:rPr>
                <w:color w:val="000000"/>
              </w:rPr>
              <w:t xml:space="preserve">не подлежит установлению</w:t>
            </w:r>
            <w:r/>
          </w:p>
        </w:tc>
      </w:tr>
      <w:tr>
        <w:trPr>
          <w:trHeight w:val="23"/>
        </w:trPr>
        <w:tc>
          <w:tcPr>
            <w:gridSpan w:val="2"/>
            <w:shd w:val="clear" w:color="auto" w:fill="auto"/>
            <w:tcBorders>
              <w:top w:val="single" w:color="000000" w:sz="4" w:space="0"/>
              <w:left w:val="single" w:color="000000" w:sz="4" w:space="0"/>
              <w:bottom w:val="single" w:color="000000" w:sz="4" w:space="0"/>
            </w:tcBorders>
            <w:tcW w:w="3184" w:type="dxa"/>
            <w:textDirection w:val="lrTb"/>
            <w:noWrap w:val="false"/>
          </w:tcPr>
          <w:p>
            <w:pPr>
              <w:ind w:left="161"/>
              <w:tabs>
                <w:tab w:val="left" w:pos="2520" w:leader="none"/>
              </w:tabs>
              <w:rPr>
                <w:color w:val="000000"/>
              </w:rPr>
            </w:pPr>
            <w:r>
              <w:rPr>
                <w:color w:val="000000"/>
              </w:rPr>
              <w:t xml:space="preserve">[12.0.2] Благоустройство территории</w:t>
            </w:r>
            <w:r/>
          </w:p>
        </w:tc>
        <w:tc>
          <w:tcPr>
            <w:gridSpan w:val="2"/>
            <w:shd w:val="clear" w:color="auto" w:fill="auto"/>
            <w:tcBorders>
              <w:top w:val="single" w:color="000000" w:sz="4" w:space="0"/>
              <w:left w:val="single" w:color="000000" w:sz="4" w:space="0"/>
              <w:bottom w:val="single" w:color="000000" w:sz="4" w:space="0"/>
            </w:tcBorders>
            <w:tcW w:w="4071" w:type="dxa"/>
            <w:textDirection w:val="lrTb"/>
            <w:noWrap w:val="false"/>
          </w:tcPr>
          <w:p>
            <w:pPr>
              <w:ind w:left="95" w:right="128" w:firstLine="136"/>
              <w:jc w:val="both"/>
              <w:tabs>
                <w:tab w:val="left" w:pos="2520" w:leader="none"/>
              </w:tabs>
              <w:rPr>
                <w:color w:val="000000"/>
              </w:rPr>
            </w:pPr>
            <w:r>
              <w:rPr>
                <w:color w:val="000000"/>
              </w:rPr>
              <w:t xml:space="preserve">Размещение декоративных, технических, планировочных, конструктивных устройств, эле</w:t>
            </w:r>
            <w:r>
              <w:rPr>
                <w:color w:val="000000"/>
              </w:rPr>
              <w:t xml:space="preserve">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r/>
          </w:p>
        </w:tc>
        <w:tc>
          <w:tcPr>
            <w:gridSpan w:val="2"/>
            <w:shd w:val="clear" w:color="auto" w:fill="auto"/>
            <w:tcBorders>
              <w:top w:val="single" w:color="000000" w:sz="4" w:space="0"/>
              <w:left w:val="single" w:color="000000" w:sz="4" w:space="0"/>
              <w:bottom w:val="single" w:color="000000" w:sz="4" w:space="0"/>
              <w:right w:val="single" w:color="000000" w:sz="4" w:space="0"/>
            </w:tcBorders>
            <w:tcW w:w="7434" w:type="dxa"/>
            <w:textDirection w:val="lrTb"/>
            <w:noWrap w:val="false"/>
          </w:tcPr>
          <w:p>
            <w:pPr>
              <w:ind w:left="135"/>
              <w:tabs>
                <w:tab w:val="left" w:pos="1134" w:leader="none"/>
              </w:tabs>
              <w:rPr>
                <w:color w:val="000000"/>
              </w:rPr>
            </w:pPr>
            <w:r>
              <w:rPr>
                <w:color w:val="000000"/>
              </w:rPr>
              <w:t xml:space="preserve">не подлежит установлению</w:t>
            </w:r>
            <w:r/>
          </w:p>
        </w:tc>
      </w:tr>
    </w:tbl>
    <w:p>
      <w:pPr>
        <w:ind w:firstLine="567"/>
        <w:jc w:val="center"/>
        <w:tabs>
          <w:tab w:val="left" w:pos="2520" w:leader="none"/>
        </w:tabs>
      </w:pPr>
      <w:r/>
      <w:r/>
    </w:p>
    <w:p>
      <w:pPr>
        <w:ind w:firstLine="567"/>
        <w:jc w:val="center"/>
        <w:tabs>
          <w:tab w:val="left" w:pos="2520" w:leader="none"/>
        </w:tabs>
      </w:pPr>
      <w:r/>
      <w:r/>
    </w:p>
    <w:p>
      <w:pPr>
        <w:jc w:val="center"/>
        <w:tabs>
          <w:tab w:val="left" w:pos="2520" w:leader="none"/>
        </w:tabs>
      </w:pPr>
      <w:r>
        <w:rPr>
          <w:b/>
          <w:color w:val="000000"/>
        </w:rPr>
        <w:t xml:space="preserve">УСЛОВНО РАЗРЕШЕННЫЕ ВИДЫ И ПАРАМЕТРЫ ИСПОЛЬЗОВАНИЯ ЗЕМЕЛЬНЫХ УЧАСТКОВ И ОБЪЕКТОВ КАПИТАЛЬНОГО СТРОИТЕЛЬСТВА</w:t>
      </w:r>
      <w:r/>
    </w:p>
    <w:p>
      <w:pPr>
        <w:ind w:firstLine="567"/>
        <w:jc w:val="center"/>
        <w:tabs>
          <w:tab w:val="left" w:pos="2520" w:leader="none"/>
        </w:tabs>
      </w:pPr>
      <w:r/>
      <w:r/>
    </w:p>
    <w:tbl>
      <w:tblPr>
        <w:tblW w:w="15178" w:type="dxa"/>
        <w:tblLayout w:type="fixed"/>
        <w:tblCellMar>
          <w:left w:w="10" w:type="dxa"/>
          <w:right w:w="10" w:type="dxa"/>
        </w:tblCellMar>
        <w:tblLook w:val="04A0" w:firstRow="1" w:lastRow="0" w:firstColumn="1" w:lastColumn="0" w:noHBand="0" w:noVBand="1"/>
      </w:tblPr>
      <w:tblGrid>
        <w:gridCol w:w="3134"/>
        <w:gridCol w:w="4029"/>
        <w:gridCol w:w="5727"/>
        <w:gridCol w:w="2288"/>
      </w:tblGrid>
      <w:tr>
        <w:trPr>
          <w:trHeight w:val="23"/>
        </w:trPr>
        <w:tc>
          <w:tcPr>
            <w:tcBorders>
              <w:top w:val="single" w:color="000000" w:sz="4" w:space="0"/>
              <w:left w:val="single" w:color="000000" w:sz="4" w:space="0"/>
              <w:bottom w:val="single" w:color="000000" w:sz="4" w:space="0"/>
              <w:right w:val="none" w:color="000000" w:sz="4" w:space="0"/>
            </w:tcBorders>
            <w:tcW w:w="3134" w:type="dxa"/>
            <w:vAlign w:val="center"/>
            <w:textDirection w:val="lrTb"/>
            <w:noWrap/>
          </w:tcPr>
          <w:p>
            <w:pPr>
              <w:ind w:left="142" w:right="137"/>
              <w:jc w:val="center"/>
              <w:tabs>
                <w:tab w:val="left" w:pos="2520" w:leader="none"/>
              </w:tabs>
            </w:pPr>
            <w:r>
              <w:rPr>
                <w:rFonts w:eastAsia="SimSun"/>
                <w:lang w:eastAsia="zh-CN" w:bidi="ru-RU"/>
              </w:rPr>
              <w:t xml:space="preserve">[</w:t>
            </w:r>
            <w:r>
              <w:rPr>
                <w:b/>
              </w:rPr>
              <w:t xml:space="preserve">КОД (ЧИСЛОВОЕ ОБОЗНАЧЕНИЕ)</w:t>
            </w:r>
            <w:r>
              <w:rPr>
                <w:rFonts w:eastAsia="SimSun"/>
                <w:lang w:eastAsia="zh-CN" w:bidi="ru-RU"/>
              </w:rPr>
              <w:t xml:space="preserve">]-</w:t>
            </w:r>
            <w:r>
              <w:rPr>
                <w:b/>
              </w:rPr>
              <w:t xml:space="preserve"> НАИМЕНОВАНИЕ ВИДАРАЗРЕШЕННОГО ИСПОЛЬЗОВАНИЯ ЗЕМЕЛЬНЫХ УЧАСТКОВ</w:t>
            </w:r>
            <w:r/>
          </w:p>
        </w:tc>
        <w:tc>
          <w:tcPr>
            <w:tcBorders>
              <w:top w:val="single" w:color="000000" w:sz="4" w:space="0"/>
              <w:left w:val="single" w:color="000000" w:sz="4" w:space="0"/>
              <w:bottom w:val="single" w:color="000000" w:sz="4" w:space="0"/>
              <w:right w:val="none" w:color="000000" w:sz="4" w:space="0"/>
            </w:tcBorders>
            <w:tcW w:w="4029" w:type="dxa"/>
            <w:vAlign w:val="center"/>
            <w:textDirection w:val="lrTb"/>
            <w:noWrap/>
          </w:tcPr>
          <w:p>
            <w:pPr>
              <w:ind w:left="142" w:right="137"/>
              <w:jc w:val="center"/>
              <w:tabs>
                <w:tab w:val="left" w:pos="2520" w:leader="none"/>
              </w:tabs>
            </w:pPr>
            <w:r>
              <w:rPr>
                <w:b/>
              </w:rPr>
              <w:t xml:space="preserve">ВИДЫ ОБЪЕКТОВ КАПИТАЛЬНОГО</w:t>
            </w:r>
            <w:r>
              <w:rPr>
                <w:b/>
              </w:rPr>
              <w:br/>
              <w:t xml:space="preserve"> СТРОИТЕЛЬСТВА</w:t>
            </w:r>
            <w:r/>
          </w:p>
        </w:tc>
        <w:tc>
          <w:tcPr>
            <w:tcBorders>
              <w:top w:val="single" w:color="000000" w:sz="4" w:space="0"/>
              <w:left w:val="single" w:color="000000" w:sz="4" w:space="0"/>
              <w:bottom w:val="single" w:color="000000" w:sz="4" w:space="0"/>
              <w:right w:val="single" w:color="000000" w:sz="4" w:space="0"/>
            </w:tcBorders>
            <w:tcW w:w="5727" w:type="dxa"/>
            <w:vAlign w:val="center"/>
            <w:textDirection w:val="lrTb"/>
            <w:noWrap/>
          </w:tcPr>
          <w:p>
            <w:pPr>
              <w:ind w:left="142" w:right="137"/>
              <w:jc w:val="center"/>
              <w:tabs>
                <w:tab w:val="left" w:pos="2520" w:leader="none"/>
              </w:tabs>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Borders>
              <w:top w:val="single" w:color="000000" w:sz="4" w:space="0"/>
              <w:left w:val="single" w:color="000000" w:sz="4" w:space="0"/>
              <w:bottom w:val="single" w:color="000000" w:sz="4" w:space="0"/>
              <w:right w:val="single" w:color="000000" w:sz="4" w:space="0"/>
            </w:tcBorders>
            <w:tcW w:w="2288" w:type="dxa"/>
            <w:vAlign w:val="center"/>
            <w:textDirection w:val="lrTb"/>
            <w:noWrap/>
          </w:tcPr>
          <w:p>
            <w:pPr>
              <w:ind w:right="142" w:firstLine="567"/>
              <w:jc w:val="center"/>
              <w:tabs>
                <w:tab w:val="left" w:pos="3071" w:leader="none"/>
              </w:tabs>
            </w:pPr>
            <w:r>
              <w:rPr>
                <w:b/>
              </w:rPr>
              <w:t xml:space="preserve">ОСОБЫЕ УСЛОВИЯ РЕАЛИЗАЦИИ РЕГЛАМЕНТА</w:t>
            </w:r>
            <w:r/>
          </w:p>
        </w:tc>
      </w:tr>
      <w:tr>
        <w:trPr>
          <w:trHeight w:val="23"/>
        </w:trPr>
        <w:tc>
          <w:tcPr>
            <w:gridSpan w:val="4"/>
            <w:tcBorders>
              <w:top w:val="single" w:color="000000" w:sz="4" w:space="0"/>
              <w:left w:val="single" w:color="000000" w:sz="4" w:space="0"/>
              <w:bottom w:val="single" w:color="000000" w:sz="4" w:space="0"/>
              <w:right w:val="single" w:color="000000" w:sz="4" w:space="0"/>
            </w:tcBorders>
            <w:tcW w:w="15178" w:type="dxa"/>
            <w:vAlign w:val="center"/>
            <w:textDirection w:val="lrTb"/>
            <w:noWrap/>
          </w:tcPr>
          <w:p>
            <w:pPr>
              <w:ind w:right="142" w:firstLine="567"/>
              <w:jc w:val="center"/>
              <w:tabs>
                <w:tab w:val="left" w:pos="3071" w:leader="none"/>
              </w:tabs>
            </w:pPr>
            <w:r>
              <w:t xml:space="preserve">Не установлены</w:t>
            </w:r>
            <w:r/>
          </w:p>
        </w:tc>
      </w:tr>
    </w:tbl>
    <w:p>
      <w:pPr>
        <w:ind w:firstLine="567"/>
        <w:jc w:val="center"/>
        <w:tabs>
          <w:tab w:val="left" w:pos="2520" w:leader="none"/>
        </w:tabs>
      </w:pPr>
      <w:r/>
      <w:r/>
    </w:p>
    <w:p>
      <w:pPr>
        <w:ind w:firstLine="567"/>
        <w:jc w:val="center"/>
        <w:tabs>
          <w:tab w:val="left" w:pos="2520" w:leader="none"/>
        </w:tabs>
      </w:pPr>
      <w:r>
        <w:rPr>
          <w:b/>
          <w:color w:val="000000"/>
        </w:rPr>
        <w:t xml:space="preserve">ВСПОМОГАТЕЛЬНЫЕ ВИДЫ И ПАРАМЕТРЫ РАЗРЕШЕННОГО ИСПОЛЬЗОВАНИЯ ЗЕМЕЛЬНЫХ УЧАСТКОВ И ОБЪЕКТОВ КАПИТАЛЬНОГО СТРОИТЕЛЬСТВА</w:t>
      </w:r>
      <w:r/>
    </w:p>
    <w:p>
      <w:pPr>
        <w:ind w:firstLine="567"/>
        <w:jc w:val="center"/>
        <w:tabs>
          <w:tab w:val="left" w:pos="2520" w:leader="none"/>
        </w:tabs>
      </w:pPr>
      <w:r/>
      <w:r/>
    </w:p>
    <w:p>
      <w:pPr>
        <w:ind w:firstLine="567"/>
        <w:jc w:val="both"/>
      </w:pPr>
      <w:r>
        <w:rPr>
          <w:lang w:eastAsia="ru-RU" w:bidi="ru-RU"/>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Pr>
          <w:rFonts w:eastAsia="SimSun"/>
          <w:lang w:eastAsia="zh-CN" w:bidi="ru-RU"/>
        </w:rPr>
        <w:t xml:space="preserve"> Предельные (мин</w:t>
      </w:r>
      <w:r>
        <w:rPr>
          <w:rFonts w:eastAsia="SimSun"/>
          <w:lang w:eastAsia="zh-CN" w:bidi="ru-RU"/>
        </w:rPr>
        <w:t xml:space="preserve">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r/>
    </w:p>
    <w:p>
      <w:pPr>
        <w:ind w:firstLine="567"/>
        <w:jc w:val="center"/>
        <w:tabs>
          <w:tab w:val="left" w:pos="2520" w:leader="none"/>
        </w:tabs>
      </w:pPr>
      <w:r/>
      <w:r/>
    </w:p>
    <w:tbl>
      <w:tblPr>
        <w:tblW w:w="0" w:type="auto"/>
        <w:tblLayout w:type="fixed"/>
        <w:tblCellMar>
          <w:left w:w="10" w:type="dxa"/>
          <w:right w:w="10" w:type="dxa"/>
        </w:tblCellMar>
        <w:tblLook w:val="04A0" w:firstRow="1" w:lastRow="0" w:firstColumn="1" w:lastColumn="0" w:noHBand="0" w:noVBand="1"/>
      </w:tblPr>
      <w:tblGrid>
        <w:gridCol w:w="7090"/>
        <w:gridCol w:w="4744"/>
        <w:gridCol w:w="3344"/>
      </w:tblGrid>
      <w:tr>
        <w:trPr>
          <w:trHeight w:val="460"/>
        </w:trPr>
        <w:tc>
          <w:tcPr>
            <w:tcBorders>
              <w:top w:val="single" w:color="000000" w:sz="4" w:space="0"/>
              <w:left w:val="single" w:color="000000" w:sz="4" w:space="0"/>
              <w:bottom w:val="single" w:color="000000" w:sz="4" w:space="0"/>
              <w:right w:val="none" w:color="000000" w:sz="4" w:space="0"/>
            </w:tcBorders>
            <w:tcW w:w="7090" w:type="dxa"/>
            <w:vAlign w:val="center"/>
            <w:textDirection w:val="lrTb"/>
            <w:noWrap/>
          </w:tcPr>
          <w:p>
            <w:pPr>
              <w:ind w:firstLine="567"/>
              <w:jc w:val="center"/>
              <w:tabs>
                <w:tab w:val="left" w:pos="2520" w:leader="none"/>
              </w:tabs>
            </w:pPr>
            <w:r>
              <w:rPr>
                <w:b/>
              </w:rPr>
              <w:t xml:space="preserve">ВИДЫ ВСПОМОГАТЕЛЬНЫХ ОБЪЕКТОВ КАПИТАЛЬНОГО</w:t>
            </w:r>
            <w:r>
              <w:rPr>
                <w:b/>
              </w:rPr>
              <w:br/>
              <w:t xml:space="preserve"> СТРОИТЕЛЬСТВА</w:t>
            </w:r>
            <w:r/>
          </w:p>
        </w:tc>
        <w:tc>
          <w:tcPr>
            <w:tcBorders>
              <w:top w:val="single" w:color="000000" w:sz="4" w:space="0"/>
              <w:left w:val="single" w:color="000000" w:sz="4" w:space="0"/>
              <w:bottom w:val="single" w:color="000000" w:sz="4" w:space="0"/>
              <w:right w:val="single" w:color="000000" w:sz="4" w:space="0"/>
            </w:tcBorders>
            <w:tcW w:w="4744" w:type="dxa"/>
            <w:vAlign w:val="center"/>
            <w:textDirection w:val="lrTb"/>
            <w:noWrap/>
          </w:tcPr>
          <w:p>
            <w:pPr>
              <w:ind w:firstLine="567"/>
              <w:jc w:val="center"/>
              <w:tabs>
                <w:tab w:val="left" w:pos="2520" w:leader="none"/>
              </w:tabs>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Borders>
              <w:top w:val="single" w:color="000000" w:sz="4" w:space="0"/>
              <w:left w:val="single" w:color="000000" w:sz="4" w:space="0"/>
              <w:bottom w:val="single" w:color="000000" w:sz="4" w:space="0"/>
              <w:right w:val="single" w:color="000000" w:sz="4" w:space="0"/>
            </w:tcBorders>
            <w:tcW w:w="3344" w:type="dxa"/>
            <w:vAlign w:val="center"/>
            <w:textDirection w:val="lrTb"/>
            <w:noWrap/>
          </w:tcPr>
          <w:p>
            <w:pPr>
              <w:ind w:right="557" w:firstLine="567"/>
              <w:jc w:val="center"/>
              <w:tabs>
                <w:tab w:val="left" w:pos="3071" w:leader="none"/>
              </w:tabs>
            </w:pPr>
            <w:r>
              <w:rPr>
                <w:b/>
              </w:rPr>
              <w:t xml:space="preserve">ОСОБЫЕ УСЛОВИЯ РЕАЛИЗАЦИИ РЕГЛАМЕНТА</w:t>
            </w:r>
            <w:r/>
          </w:p>
          <w:p>
            <w:pPr>
              <w:ind w:right="557" w:firstLine="567"/>
              <w:jc w:val="center"/>
              <w:tabs>
                <w:tab w:val="left" w:pos="3071" w:leader="none"/>
              </w:tabs>
            </w:pPr>
            <w:r/>
            <w:r/>
          </w:p>
        </w:tc>
      </w:tr>
      <w:tr>
        <w:trPr>
          <w:trHeight w:val="298"/>
        </w:trPr>
        <w:tc>
          <w:tcPr>
            <w:gridSpan w:val="3"/>
            <w:tcBorders>
              <w:top w:val="single" w:color="000000" w:sz="4" w:space="0"/>
              <w:left w:val="single" w:color="000000" w:sz="4" w:space="0"/>
              <w:bottom w:val="single" w:color="000000" w:sz="4" w:space="0"/>
              <w:right w:val="single" w:color="000000" w:sz="4" w:space="0"/>
            </w:tcBorders>
            <w:tcW w:w="15178" w:type="dxa"/>
            <w:textDirection w:val="lrTb"/>
            <w:noWrap/>
          </w:tcPr>
          <w:p>
            <w:pPr>
              <w:ind w:left="127" w:right="132"/>
              <w:jc w:val="center"/>
            </w:pPr>
            <w:r>
              <w:rPr>
                <w:rFonts w:eastAsia="Calibri"/>
              </w:rPr>
              <w:t xml:space="preserve">Вспомогательные виды и их параметры определяются материалами проектной документации.</w:t>
            </w:r>
            <w:r/>
          </w:p>
          <w:p>
            <w:pPr>
              <w:ind w:right="142" w:firstLine="567"/>
              <w:jc w:val="both"/>
              <w:tabs>
                <w:tab w:val="left" w:pos="3071" w:leader="none"/>
              </w:tabs>
              <w:rPr>
                <w:rFonts w:eastAsia="Calibri"/>
              </w:rPr>
            </w:pPr>
            <w:r>
              <w:rPr>
                <w:rFonts w:eastAsia="Calibri"/>
              </w:rPr>
            </w:r>
            <w:r/>
          </w:p>
        </w:tc>
      </w:tr>
    </w:tbl>
    <w:p>
      <w:pPr>
        <w:ind w:firstLine="567"/>
        <w:jc w:val="center"/>
      </w:pPr>
      <w:r/>
      <w:r/>
    </w:p>
    <w:p>
      <w:pPr>
        <w:ind w:firstLine="567"/>
        <w:jc w:val="center"/>
      </w:pPr>
      <w:r>
        <w:rPr>
          <w:b/>
          <w:caps/>
          <w:color w:val="000000"/>
        </w:rPr>
        <w:t xml:space="preserve">Зоны рекреационного назначения:</w:t>
      </w:r>
      <w:r/>
    </w:p>
    <w:p>
      <w:pPr>
        <w:jc w:val="both"/>
      </w:pPr>
      <w:r/>
      <w:r/>
    </w:p>
    <w:p>
      <w:pPr>
        <w:ind w:firstLine="567"/>
        <w:jc w:val="both"/>
      </w:pPr>
      <w:r>
        <w:rPr>
          <w:color w:val="000000"/>
          <w:sz w:val="24"/>
          <w:szCs w:val="24"/>
        </w:rPr>
        <w:t xml:space="preserve">Земельные участки в составе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w:t>
      </w:r>
      <w:r/>
    </w:p>
    <w:p>
      <w:pPr>
        <w:ind w:firstLine="567"/>
        <w:jc w:val="both"/>
      </w:pPr>
      <w:r/>
      <w:r/>
    </w:p>
    <w:p>
      <w:pPr>
        <w:ind w:firstLine="567"/>
        <w:jc w:val="both"/>
      </w:pPr>
      <w:r/>
      <w:r/>
    </w:p>
    <w:p>
      <w:pPr>
        <w:ind w:firstLine="567"/>
        <w:jc w:val="center"/>
      </w:pPr>
      <w:r>
        <w:rPr>
          <w:b/>
          <w:color w:val="000000"/>
          <w:sz w:val="24"/>
          <w:szCs w:val="24"/>
        </w:rPr>
        <w:t xml:space="preserve">ЗОНА ОЗЕЛЕНЕННЫХ ТЕРРИТОРИЙ ОБЩЕГО ПОЛЬЗОВАНИЯ (ЛЕСОПАРКИ, ПАРКИ, САДЫ, СКВЕРЫ, БУЛЬВАРЫ, ГОРОДСКИЕ ЛЕСА)</w:t>
      </w:r>
      <w:r/>
    </w:p>
    <w:p>
      <w:pPr>
        <w:ind w:firstLine="567"/>
        <w:jc w:val="center"/>
      </w:pPr>
      <w:r/>
      <w:r/>
    </w:p>
    <w:p>
      <w:pPr>
        <w:ind w:firstLine="567"/>
        <w:jc w:val="both"/>
      </w:pPr>
      <w:r>
        <w:rPr>
          <w:color w:val="000000" w:themeColor="text1"/>
          <w:sz w:val="24"/>
          <w:szCs w:val="24"/>
        </w:rPr>
        <w:t xml:space="preserve">Кодовое обозначение – Р</w:t>
      </w:r>
      <w:r/>
    </w:p>
    <w:p>
      <w:pPr>
        <w:ind w:firstLine="567"/>
        <w:jc w:val="both"/>
      </w:pPr>
      <w:r>
        <w:rPr>
          <w:color w:val="000000"/>
          <w:sz w:val="24"/>
          <w:szCs w:val="24"/>
        </w:rPr>
        <w:t xml:space="preserve">Земельные участки в составе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w:t>
      </w:r>
      <w:r/>
    </w:p>
    <w:p>
      <w:pPr>
        <w:ind w:firstLine="567"/>
        <w:jc w:val="both"/>
      </w:pPr>
      <w:r/>
      <w:r/>
    </w:p>
    <w:p>
      <w:pPr>
        <w:ind w:firstLine="567"/>
        <w:jc w:val="both"/>
      </w:pPr>
      <w:r>
        <w:rPr>
          <w:color w:val="000000"/>
          <w:sz w:val="24"/>
          <w:szCs w:val="24"/>
          <w:shd w:val="clear" w:color="auto" w:fill="ffffff"/>
        </w:rPr>
        <w:t xml:space="preserve">В соответствии с частью 6 статьи 36 ГрК РФ градостроительные регламенты не устанавливаются для земель лесного фонда, земель, покрытых поверхностными водами, земель особо охраняемых природных территорий </w:t>
      </w:r>
      <w:r/>
    </w:p>
    <w:p>
      <w:pPr>
        <w:ind w:firstLine="567"/>
        <w:jc w:val="both"/>
      </w:pPr>
      <w:r>
        <w:rPr>
          <w:color w:val="000000"/>
          <w:sz w:val="24"/>
          <w:szCs w:val="24"/>
        </w:rPr>
        <w:t xml:space="preserve">Зона Р</w:t>
      </w:r>
      <w:r>
        <w:rPr>
          <w:color w:val="000000"/>
          <w:sz w:val="24"/>
          <w:szCs w:val="24"/>
        </w:rPr>
        <w:t xml:space="preserve"> </w:t>
      </w:r>
      <w:r>
        <w:rPr>
          <w:color w:val="000000"/>
          <w:sz w:val="24"/>
          <w:szCs w:val="24"/>
        </w:rPr>
        <w:t xml:space="preserve">предназначена для сохранения природного ландшафта, экологически чистой окружающей среды, а также для организации отдыха и </w:t>
      </w:r>
      <w:r>
        <w:rPr>
          <w:color w:val="000000"/>
          <w:sz w:val="24"/>
          <w:szCs w:val="24"/>
        </w:rPr>
        <w:t xml:space="preserve">досуга населения. </w:t>
      </w:r>
      <w:r>
        <w:rPr>
          <w:color w:val="000000"/>
          <w:sz w:val="24"/>
          <w:szCs w:val="24"/>
        </w:rPr>
        <w:tab/>
      </w:r>
      <w:r/>
    </w:p>
    <w:p>
      <w:pPr>
        <w:ind w:firstLine="567"/>
        <w:jc w:val="both"/>
      </w:pPr>
      <w:r>
        <w:rPr>
          <w:color w:val="000000"/>
          <w:sz w:val="24"/>
          <w:szCs w:val="24"/>
        </w:rPr>
        <w:t xml:space="preserve">Представленные ниже градостроительные регламенты могут быть распространены на земельные участки в составе данной зоны Р только в случае, когда част</w:t>
      </w:r>
      <w:r>
        <w:rPr>
          <w:color w:val="000000"/>
          <w:sz w:val="24"/>
          <w:szCs w:val="24"/>
        </w:rPr>
        <w:t xml:space="preserve">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r/>
    </w:p>
    <w:p>
      <w:pPr>
        <w:ind w:firstLine="567"/>
        <w:jc w:val="both"/>
      </w:pPr>
      <w:r>
        <w:rPr>
          <w:color w:val="000000"/>
          <w:sz w:val="24"/>
          <w:szCs w:val="24"/>
        </w:rPr>
        <w:t xml:space="preserve">В иных случаях – применительно к частям территории в пределах данной зоны Р, которые относятся к террит</w:t>
      </w:r>
      <w:r>
        <w:rPr>
          <w:color w:val="000000"/>
          <w:sz w:val="24"/>
          <w:szCs w:val="24"/>
        </w:rPr>
        <w:t xml:space="preserve">ориям общего пользования, ограниченной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 Земельные уч</w:t>
      </w:r>
      <w:r>
        <w:rPr>
          <w:color w:val="000000"/>
          <w:sz w:val="24"/>
          <w:szCs w:val="24"/>
        </w:rPr>
        <w:t xml:space="preserve">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r/>
    </w:p>
    <w:p>
      <w:pPr>
        <w:ind w:firstLine="567"/>
        <w:jc w:val="both"/>
      </w:pPr>
      <w:r/>
      <w:r/>
    </w:p>
    <w:p>
      <w:pPr>
        <w:jc w:val="center"/>
        <w:tabs>
          <w:tab w:val="left" w:pos="2520" w:leader="none"/>
        </w:tabs>
      </w:pPr>
      <w:r>
        <w:rPr>
          <w:b/>
          <w:color w:val="000000"/>
        </w:rPr>
        <w:t xml:space="preserve">ОСНОВНЫЕ ВИДЫ И ПАРАМЕТРЫ РАЗРЕШЕННОГО ИСПОЛЬЗОВАНИЯ ЗЕМЕЛЬНЫХ УЧАСТКОВ И ОБЪЕКТОВ КАПИТАЛЬНОГО СТРОИТЕЛЬСТВА</w:t>
      </w:r>
      <w:r/>
    </w:p>
    <w:p>
      <w:pPr>
        <w:ind w:firstLine="567"/>
        <w:jc w:val="center"/>
        <w:tabs>
          <w:tab w:val="left" w:pos="2520" w:leader="none"/>
        </w:tabs>
      </w:pPr>
      <w:r/>
      <w:r/>
    </w:p>
    <w:tbl>
      <w:tblPr>
        <w:tblW w:w="1517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 w:type="dxa"/>
          <w:right w:w="10" w:type="dxa"/>
        </w:tblCellMar>
        <w:tblLook w:val="04A0" w:firstRow="1" w:lastRow="0" w:firstColumn="1" w:lastColumn="0" w:noHBand="0" w:noVBand="1"/>
      </w:tblPr>
      <w:tblGrid>
        <w:gridCol w:w="2704"/>
        <w:gridCol w:w="4129"/>
        <w:gridCol w:w="5510"/>
        <w:gridCol w:w="2835"/>
      </w:tblGrid>
      <w:tr>
        <w:trPr>
          <w:trHeight w:val="1511"/>
        </w:trPr>
        <w:tc>
          <w:tcPr>
            <w:tcW w:w="2704" w:type="dxa"/>
            <w:vAlign w:val="center"/>
            <w:textDirection w:val="lrTb"/>
            <w:noWrap w:val="false"/>
          </w:tcPr>
          <w:p>
            <w:pPr>
              <w:ind w:left="142" w:right="150"/>
              <w:jc w:val="center"/>
              <w:tabs>
                <w:tab w:val="left" w:pos="2520" w:leader="none"/>
              </w:tabs>
              <w:rPr>
                <w:b/>
              </w:rPr>
            </w:pPr>
            <w:r>
              <w:rPr>
                <w:rFonts w:eastAsia="SimSun"/>
                <w:lang w:eastAsia="zh-CN" w:bidi="ru-RU"/>
              </w:rPr>
              <w:t xml:space="preserve">[</w:t>
            </w:r>
            <w:r>
              <w:rPr>
                <w:b/>
              </w:rPr>
              <w:t xml:space="preserve">КОД (ЧИСЛОВОЕ ОБОЗНАЧЕНИЕ)</w:t>
            </w:r>
            <w:r>
              <w:rPr>
                <w:rFonts w:eastAsia="SimSun"/>
                <w:lang w:eastAsia="zh-CN" w:bidi="ru-RU"/>
              </w:rPr>
              <w:t xml:space="preserve">]-</w:t>
            </w:r>
            <w:r>
              <w:rPr>
                <w:b/>
              </w:rPr>
              <w:t xml:space="preserve"> НАИМЕНОВАНИЕ ВИДАРАЗРЕШЕННОГО ИСПОЛЬЗОВАНИЯ ЗЕМЕЛЬНЫХ УЧАСТКОВ</w:t>
            </w:r>
            <w:r/>
          </w:p>
        </w:tc>
        <w:tc>
          <w:tcPr>
            <w:tcW w:w="4129" w:type="dxa"/>
            <w:vAlign w:val="center"/>
            <w:textDirection w:val="lrTb"/>
            <w:noWrap w:val="false"/>
          </w:tcPr>
          <w:p>
            <w:pPr>
              <w:ind w:left="142" w:right="150"/>
              <w:jc w:val="center"/>
              <w:tabs>
                <w:tab w:val="left" w:pos="2520" w:leader="none"/>
              </w:tabs>
              <w:rPr>
                <w:b/>
              </w:rPr>
            </w:pPr>
            <w:r>
              <w:rPr>
                <w:b/>
              </w:rPr>
              <w:t xml:space="preserve">ВИДЫ ОБЪЕКТОВ КАПИТАЛЬНОГО СТРОИТЕЛЬСТВА</w:t>
            </w:r>
            <w:r/>
          </w:p>
        </w:tc>
        <w:tc>
          <w:tcPr>
            <w:tcW w:w="5510" w:type="dxa"/>
            <w:vAlign w:val="center"/>
            <w:textDirection w:val="lrTb"/>
            <w:noWrap w:val="false"/>
          </w:tcPr>
          <w:p>
            <w:pPr>
              <w:ind w:left="142" w:right="150"/>
              <w:jc w:val="center"/>
              <w:tabs>
                <w:tab w:val="left" w:pos="2520" w:leader="none"/>
              </w:tabs>
              <w:rPr>
                <w:b/>
              </w:rPr>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W w:w="2835" w:type="dxa"/>
            <w:vAlign w:val="center"/>
            <w:textDirection w:val="lrTb"/>
            <w:noWrap w:val="false"/>
          </w:tcPr>
          <w:p>
            <w:pPr>
              <w:ind w:left="142" w:right="150"/>
              <w:jc w:val="center"/>
              <w:tabs>
                <w:tab w:val="left" w:pos="3071" w:leader="none"/>
              </w:tabs>
              <w:rPr>
                <w:b/>
              </w:rPr>
            </w:pPr>
            <w:r>
              <w:rPr>
                <w:b/>
              </w:rPr>
              <w:t xml:space="preserve">ОСОБЫЕ УСЛОВИЯ РЕАЛИЗАЦИИ РЕГЛАМЕНТА</w:t>
            </w:r>
            <w:r/>
          </w:p>
        </w:tc>
      </w:tr>
      <w:tr>
        <w:trPr>
          <w:trHeight w:val="790"/>
        </w:trPr>
        <w:tc>
          <w:tcPr>
            <w:tcW w:w="2704" w:type="dxa"/>
            <w:textDirection w:val="lrTb"/>
            <w:noWrap w:val="false"/>
          </w:tcPr>
          <w:p>
            <w:pPr>
              <w:ind w:left="142" w:right="150"/>
              <w:tabs>
                <w:tab w:val="left" w:pos="2520" w:leader="none"/>
              </w:tabs>
            </w:pPr>
            <w:r>
              <w:t xml:space="preserve">[3.6.2]</w:t>
            </w:r>
            <w:r/>
          </w:p>
          <w:p>
            <w:pPr>
              <w:ind w:left="142" w:right="150"/>
              <w:tabs>
                <w:tab w:val="left" w:pos="2520" w:leader="none"/>
              </w:tabs>
            </w:pPr>
            <w:r>
              <w:t xml:space="preserve">Парки культуры и отдыха</w:t>
            </w:r>
            <w:r/>
          </w:p>
          <w:p>
            <w:pPr>
              <w:ind w:left="142" w:right="150"/>
              <w:tabs>
                <w:tab w:val="left" w:pos="2520" w:leader="none"/>
              </w:tabs>
              <w:rPr>
                <w:strike/>
              </w:rPr>
            </w:pPr>
            <w:r>
              <w:rPr>
                <w:strike/>
              </w:rPr>
            </w:r>
            <w:r/>
          </w:p>
        </w:tc>
        <w:tc>
          <w:tcPr>
            <w:tcW w:w="4129" w:type="dxa"/>
            <w:textDirection w:val="lrTb"/>
            <w:noWrap w:val="false"/>
          </w:tcPr>
          <w:p>
            <w:pPr>
              <w:ind w:left="142" w:right="150"/>
              <w:jc w:val="both"/>
              <w:rPr>
                <w:strike/>
              </w:rPr>
            </w:pPr>
            <w:r>
              <w:t xml:space="preserve"> Размещение парков культуры и отдыха</w:t>
            </w:r>
            <w:r/>
          </w:p>
        </w:tc>
        <w:tc>
          <w:tcPr>
            <w:tcW w:w="5510" w:type="dxa"/>
            <w:textDirection w:val="lrTb"/>
            <w:noWrap w:val="false"/>
          </w:tcPr>
          <w:p>
            <w:pPr>
              <w:ind w:left="142" w:right="150"/>
              <w:jc w:val="both"/>
              <w:tabs>
                <w:tab w:val="left" w:pos="2520" w:leader="none"/>
              </w:tabs>
            </w:pPr>
            <w:r>
              <w:t xml:space="preserve">Минимальная/максимальная площадь земельных участков –1000/10000 кв. м;</w:t>
            </w:r>
            <w:r/>
          </w:p>
          <w:p>
            <w:pPr>
              <w:ind w:left="142" w:right="150"/>
              <w:jc w:val="both"/>
              <w:tabs>
                <w:tab w:val="left" w:pos="2520" w:leader="none"/>
              </w:tabs>
            </w:pPr>
            <w:r>
              <w:t xml:space="preserve">минимальный процент озеленения – 75%</w:t>
            </w:r>
            <w:r/>
          </w:p>
        </w:tc>
        <w:tc>
          <w:tcPr>
            <w:tcW w:w="2835" w:type="dxa"/>
            <w:vMerge w:val="restart"/>
            <w:textDirection w:val="lrTb"/>
            <w:noWrap w:val="false"/>
          </w:tcPr>
          <w:p>
            <w:pPr>
              <w:ind w:left="142" w:right="150"/>
              <w:jc w:val="both"/>
              <w:tabs>
                <w:tab w:val="left" w:pos="3071" w:leader="none"/>
              </w:tabs>
              <w:rPr>
                <w:shd w:val="clear" w:color="auto" w:fill="ffffff"/>
              </w:rPr>
            </w:pPr>
            <w:r>
              <w:rPr>
                <w:shd w:val="clear" w:color="auto" w:fill="ffffff"/>
              </w:rPr>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r/>
          </w:p>
          <w:p>
            <w:pPr>
              <w:ind w:left="142" w:right="150"/>
              <w:jc w:val="both"/>
              <w:tabs>
                <w:tab w:val="left" w:pos="3071" w:leader="none"/>
              </w:tabs>
              <w:rPr>
                <w:shd w:val="clear" w:color="auto" w:fill="ffffff"/>
              </w:rPr>
            </w:pPr>
            <w:r>
              <w:rPr>
                <w:shd w:val="clear" w:color="auto" w:fill="ffffff"/>
              </w:rPr>
            </w:r>
            <w:r/>
          </w:p>
          <w:p>
            <w:pPr>
              <w:ind w:left="142" w:right="150"/>
              <w:jc w:val="both"/>
              <w:tabs>
                <w:tab w:val="left" w:pos="3071" w:leader="none"/>
              </w:tabs>
            </w:pPr>
            <w: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r/>
          </w:p>
          <w:p>
            <w:pPr>
              <w:ind w:left="142" w:right="150"/>
              <w:jc w:val="both"/>
              <w:tabs>
                <w:tab w:val="left" w:pos="3071" w:leader="none"/>
              </w:tabs>
            </w:pPr>
            <w:r/>
            <w:r/>
          </w:p>
          <w:p>
            <w:pPr>
              <w:ind w:left="142" w:right="150"/>
              <w:jc w:val="both"/>
              <w:rPr>
                <w:rFonts w:eastAsia="Calibri"/>
              </w:rPr>
            </w:pPr>
            <w:r>
              <w:rPr>
                <w:rFonts w:eastAsia="Calibri"/>
              </w:rPr>
              <w:t xml:space="preserve">Объекты должны иметь необходимое расчетное количество парковочных мест (отдельно стоящих, встроенных, пристроенных, </w:t>
            </w:r>
            <w:r>
              <w:rPr>
                <w:rFonts w:eastAsia="Calibri"/>
              </w:rPr>
              <w:t xml:space="preserve">подземных) только на территории своих земельных участков.</w:t>
            </w:r>
            <w:r/>
          </w:p>
          <w:p>
            <w:pPr>
              <w:ind w:left="142" w:right="150"/>
              <w:jc w:val="both"/>
              <w:rPr>
                <w:rFonts w:eastAsia="Calibri"/>
              </w:rPr>
            </w:pPr>
            <w:r>
              <w:rPr>
                <w:rFonts w:eastAsia="Calibri"/>
              </w:rPr>
              <w:t xml:space="preserve">При проектировании объекта расчетное количество парковочных мест для его обслуживания определять по таблице части 8 ст. 21 настоящих правил.</w:t>
            </w:r>
            <w:r/>
          </w:p>
          <w:p>
            <w:pPr>
              <w:ind w:left="142" w:right="150"/>
              <w:jc w:val="both"/>
            </w:pPr>
            <w:r/>
            <w:r/>
          </w:p>
        </w:tc>
      </w:tr>
      <w:tr>
        <w:trPr>
          <w:trHeight w:val="336"/>
        </w:trPr>
        <w:tc>
          <w:tcPr>
            <w:tcW w:w="2704" w:type="dxa"/>
            <w:textDirection w:val="lrTb"/>
            <w:noWrap w:val="false"/>
          </w:tcPr>
          <w:p>
            <w:pPr>
              <w:ind w:left="142" w:right="150"/>
              <w:widowControl/>
              <w:rPr>
                <w:lang w:eastAsia="ru-RU"/>
              </w:rPr>
            </w:pPr>
            <w:r>
              <w:rPr>
                <w:lang w:eastAsia="ru-RU"/>
              </w:rPr>
              <w:t xml:space="preserve">[5.1.2] </w:t>
            </w:r>
            <w:r/>
          </w:p>
          <w:p>
            <w:pPr>
              <w:ind w:left="142" w:right="150"/>
              <w:widowControl/>
              <w:rPr>
                <w:lang w:eastAsia="ru-RU"/>
              </w:rPr>
            </w:pPr>
            <w:r>
              <w:rPr>
                <w:lang w:eastAsia="ru-RU"/>
              </w:rPr>
              <w:t xml:space="preserve">Обеспечение спортивно-зрелищных мероприятий</w:t>
            </w:r>
            <w:r/>
          </w:p>
        </w:tc>
        <w:tc>
          <w:tcPr>
            <w:tcW w:w="4129" w:type="dxa"/>
            <w:textDirection w:val="lrTb"/>
            <w:noWrap w:val="false"/>
          </w:tcPr>
          <w:p>
            <w:pPr>
              <w:ind w:left="142" w:right="150"/>
              <w:jc w:val="both"/>
              <w:widowControl/>
            </w:pPr>
            <w:r>
              <w:t xml:space="preserve">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r/>
          </w:p>
        </w:tc>
        <w:tc>
          <w:tcPr>
            <w:tcW w:w="5510" w:type="dxa"/>
            <w:textDirection w:val="lrTb"/>
            <w:noWrap w:val="false"/>
          </w:tcPr>
          <w:p>
            <w:pPr>
              <w:ind w:left="142" w:right="150"/>
              <w:jc w:val="both"/>
              <w:tabs>
                <w:tab w:val="left" w:pos="2520" w:leader="none"/>
              </w:tabs>
            </w:pPr>
            <w:r>
              <w:t xml:space="preserve">Минимальная/максимальная площадь земельных участков –1000/10000 кв. м;</w:t>
            </w:r>
            <w:r/>
          </w:p>
          <w:p>
            <w:pPr>
              <w:ind w:left="142" w:right="150"/>
              <w:jc w:val="both"/>
              <w:tabs>
                <w:tab w:val="left" w:pos="2520" w:leader="none"/>
              </w:tabs>
            </w:pPr>
            <w:r>
              <w:t xml:space="preserve">максимальная высота зданий, строений, сооружений от уровня земли – 20 м.;</w:t>
            </w:r>
            <w:r/>
          </w:p>
          <w:p>
            <w:pPr>
              <w:ind w:left="142" w:right="150"/>
              <w:jc w:val="both"/>
              <w:tabs>
                <w:tab w:val="left" w:pos="2520" w:leader="none"/>
              </w:tabs>
            </w:pPr>
            <w:r>
              <w:t xml:space="preserve">максимальный процент застройки в границах земельного участка – 30 %;</w:t>
            </w:r>
            <w:r/>
          </w:p>
          <w:p>
            <w:pPr>
              <w:ind w:left="142" w:right="150"/>
              <w:jc w:val="both"/>
              <w:tabs>
                <w:tab w:val="left" w:pos="2520" w:leader="none"/>
              </w:tabs>
            </w:pPr>
            <w:r>
              <w:t xml:space="preserve">минимальный процент озеленения – 15%</w:t>
            </w:r>
            <w:r/>
          </w:p>
          <w:p>
            <w:pPr>
              <w:ind w:left="142" w:right="150"/>
              <w:jc w:val="both"/>
            </w:pPr>
            <w:r>
              <w:t xml:space="preserve">минимальные отступы от красной линии – 5 м; от иных границ – 3 м. </w:t>
            </w:r>
            <w:r/>
          </w:p>
          <w:p>
            <w:pPr>
              <w:ind w:left="142" w:right="150"/>
              <w:jc w:val="both"/>
              <w:rPr>
                <w:strike/>
              </w:rPr>
            </w:pPr>
            <w:r>
              <w:rPr>
                <w:strike/>
              </w:rPr>
            </w:r>
            <w:r/>
          </w:p>
        </w:tc>
        <w:tc>
          <w:tcPr>
            <w:tcW w:w="2835" w:type="dxa"/>
            <w:vMerge w:val="continue"/>
            <w:textDirection w:val="lrTb"/>
            <w:noWrap w:val="false"/>
          </w:tcPr>
          <w:p>
            <w:pPr>
              <w:ind w:left="142" w:right="150"/>
            </w:pPr>
            <w:r/>
            <w:r/>
          </w:p>
        </w:tc>
      </w:tr>
      <w:tr>
        <w:trPr>
          <w:trHeight w:val="426"/>
        </w:trPr>
        <w:tc>
          <w:tcPr>
            <w:tcW w:w="2704" w:type="dxa"/>
            <w:textDirection w:val="lrTb"/>
            <w:noWrap w:val="false"/>
          </w:tcPr>
          <w:p>
            <w:pPr>
              <w:ind w:left="142" w:right="150"/>
              <w:widowControl/>
              <w:rPr>
                <w:lang w:eastAsia="ru-RU"/>
              </w:rPr>
            </w:pPr>
            <w:r>
              <w:rPr>
                <w:lang w:eastAsia="ru-RU"/>
              </w:rPr>
              <w:t xml:space="preserve">[5.1.2] </w:t>
            </w:r>
            <w:r/>
          </w:p>
          <w:p>
            <w:pPr>
              <w:ind w:left="142" w:right="150"/>
              <w:widowControl/>
              <w:rPr>
                <w:lang w:eastAsia="ru-RU"/>
              </w:rPr>
            </w:pPr>
            <w:r>
              <w:rPr>
                <w:lang w:eastAsia="ru-RU"/>
              </w:rPr>
              <w:t xml:space="preserve">Обеспечение занятий спортом в помещениях</w:t>
            </w:r>
            <w:r/>
          </w:p>
        </w:tc>
        <w:tc>
          <w:tcPr>
            <w:tcW w:w="4129" w:type="dxa"/>
            <w:textDirection w:val="lrTb"/>
            <w:noWrap w:val="false"/>
          </w:tcPr>
          <w:p>
            <w:pPr>
              <w:ind w:left="142" w:right="150"/>
              <w:jc w:val="both"/>
              <w:widowControl/>
            </w:pPr>
            <w:r>
              <w:t xml:space="preserve">Размещение спортивных клубов, спортивных залов, бассейнов, физкультурно-оздоровительных комплексов в зданиях и сооружениях</w:t>
            </w:r>
            <w:r/>
          </w:p>
        </w:tc>
        <w:tc>
          <w:tcPr>
            <w:tcW w:w="5510" w:type="dxa"/>
            <w:textDirection w:val="lrTb"/>
            <w:noWrap w:val="false"/>
          </w:tcPr>
          <w:p>
            <w:pPr>
              <w:ind w:left="142" w:right="150"/>
              <w:jc w:val="both"/>
              <w:tabs>
                <w:tab w:val="left" w:pos="2520" w:leader="none"/>
              </w:tabs>
            </w:pPr>
            <w:r>
              <w:t xml:space="preserve">Минимальная/максимальная площадь земельных участков –1000/10000 кв. м;</w:t>
            </w:r>
            <w:r/>
          </w:p>
          <w:p>
            <w:pPr>
              <w:ind w:left="142" w:right="150"/>
              <w:jc w:val="both"/>
              <w:tabs>
                <w:tab w:val="left" w:pos="2520" w:leader="none"/>
              </w:tabs>
            </w:pPr>
            <w:r>
              <w:t xml:space="preserve">максимальная высота зданий, строений, сооружений от уровня земли 20 м;</w:t>
            </w:r>
            <w:r/>
          </w:p>
          <w:p>
            <w:pPr>
              <w:ind w:left="142" w:right="150"/>
              <w:jc w:val="both"/>
              <w:tabs>
                <w:tab w:val="left" w:pos="2520" w:leader="none"/>
              </w:tabs>
            </w:pPr>
            <w:r>
              <w:t xml:space="preserve">максимальный процент застройки в границах земельного участка – 60 %;</w:t>
            </w:r>
            <w:r/>
          </w:p>
          <w:p>
            <w:pPr>
              <w:ind w:left="142" w:right="150"/>
              <w:jc w:val="both"/>
              <w:tabs>
                <w:tab w:val="left" w:pos="2520" w:leader="none"/>
              </w:tabs>
            </w:pPr>
            <w:r>
              <w:t xml:space="preserve">минимальный процент озеленения – 15%</w:t>
            </w:r>
            <w:r/>
          </w:p>
          <w:p>
            <w:pPr>
              <w:ind w:left="142" w:right="150"/>
              <w:jc w:val="both"/>
              <w:widowControl/>
            </w:pPr>
            <w:r>
              <w:t xml:space="preserve">минимальные отступы от красной линии – 5 м; от иных </w:t>
            </w:r>
            <w:r>
              <w:t xml:space="preserve">границ – 3 м.  </w:t>
            </w:r>
            <w:r/>
          </w:p>
        </w:tc>
        <w:tc>
          <w:tcPr>
            <w:tcW w:w="2835" w:type="dxa"/>
            <w:vMerge w:val="continue"/>
            <w:textDirection w:val="lrTb"/>
            <w:noWrap w:val="false"/>
          </w:tcPr>
          <w:p>
            <w:pPr>
              <w:ind w:left="142" w:right="150"/>
            </w:pPr>
            <w:r/>
            <w:r/>
          </w:p>
        </w:tc>
      </w:tr>
      <w:tr>
        <w:trPr>
          <w:trHeight w:val="445"/>
        </w:trPr>
        <w:tc>
          <w:tcPr>
            <w:tcW w:w="2704" w:type="dxa"/>
            <w:textDirection w:val="lrTb"/>
            <w:noWrap w:val="false"/>
          </w:tcPr>
          <w:p>
            <w:pPr>
              <w:ind w:left="142" w:right="150"/>
              <w:widowControl/>
              <w:rPr>
                <w:lang w:eastAsia="ru-RU"/>
              </w:rPr>
            </w:pPr>
            <w:r>
              <w:rPr>
                <w:lang w:eastAsia="ru-RU"/>
              </w:rPr>
              <w:t xml:space="preserve">[5.1.3] </w:t>
            </w:r>
            <w:r/>
          </w:p>
          <w:p>
            <w:pPr>
              <w:ind w:left="142" w:right="150"/>
              <w:widowControl/>
              <w:rPr>
                <w:lang w:eastAsia="ru-RU"/>
              </w:rPr>
            </w:pPr>
            <w:r>
              <w:rPr>
                <w:lang w:eastAsia="ru-RU"/>
              </w:rPr>
              <w:t xml:space="preserve">Площадки для занятий спортом</w:t>
            </w:r>
            <w:r/>
          </w:p>
        </w:tc>
        <w:tc>
          <w:tcPr>
            <w:tcW w:w="4129" w:type="dxa"/>
            <w:textDirection w:val="lrTb"/>
            <w:noWrap w:val="false"/>
          </w:tcPr>
          <w:p>
            <w:pPr>
              <w:ind w:left="142" w:right="150"/>
              <w:jc w:val="both"/>
              <w:widowControl/>
            </w:pPr>
            <w:r>
              <w:t xml:space="preserve">Размещение площадок для занятия спортом и физкультурой на открытом воздухе (физкультурные площадки, беговые дорожки, поля для спортивной игры)</w:t>
            </w:r>
            <w:r/>
          </w:p>
        </w:tc>
        <w:tc>
          <w:tcPr>
            <w:tcW w:w="5510" w:type="dxa"/>
            <w:textDirection w:val="lrTb"/>
            <w:noWrap w:val="false"/>
          </w:tcPr>
          <w:p>
            <w:pPr>
              <w:ind w:left="142" w:right="150"/>
              <w:jc w:val="both"/>
              <w:tabs>
                <w:tab w:val="left" w:pos="2520" w:leader="none"/>
              </w:tabs>
            </w:pPr>
            <w:r>
              <w:t xml:space="preserve">Минимальная/максимальная площадь земельных участков –400/10000 кв. м;</w:t>
            </w:r>
            <w:r/>
          </w:p>
          <w:p>
            <w:pPr>
              <w:ind w:left="142" w:right="150"/>
              <w:jc w:val="both"/>
              <w:tabs>
                <w:tab w:val="left" w:pos="2520" w:leader="none"/>
              </w:tabs>
            </w:pPr>
            <w:r>
              <w:t xml:space="preserve">минимальный процент озеленения – 15%</w:t>
            </w:r>
            <w:r/>
          </w:p>
        </w:tc>
        <w:tc>
          <w:tcPr>
            <w:tcW w:w="2835" w:type="dxa"/>
            <w:vMerge w:val="continue"/>
            <w:textDirection w:val="lrTb"/>
            <w:noWrap w:val="false"/>
          </w:tcPr>
          <w:p>
            <w:pPr>
              <w:ind w:left="142" w:right="150"/>
            </w:pPr>
            <w:r/>
            <w:r/>
          </w:p>
        </w:tc>
      </w:tr>
      <w:tr>
        <w:trPr>
          <w:trHeight w:val="1914"/>
        </w:trPr>
        <w:tc>
          <w:tcPr>
            <w:tcW w:w="2704" w:type="dxa"/>
            <w:textDirection w:val="lrTb"/>
            <w:noWrap w:val="false"/>
          </w:tcPr>
          <w:p>
            <w:pPr>
              <w:ind w:left="142" w:right="150"/>
              <w:widowControl/>
              <w:rPr>
                <w:lang w:eastAsia="ru-RU"/>
              </w:rPr>
            </w:pPr>
            <w:r>
              <w:rPr>
                <w:lang w:eastAsia="ru-RU"/>
              </w:rPr>
              <w:t xml:space="preserve">[5.1.4] </w:t>
            </w:r>
            <w:r/>
          </w:p>
          <w:p>
            <w:pPr>
              <w:ind w:left="142" w:right="150"/>
              <w:widowControl/>
              <w:rPr>
                <w:lang w:eastAsia="ru-RU"/>
              </w:rPr>
            </w:pPr>
            <w:r>
              <w:rPr>
                <w:lang w:eastAsia="ru-RU"/>
              </w:rPr>
              <w:t xml:space="preserve">Оборудованные площадки для занятий спортом</w:t>
            </w:r>
            <w:r/>
          </w:p>
        </w:tc>
        <w:tc>
          <w:tcPr>
            <w:tcW w:w="4129" w:type="dxa"/>
            <w:textDirection w:val="lrTb"/>
            <w:noWrap w:val="false"/>
          </w:tcPr>
          <w:p>
            <w:pPr>
              <w:ind w:left="142" w:right="150"/>
              <w:jc w:val="both"/>
              <w:widowControl/>
            </w:pPr>
            <w:r>
              <w:t xml:space="preserve">Размещение сооружений для занятия спортом и физкультурой на открытом воздухе (теннисные корты, автодромы, мотодромы, трамплины, спортивные стрельбища)</w:t>
            </w:r>
            <w:r/>
          </w:p>
        </w:tc>
        <w:tc>
          <w:tcPr>
            <w:tcW w:w="5510" w:type="dxa"/>
            <w:vAlign w:val="center"/>
            <w:textDirection w:val="lrTb"/>
            <w:noWrap w:val="false"/>
          </w:tcPr>
          <w:p>
            <w:pPr>
              <w:ind w:left="142" w:right="150"/>
              <w:jc w:val="both"/>
              <w:tabs>
                <w:tab w:val="left" w:pos="2520" w:leader="none"/>
              </w:tabs>
            </w:pPr>
            <w:r>
              <w:t xml:space="preserve">Минимальная/максимальная площадь земельных участков –1000/10000 кв. м;</w:t>
            </w:r>
            <w:r/>
          </w:p>
          <w:p>
            <w:pPr>
              <w:ind w:left="142" w:right="150"/>
              <w:jc w:val="both"/>
              <w:tabs>
                <w:tab w:val="left" w:pos="2520" w:leader="none"/>
              </w:tabs>
            </w:pPr>
            <w:r>
              <w:rPr>
                <w:lang w:eastAsia="ru-RU" w:bidi="ru-RU"/>
              </w:rPr>
              <w:t xml:space="preserve">предельная высота зданий, строений, </w:t>
            </w:r>
            <w:r>
              <w:rPr>
                <w:rFonts w:eastAsia="SimSun"/>
                <w:lang w:eastAsia="zh-CN" w:bidi="ru-RU"/>
              </w:rPr>
              <w:t xml:space="preserve">сооружений</w:t>
            </w:r>
            <w:r>
              <w:rPr>
                <w:lang w:eastAsia="ru-RU" w:bidi="ru-RU"/>
              </w:rPr>
              <w:t xml:space="preserve">; </w:t>
            </w:r>
            <w:r>
              <w:rPr>
                <w:rFonts w:eastAsia="SimSun"/>
                <w:lang w:eastAsia="zh-CN" w:bidi="ru-RU"/>
              </w:rPr>
              <w:t xml:space="preserve">предельное количество этажей зданий и максимальный процент застройки в границах земельного участка </w:t>
            </w:r>
            <w:r>
              <w:rPr>
                <w:lang w:eastAsia="ru-RU" w:bidi="ru-RU"/>
              </w:rPr>
              <w:t xml:space="preserve">не подлежат установлению;</w:t>
            </w:r>
            <w:r/>
          </w:p>
          <w:p>
            <w:pPr>
              <w:ind w:left="142" w:right="150"/>
              <w:jc w:val="both"/>
              <w:tabs>
                <w:tab w:val="left" w:pos="2520" w:leader="none"/>
              </w:tabs>
            </w:pPr>
            <w:r>
              <w:t xml:space="preserve">минимальные отступы от красной линии – 5 м; от иных границ – 3 м. </w:t>
            </w:r>
            <w:r/>
          </w:p>
          <w:p>
            <w:pPr>
              <w:ind w:left="142" w:right="150"/>
              <w:jc w:val="both"/>
              <w:tabs>
                <w:tab w:val="left" w:pos="2520" w:leader="none"/>
              </w:tabs>
            </w:pPr>
            <w:r>
              <w:t xml:space="preserve">минимальный процент озеленения – 30%</w:t>
            </w:r>
            <w:r/>
          </w:p>
        </w:tc>
        <w:tc>
          <w:tcPr>
            <w:tcW w:w="2835" w:type="dxa"/>
            <w:vMerge w:val="continue"/>
            <w:textDirection w:val="lrTb"/>
            <w:noWrap w:val="false"/>
          </w:tcPr>
          <w:p>
            <w:pPr>
              <w:ind w:left="142" w:right="150"/>
            </w:pPr>
            <w:r/>
            <w:r/>
          </w:p>
        </w:tc>
      </w:tr>
      <w:tr>
        <w:trPr>
          <w:trHeight w:val="230"/>
        </w:trPr>
        <w:tc>
          <w:tcPr>
            <w:tcW w:w="2704" w:type="dxa"/>
            <w:textDirection w:val="lrTb"/>
            <w:noWrap w:val="false"/>
          </w:tcPr>
          <w:p>
            <w:pPr>
              <w:ind w:left="142" w:right="150"/>
              <w:rPr>
                <w:rFonts w:eastAsia="SimSun"/>
                <w:lang w:eastAsia="zh-CN" w:bidi="ru-RU"/>
              </w:rPr>
            </w:pPr>
            <w:r>
              <w:rPr>
                <w:rFonts w:eastAsia="SimSun"/>
                <w:lang w:eastAsia="zh-CN" w:bidi="ru-RU"/>
              </w:rPr>
              <w:t xml:space="preserve">[11.1] </w:t>
            </w:r>
            <w:r/>
          </w:p>
          <w:p>
            <w:pPr>
              <w:ind w:left="142" w:right="150"/>
              <w:rPr>
                <w:lang w:eastAsia="ru-RU" w:bidi="ru-RU"/>
              </w:rPr>
            </w:pPr>
            <w:r>
              <w:rPr>
                <w:rFonts w:eastAsia="SimSun"/>
                <w:lang w:eastAsia="zh-CN" w:bidi="ru-RU"/>
              </w:rPr>
              <w:t xml:space="preserve">Общее пользование водными объектами</w:t>
            </w:r>
            <w:r/>
          </w:p>
        </w:tc>
        <w:tc>
          <w:tcPr>
            <w:tcW w:w="4129" w:type="dxa"/>
            <w:textDirection w:val="lrTb"/>
            <w:noWrap w:val="false"/>
          </w:tcPr>
          <w:p>
            <w:pPr>
              <w:ind w:left="142" w:right="150"/>
              <w:jc w:val="both"/>
              <w:rPr>
                <w:rFonts w:eastAsia="SimSun"/>
                <w:lang w:eastAsia="zh-CN" w:bidi="ru-RU"/>
              </w:rPr>
            </w:pPr>
            <w:r>
              <w:rPr>
                <w:lang w:eastAsia="ru-RU" w:bidi="ru-RU"/>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w:t>
            </w:r>
            <w:r>
              <w:rPr>
                <w:lang w:eastAsia="ru-RU" w:bidi="ru-RU"/>
              </w:rPr>
              <w:t xml:space="preserve">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r/>
          </w:p>
        </w:tc>
        <w:tc>
          <w:tcPr>
            <w:tcW w:w="5510" w:type="dxa"/>
            <w:textDirection w:val="lrTb"/>
            <w:noWrap w:val="false"/>
          </w:tcPr>
          <w:p>
            <w:pPr>
              <w:ind w:left="142" w:right="150"/>
              <w:jc w:val="center"/>
              <w:rPr>
                <w:lang w:eastAsia="ru-RU" w:bidi="ru-RU"/>
              </w:rPr>
            </w:pPr>
            <w:r>
              <w:rPr>
                <w:lang w:eastAsia="ru-RU" w:bidi="ru-RU"/>
              </w:rPr>
              <w:t xml:space="preserve">Н</w:t>
            </w:r>
            <w:r>
              <w:t xml:space="preserve">е подлежат установлению</w:t>
            </w:r>
            <w:r/>
          </w:p>
        </w:tc>
        <w:tc>
          <w:tcPr>
            <w:tcW w:w="2835" w:type="dxa"/>
            <w:vMerge w:val="continue"/>
            <w:textDirection w:val="lrTb"/>
            <w:noWrap w:val="false"/>
          </w:tcPr>
          <w:p>
            <w:pPr>
              <w:ind w:left="142" w:right="150"/>
            </w:pPr>
            <w:r/>
            <w:r/>
          </w:p>
        </w:tc>
      </w:tr>
      <w:tr>
        <w:trPr>
          <w:trHeight w:val="23"/>
        </w:trPr>
        <w:tc>
          <w:tcPr>
            <w:tcW w:w="2704" w:type="dxa"/>
            <w:textDirection w:val="lrTb"/>
            <w:noWrap w:val="false"/>
          </w:tcPr>
          <w:p>
            <w:pPr>
              <w:ind w:left="142" w:right="150"/>
            </w:pPr>
            <w:r>
              <w:t xml:space="preserve">[5.2] </w:t>
            </w:r>
            <w:r/>
          </w:p>
          <w:p>
            <w:pPr>
              <w:ind w:left="142" w:right="150"/>
            </w:pPr>
            <w:r>
              <w:t xml:space="preserve">Природно-познавательный туризм</w:t>
            </w:r>
            <w:r/>
          </w:p>
        </w:tc>
        <w:tc>
          <w:tcPr>
            <w:tcW w:w="4129" w:type="dxa"/>
            <w:textDirection w:val="lrTb"/>
            <w:noWrap w:val="false"/>
          </w:tcPr>
          <w:p>
            <w:pPr>
              <w:ind w:left="142" w:right="150"/>
              <w:jc w:val="both"/>
            </w:pPr>
            <w:r>
              <w:t xml:space="preserve">Размещение баз и палаточных лагерей для проведения</w:t>
            </w:r>
            <w:r>
              <w:t xml:space="preserve"> походов и экскурсий по ознакомлению а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природовосстановительных мероприятий</w:t>
            </w:r>
            <w:r/>
          </w:p>
        </w:tc>
        <w:tc>
          <w:tcPr>
            <w:tcW w:w="5510" w:type="dxa"/>
            <w:textDirection w:val="lrTb"/>
            <w:noWrap w:val="false"/>
          </w:tcPr>
          <w:p>
            <w:pPr>
              <w:ind w:left="132"/>
              <w:jc w:val="center"/>
              <w:rPr>
                <w:rFonts w:eastAsia="Calibri"/>
              </w:rPr>
            </w:pPr>
            <w:r>
              <w:rPr>
                <w:rFonts w:eastAsia="Calibri"/>
              </w:rPr>
              <w:t xml:space="preserve">Не подлежат установлению</w:t>
            </w:r>
            <w:r/>
          </w:p>
          <w:p>
            <w:pPr>
              <w:ind w:left="142" w:right="150"/>
              <w:jc w:val="center"/>
            </w:pPr>
            <w:r>
              <w:rPr>
                <w:rFonts w:eastAsia="Calibri"/>
              </w:rPr>
              <w:t xml:space="preserve">(определяется при проектировании)</w:t>
            </w:r>
            <w:r/>
          </w:p>
        </w:tc>
        <w:tc>
          <w:tcPr>
            <w:tcW w:w="2835" w:type="dxa"/>
            <w:vMerge w:val="continue"/>
            <w:textDirection w:val="lrTb"/>
            <w:noWrap w:val="false"/>
          </w:tcPr>
          <w:p>
            <w:pPr>
              <w:ind w:left="142" w:right="150"/>
              <w:jc w:val="both"/>
            </w:pPr>
            <w:r/>
            <w:r/>
          </w:p>
        </w:tc>
      </w:tr>
      <w:tr>
        <w:trPr>
          <w:trHeight w:val="23"/>
        </w:trPr>
        <w:tc>
          <w:tcPr>
            <w:tcW w:w="2704" w:type="dxa"/>
            <w:textDirection w:val="lrTb"/>
            <w:noWrap w:val="false"/>
          </w:tcPr>
          <w:p>
            <w:pPr>
              <w:ind w:left="142" w:right="150"/>
            </w:pPr>
            <w:r>
              <w:t xml:space="preserve">[5.2.1] </w:t>
            </w:r>
            <w:r/>
          </w:p>
          <w:p>
            <w:pPr>
              <w:ind w:left="142" w:right="150"/>
            </w:pPr>
            <w:r>
              <w:t xml:space="preserve">Туристическое обслуживание</w:t>
            </w:r>
            <w:r/>
          </w:p>
        </w:tc>
        <w:tc>
          <w:tcPr>
            <w:tcW w:w="4129" w:type="dxa"/>
            <w:textDirection w:val="lrTb"/>
            <w:noWrap w:val="false"/>
          </w:tcPr>
          <w:p>
            <w:pPr>
              <w:ind w:left="142" w:right="150"/>
              <w:jc w:val="both"/>
            </w:pPr>
            <w:r>
              <w:t xml:space="preserve">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w:t>
            </w:r>
            <w:r>
              <w:t xml:space="preserve">из предоставления жилого помещения для временного проживания в них; размещение детских лагерей.</w:t>
            </w:r>
            <w:r/>
          </w:p>
        </w:tc>
        <w:tc>
          <w:tcPr>
            <w:tcW w:w="5510" w:type="dxa"/>
            <w:textDirection w:val="lrTb"/>
            <w:noWrap w:val="false"/>
          </w:tcPr>
          <w:p>
            <w:pPr>
              <w:ind w:left="142" w:right="150"/>
              <w:jc w:val="both"/>
            </w:pPr>
            <w:r>
              <w:t xml:space="preserve">Минимальная/максимальная площадь земельных участков – 1000/25000 кв. м;</w:t>
            </w:r>
            <w:r/>
          </w:p>
          <w:p>
            <w:pPr>
              <w:ind w:left="142" w:right="150"/>
              <w:jc w:val="both"/>
            </w:pPr>
            <w:r>
              <w:t xml:space="preserve">максимальный процент застройки в границах земельного участка – 60 %;</w:t>
            </w:r>
            <w:r/>
          </w:p>
          <w:p>
            <w:pPr>
              <w:ind w:left="142" w:right="150"/>
              <w:jc w:val="both"/>
            </w:pPr>
            <w:r>
              <w:t xml:space="preserve">максимальное количество надземных этажей зданий – 2;</w:t>
            </w:r>
            <w:r/>
          </w:p>
          <w:p>
            <w:pPr>
              <w:ind w:left="142" w:right="150"/>
              <w:jc w:val="both"/>
            </w:pPr>
            <w:r>
              <w:t xml:space="preserve">максимальная высота зданий, строений, сооружений от уровня земли - 6 м.;</w:t>
            </w:r>
            <w:r/>
          </w:p>
          <w:p>
            <w:pPr>
              <w:ind w:left="142" w:right="150"/>
              <w:jc w:val="both"/>
              <w:tabs>
                <w:tab w:val="left" w:pos="2520" w:leader="none"/>
              </w:tabs>
            </w:pPr>
            <w:r>
              <w:t xml:space="preserve">минимальные отступы от красной линии – 5 м; от иных границ – 3 м. </w:t>
            </w:r>
            <w:r/>
          </w:p>
          <w:p>
            <w:pPr>
              <w:ind w:left="142" w:right="150"/>
              <w:jc w:val="both"/>
              <w:tabs>
                <w:tab w:val="left" w:pos="2520" w:leader="none"/>
              </w:tabs>
            </w:pPr>
            <w:r>
              <w:t xml:space="preserve">минимальный процент озеленения – 30%</w:t>
            </w:r>
            <w:r/>
          </w:p>
        </w:tc>
        <w:tc>
          <w:tcPr>
            <w:tcW w:w="2835" w:type="dxa"/>
            <w:vMerge w:val="restart"/>
            <w:textDirection w:val="lrTb"/>
            <w:noWrap w:val="false"/>
          </w:tcPr>
          <w:p>
            <w:pPr>
              <w:ind w:left="142" w:right="150"/>
              <w:jc w:val="both"/>
            </w:pPr>
            <w:r/>
            <w:r/>
          </w:p>
        </w:tc>
      </w:tr>
      <w:tr>
        <w:trPr>
          <w:trHeight w:val="23"/>
        </w:trPr>
        <w:tc>
          <w:tcPr>
            <w:tcW w:w="2704" w:type="dxa"/>
            <w:textDirection w:val="lrTb"/>
            <w:noWrap w:val="false"/>
          </w:tcPr>
          <w:p>
            <w:pPr>
              <w:ind w:left="142" w:right="150"/>
            </w:pPr>
            <w:r>
              <w:t xml:space="preserve">[5.3] </w:t>
            </w:r>
            <w:r/>
          </w:p>
          <w:p>
            <w:pPr>
              <w:ind w:left="142" w:right="150"/>
            </w:pPr>
            <w:r>
              <w:t xml:space="preserve">Охота и рыбалка</w:t>
            </w:r>
            <w:r/>
          </w:p>
        </w:tc>
        <w:tc>
          <w:tcPr>
            <w:tcW w:w="4129" w:type="dxa"/>
            <w:textDirection w:val="lrTb"/>
            <w:noWrap w:val="false"/>
          </w:tcPr>
          <w:p>
            <w:pPr>
              <w:ind w:left="142" w:right="150"/>
              <w:jc w:val="both"/>
            </w:pPr>
            <w:r>
              <w:t xml:space="preserve">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r/>
          </w:p>
        </w:tc>
        <w:tc>
          <w:tcPr>
            <w:tcW w:w="5510" w:type="dxa"/>
            <w:textDirection w:val="lrTb"/>
            <w:noWrap w:val="false"/>
          </w:tcPr>
          <w:p>
            <w:pPr>
              <w:ind w:left="132"/>
              <w:jc w:val="center"/>
              <w:rPr>
                <w:rFonts w:eastAsia="Calibri"/>
              </w:rPr>
            </w:pPr>
            <w:r>
              <w:rPr>
                <w:rFonts w:eastAsia="Calibri"/>
              </w:rPr>
              <w:t xml:space="preserve">Не подлежат установлению</w:t>
            </w:r>
            <w:r/>
          </w:p>
          <w:p>
            <w:pPr>
              <w:ind w:left="142" w:right="150"/>
              <w:jc w:val="center"/>
            </w:pPr>
            <w:r>
              <w:rPr>
                <w:rFonts w:eastAsia="Calibri"/>
              </w:rPr>
              <w:t xml:space="preserve">(определяется при проектировании)</w:t>
            </w:r>
            <w:r/>
          </w:p>
        </w:tc>
        <w:tc>
          <w:tcPr>
            <w:tcW w:w="2835" w:type="dxa"/>
            <w:vMerge w:val="continue"/>
            <w:textDirection w:val="lrTb"/>
            <w:noWrap w:val="false"/>
          </w:tcPr>
          <w:p>
            <w:pPr>
              <w:ind w:left="142" w:right="150"/>
              <w:jc w:val="both"/>
            </w:pPr>
            <w:r/>
            <w:r/>
          </w:p>
        </w:tc>
      </w:tr>
      <w:tr>
        <w:trPr>
          <w:trHeight w:val="75"/>
        </w:trPr>
        <w:tc>
          <w:tcPr>
            <w:tcW w:w="2704" w:type="dxa"/>
            <w:textDirection w:val="lrTb"/>
            <w:noWrap w:val="false"/>
          </w:tcPr>
          <w:p>
            <w:pPr>
              <w:ind w:left="142" w:right="150"/>
            </w:pPr>
            <w:r>
              <w:t xml:space="preserve">[5.4] </w:t>
            </w:r>
            <w:r/>
          </w:p>
          <w:p>
            <w:pPr>
              <w:ind w:left="142" w:right="150"/>
            </w:pPr>
            <w:r>
              <w:t xml:space="preserve">Причалы для маломерных судов</w:t>
            </w:r>
            <w:r/>
          </w:p>
        </w:tc>
        <w:tc>
          <w:tcPr>
            <w:tcW w:w="4129" w:type="dxa"/>
            <w:textDirection w:val="lrTb"/>
            <w:noWrap w:val="false"/>
          </w:tcPr>
          <w:p>
            <w:pPr>
              <w:ind w:left="142" w:right="150"/>
              <w:jc w:val="both"/>
            </w:pPr>
            <w:r>
              <w:t xml:space="preserve">Размещение сооружений, предназначенных для причаливания, хранения и обслуживания яхт, катеров, лодок и других маломерных судов.</w:t>
            </w:r>
            <w:r/>
          </w:p>
        </w:tc>
        <w:tc>
          <w:tcPr>
            <w:tcW w:w="5510" w:type="dxa"/>
            <w:textDirection w:val="lrTb"/>
            <w:noWrap w:val="false"/>
          </w:tcPr>
          <w:p>
            <w:pPr>
              <w:ind w:left="132"/>
              <w:jc w:val="center"/>
              <w:rPr>
                <w:rFonts w:eastAsia="Calibri"/>
              </w:rPr>
            </w:pPr>
            <w:r>
              <w:rPr>
                <w:rFonts w:eastAsia="Calibri"/>
              </w:rPr>
              <w:t xml:space="preserve">Не подлежат установлению</w:t>
            </w:r>
            <w:r/>
          </w:p>
          <w:p>
            <w:pPr>
              <w:ind w:left="142" w:right="150"/>
              <w:jc w:val="center"/>
            </w:pPr>
            <w:r>
              <w:rPr>
                <w:rFonts w:eastAsia="Calibri"/>
              </w:rPr>
              <w:t xml:space="preserve">(определяется при проектировании)</w:t>
            </w:r>
            <w:r/>
          </w:p>
        </w:tc>
        <w:tc>
          <w:tcPr>
            <w:tcW w:w="2835" w:type="dxa"/>
            <w:vMerge w:val="continue"/>
            <w:textDirection w:val="lrTb"/>
            <w:noWrap w:val="false"/>
          </w:tcPr>
          <w:p>
            <w:pPr>
              <w:ind w:left="142" w:right="150"/>
              <w:jc w:val="both"/>
            </w:pPr>
            <w:r/>
            <w:r/>
          </w:p>
        </w:tc>
      </w:tr>
      <w:tr>
        <w:trPr>
          <w:trHeight w:val="271"/>
        </w:trPr>
        <w:tc>
          <w:tcPr>
            <w:tcW w:w="2704" w:type="dxa"/>
            <w:textDirection w:val="lrTb"/>
            <w:noWrap w:val="false"/>
          </w:tcPr>
          <w:p>
            <w:pPr>
              <w:ind w:left="142" w:right="150"/>
            </w:pPr>
            <w:r>
              <w:t xml:space="preserve">[5.5] </w:t>
            </w:r>
            <w:r/>
          </w:p>
          <w:p>
            <w:pPr>
              <w:ind w:left="142" w:right="150"/>
            </w:pPr>
            <w:r>
              <w:t xml:space="preserve">Поля для гольфа или конных прогулок</w:t>
            </w:r>
            <w:r/>
          </w:p>
        </w:tc>
        <w:tc>
          <w:tcPr>
            <w:tcW w:w="4129" w:type="dxa"/>
            <w:textDirection w:val="lrTb"/>
            <w:noWrap w:val="false"/>
          </w:tcPr>
          <w:p>
            <w:pPr>
              <w:ind w:left="142" w:right="150"/>
              <w:jc w:val="both"/>
            </w:pPr>
            <w:r>
              <w:t xml:space="preserve">Обустройство мест для игры в гольф или осуществление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w:t>
            </w:r>
            <w:r/>
          </w:p>
        </w:tc>
        <w:tc>
          <w:tcPr>
            <w:tcW w:w="5510" w:type="dxa"/>
            <w:textDirection w:val="lrTb"/>
            <w:noWrap w:val="false"/>
          </w:tcPr>
          <w:p>
            <w:pPr>
              <w:ind w:left="132"/>
              <w:jc w:val="center"/>
              <w:rPr>
                <w:rFonts w:eastAsia="Calibri"/>
              </w:rPr>
            </w:pPr>
            <w:r>
              <w:rPr>
                <w:rFonts w:eastAsia="Calibri"/>
              </w:rPr>
              <w:t xml:space="preserve">Не подлежат установлению</w:t>
            </w:r>
            <w:r/>
          </w:p>
          <w:p>
            <w:pPr>
              <w:ind w:left="142" w:right="150"/>
              <w:jc w:val="center"/>
            </w:pPr>
            <w:r>
              <w:rPr>
                <w:rFonts w:eastAsia="Calibri"/>
              </w:rPr>
              <w:t xml:space="preserve">(определяется при проектировании)</w:t>
            </w:r>
            <w:r/>
          </w:p>
        </w:tc>
        <w:tc>
          <w:tcPr>
            <w:tcW w:w="2835" w:type="dxa"/>
            <w:vMerge w:val="continue"/>
            <w:textDirection w:val="lrTb"/>
            <w:noWrap w:val="false"/>
          </w:tcPr>
          <w:p>
            <w:pPr>
              <w:ind w:left="142" w:right="150"/>
              <w:jc w:val="both"/>
            </w:pPr>
            <w:r/>
            <w:r/>
          </w:p>
        </w:tc>
      </w:tr>
      <w:tr>
        <w:trPr>
          <w:trHeight w:val="23"/>
        </w:trPr>
        <w:tc>
          <w:tcPr>
            <w:tcW w:w="2704" w:type="dxa"/>
            <w:textDirection w:val="lrTb"/>
            <w:noWrap w:val="false"/>
          </w:tcPr>
          <w:p>
            <w:pPr>
              <w:ind w:left="142" w:right="150"/>
              <w:tabs>
                <w:tab w:val="left" w:pos="2520" w:leader="none"/>
              </w:tabs>
            </w:pPr>
            <w:r>
              <w:t xml:space="preserve">[9.3] Историко-культурная деятельность</w:t>
            </w:r>
            <w:r/>
          </w:p>
        </w:tc>
        <w:tc>
          <w:tcPr>
            <w:tcW w:w="4129" w:type="dxa"/>
            <w:textDirection w:val="lrTb"/>
            <w:noWrap w:val="false"/>
          </w:tcPr>
          <w:p>
            <w:pPr>
              <w:ind w:left="142" w:right="150"/>
              <w:jc w:val="both"/>
              <w:tabs>
                <w:tab w:val="left" w:pos="2520" w:leader="none"/>
              </w:tabs>
            </w:pPr>
            <w: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w:t>
            </w:r>
            <w:r>
              <w:t xml:space="preserve">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r/>
          </w:p>
        </w:tc>
        <w:tc>
          <w:tcPr>
            <w:tcW w:w="5510" w:type="dxa"/>
            <w:textDirection w:val="lrTb"/>
            <w:noWrap w:val="false"/>
          </w:tcPr>
          <w:p>
            <w:pPr>
              <w:ind w:left="132"/>
              <w:jc w:val="center"/>
              <w:rPr>
                <w:rFonts w:eastAsia="Calibri"/>
              </w:rPr>
            </w:pPr>
            <w:r>
              <w:rPr>
                <w:rFonts w:eastAsia="Calibri"/>
              </w:rPr>
              <w:t xml:space="preserve">Не подлежат установлению</w:t>
            </w:r>
            <w:r/>
          </w:p>
          <w:p>
            <w:pPr>
              <w:ind w:left="142" w:right="150"/>
              <w:jc w:val="center"/>
              <w:tabs>
                <w:tab w:val="left" w:pos="1134" w:leader="none"/>
              </w:tabs>
            </w:pPr>
            <w:r>
              <w:rPr>
                <w:rFonts w:eastAsia="Calibri"/>
              </w:rPr>
              <w:t xml:space="preserve">(определяется при проектировании)</w:t>
            </w:r>
            <w:r/>
          </w:p>
        </w:tc>
        <w:tc>
          <w:tcPr>
            <w:tcW w:w="2835" w:type="dxa"/>
            <w:textDirection w:val="lrTb"/>
            <w:noWrap w:val="false"/>
          </w:tcPr>
          <w:p>
            <w:pPr>
              <w:ind w:left="142" w:right="150"/>
              <w:tabs>
                <w:tab w:val="left" w:pos="1134" w:leader="none"/>
              </w:tabs>
            </w:pPr>
            <w:r/>
            <w:r/>
          </w:p>
        </w:tc>
      </w:tr>
      <w:tr>
        <w:trPr>
          <w:trHeight w:val="23"/>
        </w:trPr>
        <w:tc>
          <w:tcPr>
            <w:tcW w:w="2704" w:type="dxa"/>
            <w:textDirection w:val="lrTb"/>
            <w:noWrap w:val="false"/>
          </w:tcPr>
          <w:p>
            <w:pPr>
              <w:ind w:left="142" w:right="150"/>
              <w:tabs>
                <w:tab w:val="left" w:pos="2520" w:leader="none"/>
              </w:tabs>
            </w:pPr>
            <w:r>
              <w:rPr>
                <w:lang w:val="en-US"/>
              </w:rPr>
              <w:t xml:space="preserve">[</w:t>
            </w:r>
            <w:r>
              <w:t xml:space="preserve">9.1</w:t>
            </w:r>
            <w:r>
              <w:rPr>
                <w:lang w:val="en-US"/>
              </w:rPr>
              <w:t xml:space="preserve">]</w:t>
            </w:r>
            <w:r/>
          </w:p>
          <w:p>
            <w:pPr>
              <w:ind w:left="142" w:right="150"/>
              <w:tabs>
                <w:tab w:val="left" w:pos="2520" w:leader="none"/>
              </w:tabs>
            </w:pPr>
            <w:r>
              <w:t xml:space="preserve">Охрана природных территорий</w:t>
            </w:r>
            <w:r/>
          </w:p>
        </w:tc>
        <w:tc>
          <w:tcPr>
            <w:tcW w:w="4129" w:type="dxa"/>
            <w:textDirection w:val="lrTb"/>
            <w:noWrap w:val="false"/>
          </w:tcPr>
          <w:p>
            <w:pPr>
              <w:ind w:left="142" w:right="150"/>
              <w:jc w:val="both"/>
              <w:tabs>
                <w:tab w:val="left" w:pos="2520" w:leader="none"/>
              </w:tabs>
            </w:pPr>
            <w:r>
              <w:t xml:space="preserve">Сохранение отдельных естественных ка</w:t>
            </w:r>
            <w:r>
              <w:t xml:space="preserve">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w:t>
            </w:r>
            <w:r>
              <w:t xml:space="preserve">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r/>
          </w:p>
        </w:tc>
        <w:tc>
          <w:tcPr>
            <w:tcW w:w="5510" w:type="dxa"/>
            <w:textDirection w:val="lrTb"/>
            <w:noWrap w:val="false"/>
          </w:tcPr>
          <w:p>
            <w:pPr>
              <w:ind w:left="142" w:right="150"/>
              <w:jc w:val="center"/>
              <w:tabs>
                <w:tab w:val="left" w:pos="1134" w:leader="none"/>
              </w:tabs>
            </w:pPr>
            <w:r>
              <w:t xml:space="preserve">Не подлежат установлению</w:t>
            </w:r>
            <w:r/>
          </w:p>
        </w:tc>
        <w:tc>
          <w:tcPr>
            <w:tcW w:w="2835" w:type="dxa"/>
            <w:textDirection w:val="lrTb"/>
            <w:noWrap w:val="false"/>
          </w:tcPr>
          <w:p>
            <w:pPr>
              <w:ind w:left="142" w:right="150"/>
              <w:tabs>
                <w:tab w:val="left" w:pos="1134" w:leader="none"/>
              </w:tabs>
            </w:pPr>
            <w:r/>
            <w:r/>
          </w:p>
        </w:tc>
      </w:tr>
      <w:tr>
        <w:trPr>
          <w:trHeight w:val="23"/>
        </w:trPr>
        <w:tc>
          <w:tcPr>
            <w:tcW w:w="2704" w:type="dxa"/>
            <w:textDirection w:val="lrTb"/>
            <w:noWrap w:val="false"/>
          </w:tcPr>
          <w:p>
            <w:pPr>
              <w:ind w:left="142" w:right="150"/>
              <w:tabs>
                <w:tab w:val="left" w:pos="2520" w:leader="none"/>
              </w:tabs>
            </w:pPr>
            <w:r>
              <w:rPr>
                <w:lang w:val="en-US"/>
              </w:rPr>
              <w:t xml:space="preserve">[</w:t>
            </w:r>
            <w:r>
              <w:t xml:space="preserve">11.2</w:t>
            </w:r>
            <w:r>
              <w:rPr>
                <w:lang w:val="en-US"/>
              </w:rPr>
              <w:t xml:space="preserve">]</w:t>
            </w:r>
            <w:r/>
          </w:p>
          <w:p>
            <w:pPr>
              <w:ind w:left="142" w:right="150"/>
              <w:tabs>
                <w:tab w:val="left" w:pos="2520" w:leader="none"/>
              </w:tabs>
            </w:pPr>
            <w:r>
              <w:t xml:space="preserve">Специальное пользование водными объектами</w:t>
            </w:r>
            <w:r/>
          </w:p>
        </w:tc>
        <w:tc>
          <w:tcPr>
            <w:tcW w:w="4129" w:type="dxa"/>
            <w:textDirection w:val="lrTb"/>
            <w:noWrap w:val="false"/>
          </w:tcPr>
          <w:p>
            <w:pPr>
              <w:ind w:left="142" w:right="150"/>
              <w:jc w:val="both"/>
              <w:tabs>
                <w:tab w:val="left" w:pos="2520" w:leader="none"/>
              </w:tabs>
            </w:pPr>
            <w:r>
              <w:t xml:space="preserve">Использование земельных участков, примыкающих к водным объектам способами, необ</w:t>
            </w:r>
            <w:r>
              <w:t xml:space="preserve">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r/>
          </w:p>
        </w:tc>
        <w:tc>
          <w:tcPr>
            <w:tcW w:w="5510" w:type="dxa"/>
            <w:textDirection w:val="lrTb"/>
            <w:noWrap w:val="false"/>
          </w:tcPr>
          <w:p>
            <w:pPr>
              <w:ind w:left="132"/>
              <w:jc w:val="center"/>
              <w:rPr>
                <w:rFonts w:eastAsia="Calibri"/>
              </w:rPr>
            </w:pPr>
            <w:r>
              <w:rPr>
                <w:rFonts w:eastAsia="Calibri"/>
              </w:rPr>
              <w:t xml:space="preserve">Не подлежат установлению</w:t>
            </w:r>
            <w:r/>
          </w:p>
          <w:p>
            <w:pPr>
              <w:ind w:left="142" w:right="150"/>
              <w:jc w:val="center"/>
              <w:tabs>
                <w:tab w:val="left" w:pos="1134" w:leader="none"/>
              </w:tabs>
            </w:pPr>
            <w:r>
              <w:rPr>
                <w:rFonts w:eastAsia="Calibri"/>
              </w:rPr>
              <w:t xml:space="preserve">(определяется при проектировании)</w:t>
            </w:r>
            <w:r/>
          </w:p>
        </w:tc>
        <w:tc>
          <w:tcPr>
            <w:tcW w:w="2835" w:type="dxa"/>
            <w:textDirection w:val="lrTb"/>
            <w:noWrap w:val="false"/>
          </w:tcPr>
          <w:p>
            <w:pPr>
              <w:ind w:left="142" w:right="150"/>
              <w:tabs>
                <w:tab w:val="left" w:pos="1134" w:leader="none"/>
              </w:tabs>
            </w:pPr>
            <w:r/>
            <w:r/>
          </w:p>
        </w:tc>
      </w:tr>
      <w:tr>
        <w:trPr>
          <w:trHeight w:val="23"/>
        </w:trPr>
        <w:tc>
          <w:tcPr>
            <w:tcW w:w="2704" w:type="dxa"/>
            <w:textDirection w:val="lrTb"/>
            <w:noWrap w:val="false"/>
          </w:tcPr>
          <w:p>
            <w:pPr>
              <w:ind w:left="142" w:right="150"/>
              <w:tabs>
                <w:tab w:val="left" w:pos="2520" w:leader="none"/>
              </w:tabs>
            </w:pPr>
            <w:r>
              <w:rPr>
                <w:lang w:val="en-US"/>
              </w:rPr>
              <w:t xml:space="preserve">[</w:t>
            </w:r>
            <w:r>
              <w:t xml:space="preserve">11.3</w:t>
            </w:r>
            <w:r>
              <w:rPr>
                <w:lang w:val="en-US"/>
              </w:rPr>
              <w:t xml:space="preserve">]</w:t>
            </w:r>
            <w:r/>
          </w:p>
          <w:p>
            <w:pPr>
              <w:ind w:left="142" w:right="150"/>
              <w:tabs>
                <w:tab w:val="left" w:pos="2520" w:leader="none"/>
              </w:tabs>
            </w:pPr>
            <w:r>
              <w:t xml:space="preserve">Гидротехнические сооружения</w:t>
            </w:r>
            <w:r/>
          </w:p>
        </w:tc>
        <w:tc>
          <w:tcPr>
            <w:tcW w:w="4129" w:type="dxa"/>
            <w:textDirection w:val="lrTb"/>
            <w:noWrap w:val="false"/>
          </w:tcPr>
          <w:p>
            <w:pPr>
              <w:ind w:left="142" w:right="150"/>
              <w:jc w:val="both"/>
              <w:tabs>
                <w:tab w:val="left" w:pos="2520" w:leader="none"/>
              </w:tabs>
            </w:pPr>
            <w:r>
              <w:t xml:space="preserve">Размещени</w:t>
            </w:r>
            <w:r>
              <w:t xml:space="preserve">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r/>
          </w:p>
        </w:tc>
        <w:tc>
          <w:tcPr>
            <w:tcW w:w="5510" w:type="dxa"/>
            <w:vAlign w:val="center"/>
            <w:textDirection w:val="lrTb"/>
            <w:noWrap w:val="false"/>
          </w:tcPr>
          <w:p>
            <w:pPr>
              <w:ind w:left="132"/>
              <w:jc w:val="center"/>
              <w:rPr>
                <w:rFonts w:eastAsia="Calibri"/>
              </w:rPr>
            </w:pPr>
            <w:r>
              <w:rPr>
                <w:rFonts w:eastAsia="Calibri"/>
              </w:rPr>
              <w:t xml:space="preserve">Не подлежат установлению</w:t>
            </w:r>
            <w:r/>
          </w:p>
          <w:p>
            <w:pPr>
              <w:ind w:left="142" w:right="150"/>
              <w:jc w:val="center"/>
              <w:tabs>
                <w:tab w:val="left" w:pos="1134" w:leader="none"/>
              </w:tabs>
            </w:pPr>
            <w:r>
              <w:rPr>
                <w:rFonts w:eastAsia="Calibri"/>
              </w:rPr>
              <w:t xml:space="preserve">(определяется при проектировании)</w:t>
            </w:r>
            <w:r/>
          </w:p>
        </w:tc>
        <w:tc>
          <w:tcPr>
            <w:tcW w:w="2835" w:type="dxa"/>
            <w:textDirection w:val="lrTb"/>
            <w:noWrap w:val="false"/>
          </w:tcPr>
          <w:p>
            <w:pPr>
              <w:ind w:left="142" w:right="150"/>
              <w:tabs>
                <w:tab w:val="left" w:pos="1134" w:leader="none"/>
              </w:tabs>
            </w:pPr>
            <w:r/>
            <w:r/>
          </w:p>
        </w:tc>
      </w:tr>
      <w:tr>
        <w:trPr>
          <w:trHeight w:val="23"/>
        </w:trPr>
        <w:tc>
          <w:tcPr>
            <w:tcW w:w="2704" w:type="dxa"/>
            <w:textDirection w:val="lrTb"/>
            <w:noWrap w:val="false"/>
          </w:tcPr>
          <w:p>
            <w:pPr>
              <w:ind w:left="142" w:right="150"/>
              <w:tabs>
                <w:tab w:val="left" w:pos="2520" w:leader="none"/>
              </w:tabs>
            </w:pPr>
            <w:r>
              <w:t xml:space="preserve">[12.0] </w:t>
            </w:r>
            <w:r/>
          </w:p>
          <w:p>
            <w:pPr>
              <w:ind w:left="142" w:right="150"/>
              <w:tabs>
                <w:tab w:val="left" w:pos="2520" w:leader="none"/>
              </w:tabs>
            </w:pPr>
            <w:r>
              <w:t xml:space="preserve">Земельные участки (территории) общего пользования</w:t>
            </w:r>
            <w:r/>
          </w:p>
        </w:tc>
        <w:tc>
          <w:tcPr>
            <w:tcW w:w="4129" w:type="dxa"/>
            <w:textDirection w:val="lrTb"/>
            <w:noWrap w:val="false"/>
          </w:tcPr>
          <w:p>
            <w:pPr>
              <w:ind w:left="142" w:right="150"/>
              <w:jc w:val="both"/>
              <w:widowControl/>
            </w:pPr>
            <w:r>
              <w:t xml:space="preserve">Земельные участки общего пользования.</w:t>
            </w:r>
            <w:r/>
          </w:p>
          <w:p>
            <w:pPr>
              <w:ind w:left="142" w:right="150"/>
              <w:jc w:val="both"/>
              <w:tabs>
                <w:tab w:val="left" w:pos="2520" w:leader="none"/>
              </w:tabs>
            </w:pPr>
            <w:r>
              <w:t xml:space="preserve">Содержание данного вида разрешенного использования включает в себя содержание видов разрешенного использования с </w:t>
            </w:r>
            <w:hyperlink r:id="rId98" w:tooltip="../Правила/Кавказская%20зона%202020%20новое%20ИЗМЕНЕНИЯ.doc#sub_11201" w:anchor="sub_11201" w:history="1">
              <w:r>
                <w:rPr>
                  <w:rFonts w:eastAsia="SimSun"/>
                </w:rPr>
                <w:t xml:space="preserve">кодами 12.0.1 - 12.0.2</w:t>
              </w:r>
            </w:hyperlink>
            <w:r/>
            <w:r/>
          </w:p>
        </w:tc>
        <w:tc>
          <w:tcPr>
            <w:tcW w:w="5510" w:type="dxa"/>
            <w:textDirection w:val="lrTb"/>
            <w:noWrap w:val="false"/>
          </w:tcPr>
          <w:p>
            <w:pPr>
              <w:ind w:left="142" w:right="150"/>
              <w:jc w:val="center"/>
              <w:tabs>
                <w:tab w:val="left" w:pos="1134" w:leader="none"/>
              </w:tabs>
            </w:pPr>
            <w:r>
              <w:t xml:space="preserve">Регламенты не распространяются</w:t>
            </w:r>
            <w:r/>
          </w:p>
          <w:p>
            <w:pPr>
              <w:ind w:left="142" w:right="150"/>
              <w:jc w:val="center"/>
              <w:tabs>
                <w:tab w:val="left" w:pos="1134" w:leader="none"/>
              </w:tabs>
            </w:pPr>
            <w:r>
              <w:t xml:space="preserve">(не подлежат установлению)</w:t>
            </w:r>
            <w:r/>
          </w:p>
        </w:tc>
        <w:tc>
          <w:tcPr>
            <w:tcW w:w="2835" w:type="dxa"/>
            <w:textDirection w:val="lrTb"/>
            <w:noWrap w:val="false"/>
          </w:tcPr>
          <w:p>
            <w:pPr>
              <w:ind w:left="142" w:right="150"/>
              <w:tabs>
                <w:tab w:val="left" w:pos="1134" w:leader="none"/>
              </w:tabs>
            </w:pPr>
            <w:r/>
            <w:r/>
          </w:p>
        </w:tc>
      </w:tr>
      <w:tr>
        <w:trPr>
          <w:trHeight w:val="23"/>
        </w:trPr>
        <w:tc>
          <w:tcPr>
            <w:tcW w:w="2704" w:type="dxa"/>
            <w:textDirection w:val="lrTb"/>
            <w:noWrap w:val="false"/>
          </w:tcPr>
          <w:p>
            <w:pPr>
              <w:ind w:left="142" w:right="150"/>
              <w:tabs>
                <w:tab w:val="left" w:pos="2520" w:leader="none"/>
              </w:tabs>
            </w:pPr>
            <w:r>
              <w:t xml:space="preserve">[12.0.2] </w:t>
            </w:r>
            <w:r/>
          </w:p>
          <w:p>
            <w:pPr>
              <w:ind w:left="142" w:right="150"/>
              <w:tabs>
                <w:tab w:val="left" w:pos="2520" w:leader="none"/>
              </w:tabs>
            </w:pPr>
            <w:r>
              <w:t xml:space="preserve">Благоустройство территории</w:t>
            </w:r>
            <w:r/>
          </w:p>
        </w:tc>
        <w:tc>
          <w:tcPr>
            <w:tcW w:w="4129" w:type="dxa"/>
            <w:textDirection w:val="lrTb"/>
            <w:noWrap w:val="false"/>
          </w:tcPr>
          <w:p>
            <w:pPr>
              <w:ind w:left="142" w:right="150"/>
              <w:jc w:val="both"/>
              <w:tabs>
                <w:tab w:val="left" w:pos="2520" w:leader="none"/>
              </w:tabs>
            </w:pPr>
            <w:r>
              <w:t xml:space="preserve">Размещение декоративных, технических, планировочных, конструктивных устройств, эле</w:t>
            </w:r>
            <w:r>
              <w:t xml:space="preserve">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r/>
          </w:p>
        </w:tc>
        <w:tc>
          <w:tcPr>
            <w:tcW w:w="5510" w:type="dxa"/>
            <w:textDirection w:val="lrTb"/>
            <w:noWrap w:val="false"/>
          </w:tcPr>
          <w:p>
            <w:pPr>
              <w:ind w:left="142" w:right="150"/>
              <w:jc w:val="center"/>
              <w:tabs>
                <w:tab w:val="left" w:pos="1134" w:leader="none"/>
              </w:tabs>
            </w:pPr>
            <w:r>
              <w:t xml:space="preserve">Регламенты не распространяются</w:t>
            </w:r>
            <w:r/>
          </w:p>
          <w:p>
            <w:pPr>
              <w:ind w:left="142" w:right="150"/>
              <w:jc w:val="center"/>
              <w:tabs>
                <w:tab w:val="left" w:pos="1134" w:leader="none"/>
              </w:tabs>
            </w:pPr>
            <w:r>
              <w:t xml:space="preserve">(не подлежат установлению)</w:t>
            </w:r>
            <w:r/>
          </w:p>
        </w:tc>
        <w:tc>
          <w:tcPr>
            <w:tcW w:w="2835" w:type="dxa"/>
            <w:textDirection w:val="lrTb"/>
            <w:noWrap w:val="false"/>
          </w:tcPr>
          <w:p>
            <w:pPr>
              <w:ind w:left="142" w:right="150"/>
              <w:tabs>
                <w:tab w:val="left" w:pos="1134" w:leader="none"/>
              </w:tabs>
            </w:pPr>
            <w:r/>
            <w:r/>
          </w:p>
        </w:tc>
      </w:tr>
      <w:tr>
        <w:trPr>
          <w:trHeight w:val="23"/>
        </w:trPr>
        <w:tc>
          <w:tcPr>
            <w:tcW w:w="2704" w:type="dxa"/>
            <w:textDirection w:val="lrTb"/>
            <w:noWrap w:val="false"/>
          </w:tcPr>
          <w:p>
            <w:pPr>
              <w:ind w:left="142" w:right="150"/>
              <w:tabs>
                <w:tab w:val="left" w:pos="2520" w:leader="none"/>
              </w:tabs>
            </w:pPr>
            <w:r>
              <w:t xml:space="preserve">[12.0.1] </w:t>
            </w:r>
            <w:r/>
          </w:p>
          <w:p>
            <w:pPr>
              <w:ind w:left="142" w:right="150"/>
              <w:tabs>
                <w:tab w:val="left" w:pos="2520" w:leader="none"/>
              </w:tabs>
            </w:pPr>
            <w:r>
              <w:t xml:space="preserve">Улично-дорожная сеть</w:t>
            </w:r>
            <w:r/>
          </w:p>
        </w:tc>
        <w:tc>
          <w:tcPr>
            <w:tcW w:w="4129" w:type="dxa"/>
            <w:textDirection w:val="lrTb"/>
            <w:noWrap w:val="false"/>
          </w:tcPr>
          <w:p>
            <w:pPr>
              <w:ind w:left="142" w:right="150"/>
              <w:jc w:val="both"/>
              <w:widowControl/>
            </w:pPr>
            <w: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w:t>
            </w:r>
            <w:r>
              <w:t xml:space="preserve">и инженерной инфраструктуры;</w:t>
            </w:r>
            <w:r/>
          </w:p>
          <w:p>
            <w:pPr>
              <w:ind w:left="142" w:right="150"/>
              <w:jc w:val="both"/>
              <w:tabs>
                <w:tab w:val="left" w:pos="2520" w:leader="none"/>
              </w:tabs>
            </w:pPr>
            <w: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99" w:tooltip="../Правила/Кавказская%20зона%202020%20новое%20ИЗМЕНЕНИЯ.doc#sub_10271" w:anchor="sub_10271" w:history="1">
              <w:r>
                <w:rPr>
                  <w:rFonts w:eastAsia="SimSun"/>
                </w:rPr>
                <w:t xml:space="preserve">кодами 2.7.1</w:t>
              </w:r>
            </w:hyperlink>
            <w:r>
              <w:t xml:space="preserve">, </w:t>
            </w:r>
            <w:hyperlink r:id="rId100" w:tooltip="../Правила/Кавказская%20зона%202020%20новое%20ИЗМЕНЕНИЯ.doc#sub_1049" w:anchor="sub_1049" w:history="1">
              <w:r>
                <w:rPr>
                  <w:rFonts w:eastAsia="SimSun"/>
                </w:rPr>
                <w:t xml:space="preserve">4.9</w:t>
              </w:r>
            </w:hyperlink>
            <w:r>
              <w:t xml:space="preserve">, </w:t>
            </w:r>
            <w:hyperlink r:id="rId101" w:tooltip="../Правила/Кавказская%20зона%202020%20новое%20ИЗМЕНЕНИЯ.doc#sub_1723" w:anchor="sub_1723" w:history="1">
              <w:r>
                <w:rPr>
                  <w:rFonts w:eastAsia="SimSun"/>
                </w:rPr>
                <w:t xml:space="preserve">7.2.3</w:t>
              </w:r>
            </w:hyperlink>
            <w:r>
              <w:t xml:space="preserve">, а также некапитальных сооружений, предназначенных для охраны транспортных средств</w:t>
            </w:r>
            <w:r/>
          </w:p>
        </w:tc>
        <w:tc>
          <w:tcPr>
            <w:tcW w:w="5510" w:type="dxa"/>
            <w:textDirection w:val="lrTb"/>
            <w:noWrap w:val="false"/>
          </w:tcPr>
          <w:p>
            <w:pPr>
              <w:ind w:left="142" w:right="150"/>
              <w:jc w:val="center"/>
              <w:tabs>
                <w:tab w:val="left" w:pos="1134" w:leader="none"/>
              </w:tabs>
            </w:pPr>
            <w:r>
              <w:t xml:space="preserve">Регламенты не распространяются</w:t>
            </w:r>
            <w:r/>
          </w:p>
          <w:p>
            <w:pPr>
              <w:ind w:left="142" w:right="150"/>
              <w:jc w:val="center"/>
              <w:tabs>
                <w:tab w:val="left" w:pos="1134" w:leader="none"/>
              </w:tabs>
            </w:pPr>
            <w:r>
              <w:t xml:space="preserve">(не подлежат установлению)</w:t>
            </w:r>
            <w:r/>
          </w:p>
        </w:tc>
        <w:tc>
          <w:tcPr>
            <w:tcW w:w="2835" w:type="dxa"/>
            <w:textDirection w:val="lrTb"/>
            <w:noWrap w:val="false"/>
          </w:tcPr>
          <w:p>
            <w:pPr>
              <w:ind w:left="142" w:right="150"/>
              <w:tabs>
                <w:tab w:val="left" w:pos="1134" w:leader="none"/>
              </w:tabs>
            </w:pPr>
            <w:r/>
            <w:r/>
          </w:p>
        </w:tc>
      </w:tr>
    </w:tbl>
    <w:p>
      <w:pPr>
        <w:ind w:firstLine="567"/>
        <w:tabs>
          <w:tab w:val="left" w:pos="2520" w:leader="none"/>
        </w:tabs>
      </w:pPr>
      <w:r/>
      <w:r/>
    </w:p>
    <w:p>
      <w:pPr>
        <w:ind w:firstLine="567"/>
        <w:jc w:val="center"/>
        <w:tabs>
          <w:tab w:val="left" w:pos="2520" w:leader="none"/>
        </w:tabs>
      </w:pPr>
      <w:r>
        <w:rPr>
          <w:b/>
          <w:color w:val="000000"/>
        </w:rPr>
        <w:t xml:space="preserve">УСЛОВНО РАЗРЕШЕННЫЕ ВИДЫ И ПАРАМЕТРЫ ИСПОЛЬЗОВАНИЯ</w:t>
      </w:r>
      <w:r/>
    </w:p>
    <w:p>
      <w:pPr>
        <w:ind w:firstLine="567"/>
        <w:jc w:val="center"/>
        <w:tabs>
          <w:tab w:val="left" w:pos="2520" w:leader="none"/>
        </w:tabs>
      </w:pPr>
      <w:r>
        <w:rPr>
          <w:b/>
          <w:color w:val="000000"/>
        </w:rPr>
        <w:t xml:space="preserve">ЗЕМЕЛЬНЫХ УЧАСТКОВ И ОБЪЕКТОВ КАПИТАЛЬНОГО СТРОИТЕЛЬСТВА</w:t>
      </w:r>
      <w:r/>
    </w:p>
    <w:p>
      <w:pPr>
        <w:ind w:firstLine="567"/>
        <w:jc w:val="center"/>
        <w:tabs>
          <w:tab w:val="left" w:pos="2520" w:leader="none"/>
        </w:tabs>
      </w:pPr>
      <w:r/>
      <w:r/>
    </w:p>
    <w:tbl>
      <w:tblPr>
        <w:tblW w:w="15178" w:type="dxa"/>
        <w:tblLayout w:type="fixed"/>
        <w:tblCellMar>
          <w:left w:w="10" w:type="dxa"/>
          <w:right w:w="10" w:type="dxa"/>
        </w:tblCellMar>
        <w:tblLook w:val="04A0" w:firstRow="1" w:lastRow="0" w:firstColumn="1" w:lastColumn="0" w:noHBand="0" w:noVBand="1"/>
      </w:tblPr>
      <w:tblGrid>
        <w:gridCol w:w="3534"/>
        <w:gridCol w:w="3760"/>
        <w:gridCol w:w="5621"/>
        <w:gridCol w:w="2263"/>
      </w:tblGrid>
      <w:tr>
        <w:trPr>
          <w:trHeight w:val="23"/>
        </w:trPr>
        <w:tc>
          <w:tcPr>
            <w:tcBorders>
              <w:top w:val="single" w:color="000000" w:sz="8" w:space="0"/>
              <w:left w:val="single" w:color="000000" w:sz="8" w:space="0"/>
              <w:bottom w:val="single" w:color="000000" w:sz="8" w:space="0"/>
              <w:right w:val="none" w:color="000000" w:sz="4" w:space="0"/>
            </w:tcBorders>
            <w:tcW w:w="3534" w:type="dxa"/>
            <w:vAlign w:val="center"/>
            <w:textDirection w:val="lrTb"/>
            <w:noWrap/>
          </w:tcPr>
          <w:p>
            <w:pPr>
              <w:ind w:left="142" w:right="112"/>
              <w:jc w:val="center"/>
              <w:tabs>
                <w:tab w:val="left" w:pos="2520" w:leader="none"/>
              </w:tabs>
              <w:rPr>
                <w:bCs/>
              </w:rPr>
            </w:pPr>
            <w:r>
              <w:rPr>
                <w:rFonts w:eastAsia="SimSun"/>
                <w:lang w:eastAsia="zh-CN" w:bidi="ru-RU"/>
              </w:rPr>
              <w:t xml:space="preserve">[</w:t>
            </w:r>
            <w:r>
              <w:rPr>
                <w:b/>
              </w:rPr>
              <w:t xml:space="preserve">КОД (ЧИСЛОВОЕ ОБОЗНАЧЕНИЕ)</w:t>
            </w:r>
            <w:r>
              <w:rPr>
                <w:rFonts w:eastAsia="SimSun"/>
                <w:lang w:eastAsia="zh-CN" w:bidi="ru-RU"/>
              </w:rPr>
              <w:t xml:space="preserve">]-</w:t>
            </w:r>
            <w:r>
              <w:rPr>
                <w:b/>
              </w:rPr>
              <w:t xml:space="preserve"> НАИМЕНОВАНИЕ ВИДАРАЗРЕШЕННОГО ИСПОЛЬЗОВАНИЯ ЗЕМЕЛЬНЫХ УЧАСТКОВ</w:t>
            </w:r>
            <w:r/>
          </w:p>
        </w:tc>
        <w:tc>
          <w:tcPr>
            <w:tcBorders>
              <w:top w:val="single" w:color="000000" w:sz="8" w:space="0"/>
              <w:left w:val="single" w:color="000000" w:sz="8" w:space="0"/>
              <w:bottom w:val="single" w:color="000000" w:sz="8" w:space="0"/>
              <w:right w:val="none" w:color="000000" w:sz="4" w:space="0"/>
            </w:tcBorders>
            <w:tcW w:w="3760" w:type="dxa"/>
            <w:vAlign w:val="center"/>
            <w:textDirection w:val="lrTb"/>
            <w:noWrap/>
          </w:tcPr>
          <w:p>
            <w:pPr>
              <w:ind w:left="142" w:right="112"/>
              <w:jc w:val="center"/>
              <w:tabs>
                <w:tab w:val="left" w:pos="2520" w:leader="none"/>
              </w:tabs>
              <w:rPr>
                <w:bCs/>
              </w:rPr>
            </w:pPr>
            <w:r>
              <w:rPr>
                <w:b/>
              </w:rPr>
              <w:t xml:space="preserve">ВИДЫ ОБЪЕКТОВ КАПИТАЛЬНОГО СТРОИТЕЛЬСТВА</w:t>
            </w:r>
            <w:r/>
          </w:p>
        </w:tc>
        <w:tc>
          <w:tcPr>
            <w:tcBorders>
              <w:top w:val="single" w:color="000000" w:sz="8" w:space="0"/>
              <w:left w:val="single" w:color="000000" w:sz="8" w:space="0"/>
              <w:bottom w:val="single" w:color="000000" w:sz="8" w:space="0"/>
              <w:right w:val="single" w:color="000000" w:sz="4" w:space="0"/>
            </w:tcBorders>
            <w:tcW w:w="5621" w:type="dxa"/>
            <w:vAlign w:val="center"/>
            <w:textDirection w:val="lrTb"/>
            <w:noWrap/>
          </w:tcPr>
          <w:p>
            <w:pPr>
              <w:ind w:left="142" w:right="112"/>
              <w:jc w:val="center"/>
              <w:tabs>
                <w:tab w:val="left" w:pos="2520" w:leader="none"/>
              </w:tabs>
              <w:rPr>
                <w:bCs/>
              </w:rPr>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Borders>
              <w:top w:val="single" w:color="000000" w:sz="8" w:space="0"/>
              <w:left w:val="single" w:color="000000" w:sz="4" w:space="0"/>
              <w:bottom w:val="single" w:color="000000" w:sz="8" w:space="0"/>
              <w:right w:val="single" w:color="000000" w:sz="8" w:space="0"/>
            </w:tcBorders>
            <w:tcW w:w="2263" w:type="dxa"/>
            <w:vAlign w:val="center"/>
            <w:textDirection w:val="lrTb"/>
            <w:noWrap/>
          </w:tcPr>
          <w:p>
            <w:pPr>
              <w:ind w:right="142" w:firstLine="567"/>
              <w:jc w:val="center"/>
              <w:tabs>
                <w:tab w:val="left" w:pos="3071" w:leader="none"/>
              </w:tabs>
              <w:rPr>
                <w:bCs/>
              </w:rPr>
            </w:pPr>
            <w:r>
              <w:rPr>
                <w:b/>
              </w:rPr>
              <w:t xml:space="preserve">ОСОБЫЕ УСЛОВИЯ РЕАЛИЗАЦИИ РЕГЛАМЕНТА</w:t>
            </w:r>
            <w:r/>
          </w:p>
        </w:tc>
      </w:tr>
      <w:tr>
        <w:trPr>
          <w:trHeight w:val="23"/>
        </w:trPr>
        <w:tc>
          <w:tcPr>
            <w:gridSpan w:val="4"/>
            <w:tcBorders>
              <w:top w:val="single" w:color="000000" w:sz="8" w:space="0"/>
              <w:left w:val="single" w:color="000000" w:sz="8" w:space="0"/>
              <w:bottom w:val="single" w:color="000000" w:sz="8" w:space="0"/>
              <w:right w:val="single" w:color="000000" w:sz="8" w:space="0"/>
            </w:tcBorders>
            <w:tcW w:w="15178" w:type="dxa"/>
            <w:vAlign w:val="center"/>
            <w:textDirection w:val="lrTb"/>
            <w:noWrap/>
          </w:tcPr>
          <w:p>
            <w:pPr>
              <w:ind w:right="142" w:firstLine="567"/>
              <w:jc w:val="center"/>
              <w:tabs>
                <w:tab w:val="left" w:pos="3071" w:leader="none"/>
              </w:tabs>
            </w:pPr>
            <w:r>
              <w:t xml:space="preserve">Не установлены</w:t>
            </w:r>
            <w:r/>
          </w:p>
        </w:tc>
      </w:tr>
    </w:tbl>
    <w:p>
      <w:pPr>
        <w:ind w:firstLine="567"/>
        <w:jc w:val="center"/>
        <w:tabs>
          <w:tab w:val="left" w:pos="2520" w:leader="none"/>
        </w:tabs>
      </w:pPr>
      <w:r/>
      <w:r/>
    </w:p>
    <w:p>
      <w:pPr>
        <w:ind w:firstLine="567"/>
        <w:jc w:val="center"/>
        <w:tabs>
          <w:tab w:val="left" w:pos="2520" w:leader="none"/>
        </w:tabs>
      </w:pPr>
      <w:r/>
      <w:r/>
    </w:p>
    <w:p>
      <w:pPr>
        <w:ind w:firstLine="567"/>
        <w:jc w:val="center"/>
        <w:tabs>
          <w:tab w:val="left" w:pos="2520" w:leader="none"/>
        </w:tabs>
      </w:pPr>
      <w:r>
        <w:rPr>
          <w:b/>
          <w:color w:val="000000"/>
        </w:rPr>
        <w:t xml:space="preserve">ВСПОМОГАТЕЛЬНЫЕ ВИДЫ И ПАРАМЕТРЫ РАЗРЕШЕННОГО ИСПОЛЬЗОВАНИЯ ЗЕМЕЛЬНЫХ УЧАСТКОВ И ОБЪЕКТОВ КАПИТАЛЬНОГО СТРОИТЕЛЬСТВА</w:t>
      </w:r>
      <w:r/>
    </w:p>
    <w:p>
      <w:pPr>
        <w:ind w:firstLine="567"/>
        <w:jc w:val="center"/>
        <w:tabs>
          <w:tab w:val="left" w:pos="2520" w:leader="none"/>
        </w:tabs>
      </w:pPr>
      <w:r/>
      <w:r/>
    </w:p>
    <w:p>
      <w:pPr>
        <w:ind w:firstLine="567"/>
        <w:jc w:val="both"/>
      </w:pPr>
      <w:r>
        <w:rPr>
          <w:sz w:val="24"/>
          <w:szCs w:val="24"/>
          <w:lang w:eastAsia="ru-RU" w:bidi="ru-RU"/>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Pr>
          <w:rFonts w:eastAsia="SimSun"/>
          <w:sz w:val="24"/>
          <w:szCs w:val="24"/>
          <w:lang w:eastAsia="zh-CN" w:bidi="ru-RU"/>
        </w:rPr>
        <w:t xml:space="preserve"> Предельные (мин</w:t>
      </w:r>
      <w:r>
        <w:rPr>
          <w:rFonts w:eastAsia="SimSun"/>
          <w:sz w:val="24"/>
          <w:szCs w:val="24"/>
          <w:lang w:eastAsia="zh-CN" w:bidi="ru-RU"/>
        </w:rPr>
        <w:t xml:space="preserve">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r/>
    </w:p>
    <w:p>
      <w:pPr>
        <w:ind w:firstLine="567"/>
        <w:tabs>
          <w:tab w:val="left" w:pos="2520" w:leader="none"/>
        </w:tabs>
      </w:pPr>
      <w:r/>
      <w:r/>
    </w:p>
    <w:tbl>
      <w:tblPr>
        <w:tblW w:w="0" w:type="auto"/>
        <w:tblLayout w:type="fixed"/>
        <w:tblCellMar>
          <w:left w:w="10" w:type="dxa"/>
          <w:right w:w="10" w:type="dxa"/>
        </w:tblCellMar>
        <w:tblLook w:val="04A0" w:firstRow="1" w:lastRow="0" w:firstColumn="1" w:lastColumn="0" w:noHBand="0" w:noVBand="1"/>
      </w:tblPr>
      <w:tblGrid>
        <w:gridCol w:w="4707"/>
        <w:gridCol w:w="5386"/>
        <w:gridCol w:w="5085"/>
      </w:tblGrid>
      <w:tr>
        <w:trPr>
          <w:trHeight w:val="23"/>
        </w:trPr>
        <w:tc>
          <w:tcPr>
            <w:tcBorders>
              <w:top w:val="single" w:color="000000" w:sz="4" w:space="0"/>
              <w:left w:val="single" w:color="000000" w:sz="4" w:space="0"/>
              <w:bottom w:val="single" w:color="000000" w:sz="4" w:space="0"/>
              <w:right w:val="single" w:color="000000" w:sz="4" w:space="0"/>
            </w:tcBorders>
            <w:tcW w:w="4707" w:type="dxa"/>
            <w:vAlign w:val="center"/>
            <w:textDirection w:val="lrTb"/>
            <w:noWrap/>
          </w:tcPr>
          <w:p>
            <w:pPr>
              <w:ind w:firstLine="567"/>
              <w:jc w:val="center"/>
              <w:tabs>
                <w:tab w:val="left" w:pos="2520" w:leader="none"/>
              </w:tabs>
              <w:rPr>
                <w:bCs/>
              </w:rPr>
            </w:pPr>
            <w:r>
              <w:rPr>
                <w:b/>
              </w:rPr>
              <w:t xml:space="preserve">ВИДЫ ВСПОМОГАТЕЛЬНЫХ ОБЪЕКТОВ КАПИТАЛЬНОГО СТРОИТЕЛЬСТВА</w:t>
            </w:r>
            <w:r/>
          </w:p>
        </w:tc>
        <w:tc>
          <w:tcPr>
            <w:tcBorders>
              <w:top w:val="single" w:color="000000" w:sz="4" w:space="0"/>
              <w:left w:val="single" w:color="000000" w:sz="4" w:space="0"/>
              <w:bottom w:val="single" w:color="000000" w:sz="4" w:space="0"/>
              <w:right w:val="single" w:color="000000" w:sz="4" w:space="0"/>
            </w:tcBorders>
            <w:tcW w:w="5386" w:type="dxa"/>
            <w:vAlign w:val="center"/>
            <w:textDirection w:val="lrTb"/>
            <w:noWrap/>
          </w:tcPr>
          <w:p>
            <w:pPr>
              <w:ind w:firstLine="567"/>
              <w:jc w:val="center"/>
              <w:tabs>
                <w:tab w:val="left" w:pos="2520" w:leader="none"/>
              </w:tabs>
              <w:rPr>
                <w:bCs/>
              </w:rPr>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Borders>
              <w:top w:val="single" w:color="000000" w:sz="4" w:space="0"/>
              <w:left w:val="single" w:color="000000" w:sz="4" w:space="0"/>
              <w:bottom w:val="single" w:color="000000" w:sz="4" w:space="0"/>
              <w:right w:val="single" w:color="000000" w:sz="4" w:space="0"/>
            </w:tcBorders>
            <w:tcW w:w="5085" w:type="dxa"/>
            <w:vAlign w:val="center"/>
            <w:textDirection w:val="lrTb"/>
            <w:noWrap/>
          </w:tcPr>
          <w:p>
            <w:pPr>
              <w:ind w:firstLine="567"/>
              <w:jc w:val="center"/>
              <w:rPr>
                <w:bCs/>
              </w:rPr>
            </w:pPr>
            <w:r>
              <w:rPr>
                <w:b/>
              </w:rPr>
              <w:t xml:space="preserve">ОСОБЫЕ УСЛОВИЯ РЕАЛИЗАЦИИ РЕГЛАМЕНТА</w:t>
            </w:r>
            <w:r/>
          </w:p>
        </w:tc>
      </w:tr>
      <w:tr>
        <w:trPr>
          <w:trHeight w:val="23"/>
        </w:trPr>
        <w:tc>
          <w:tcPr>
            <w:gridSpan w:val="3"/>
            <w:tcBorders>
              <w:top w:val="single" w:color="000000" w:sz="4" w:space="0"/>
              <w:left w:val="single" w:color="000000" w:sz="4" w:space="0"/>
              <w:bottom w:val="single" w:color="000000" w:sz="4" w:space="0"/>
              <w:right w:val="single" w:color="000000" w:sz="4" w:space="0"/>
            </w:tcBorders>
            <w:tcW w:w="15178" w:type="dxa"/>
            <w:vAlign w:val="center"/>
            <w:textDirection w:val="lrTb"/>
            <w:noWrap/>
          </w:tcPr>
          <w:p>
            <w:pPr>
              <w:ind w:left="127" w:right="132"/>
              <w:jc w:val="center"/>
              <w:rPr>
                <w:rFonts w:eastAsia="Calibri"/>
              </w:rPr>
            </w:pPr>
            <w:r>
              <w:rPr>
                <w:rFonts w:eastAsia="Calibri"/>
              </w:rPr>
              <w:t xml:space="preserve">Вспомогательные виды и их параметры определяются материалами проектной документации.</w:t>
            </w:r>
            <w:r/>
          </w:p>
        </w:tc>
      </w:tr>
    </w:tbl>
    <w:p>
      <w:pPr>
        <w:ind w:firstLine="567"/>
        <w:jc w:val="both"/>
      </w:pPr>
      <w:r>
        <w:rPr>
          <w:color w:val="000000"/>
        </w:rPr>
        <w:t xml:space="preserve">Примечания: </w:t>
      </w:r>
      <w:r/>
    </w:p>
    <w:p>
      <w:pPr>
        <w:ind w:firstLine="567"/>
        <w:jc w:val="both"/>
      </w:pPr>
      <w:r>
        <w:rPr>
          <w:color w:val="000000"/>
        </w:rPr>
        <w:t xml:space="preserve">Общая площадь не</w:t>
      </w:r>
      <w:r>
        <w:rPr>
          <w:color w:val="000000"/>
        </w:rPr>
        <w:t xml:space="preserve">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w:t>
      </w:r>
      <w:r>
        <w:rPr>
          <w:color w:val="000000"/>
        </w:rPr>
        <w:t xml:space="preserve">гоустройства. Размещение некапитальных торговых объектов на территории Казанского сельского поселения района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w:t>
      </w:r>
      <w:r>
        <w:rPr>
          <w:color w:val="000000"/>
        </w:rPr>
        <w:t xml:space="preserve">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w:t>
      </w:r>
      <w:r>
        <w:rPr>
          <w:color w:val="000000"/>
        </w:rPr>
        <w:t xml:space="preserve">размещения нестационарных торговых объектов на территории Краснодарского края».</w:t>
      </w:r>
      <w:r/>
    </w:p>
    <w:p>
      <w:pPr>
        <w:ind w:firstLine="567"/>
        <w:jc w:val="both"/>
      </w:pPr>
      <w:r/>
      <w:r/>
    </w:p>
    <w:p>
      <w:pPr>
        <w:ind w:firstLine="567"/>
        <w:jc w:val="both"/>
      </w:pPr>
      <w:r/>
      <w:r/>
    </w:p>
    <w:p>
      <w:pPr>
        <w:ind w:firstLine="567"/>
        <w:jc w:val="center"/>
      </w:pPr>
      <w:r>
        <w:rPr>
          <w:b/>
          <w:caps/>
          <w:color w:val="000000"/>
        </w:rPr>
        <w:t xml:space="preserve">Зоны специального назначения:</w:t>
      </w:r>
      <w:r/>
    </w:p>
    <w:p>
      <w:pPr>
        <w:ind w:firstLine="567"/>
        <w:jc w:val="both"/>
      </w:pPr>
      <w:r>
        <w:rPr>
          <w:color w:val="000000"/>
          <w:sz w:val="24"/>
          <w:szCs w:val="24"/>
        </w:rPr>
        <w:t xml:space="preserve">В состав зон специального назначения мог</w:t>
      </w:r>
      <w:r>
        <w:rPr>
          <w:color w:val="000000"/>
          <w:sz w:val="24"/>
          <w:szCs w:val="24"/>
        </w:rPr>
        <w:t xml:space="preserve">ут включаться зоны, занятые кладбищами, крематориями, скотомогильниками,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r/>
    </w:p>
    <w:p>
      <w:r/>
      <w:r/>
    </w:p>
    <w:p>
      <w:pPr>
        <w:ind w:firstLine="567"/>
        <w:jc w:val="center"/>
      </w:pPr>
      <w:r>
        <w:rPr>
          <w:b/>
          <w:color w:val="000000"/>
          <w:sz w:val="24"/>
          <w:szCs w:val="24"/>
        </w:rPr>
        <w:t xml:space="preserve">ЗОНА КЛАДБИЩ</w:t>
      </w:r>
      <w:r/>
    </w:p>
    <w:p>
      <w:pPr>
        <w:ind w:firstLine="567"/>
      </w:pPr>
      <w:r>
        <w:rPr>
          <w:color w:val="000000" w:themeColor="text1"/>
          <w:sz w:val="24"/>
          <w:szCs w:val="24"/>
        </w:rPr>
        <w:t xml:space="preserve">Кодовое обозначение – СН-1</w:t>
      </w:r>
      <w:r/>
    </w:p>
    <w:p>
      <w:pPr>
        <w:ind w:firstLine="567"/>
        <w:jc w:val="both"/>
      </w:pPr>
      <w:r/>
      <w:r/>
    </w:p>
    <w:p>
      <w:pPr>
        <w:ind w:firstLine="567"/>
        <w:jc w:val="center"/>
        <w:tabs>
          <w:tab w:val="left" w:pos="2520" w:leader="none"/>
        </w:tabs>
      </w:pPr>
      <w:r>
        <w:rPr>
          <w:b/>
          <w:color w:val="000000"/>
        </w:rPr>
        <w:t xml:space="preserve">ОСНОВНЫЕ ВИДЫ И ПАРАМЕТРЫ РАЗРЕШЕННОГО ИСПОЛЬЗОВАНИЯ ЗЕМЕЛЬНЫХ УЧАСТКОВ И ОБЪЕКТОВ КАПИТАЛЬНОГО СТРОИТЕЛЬСТВА</w:t>
      </w:r>
      <w:r/>
    </w:p>
    <w:p>
      <w:pPr>
        <w:ind w:firstLine="567"/>
        <w:jc w:val="center"/>
        <w:tabs>
          <w:tab w:val="left" w:pos="2520" w:leader="none"/>
        </w:tabs>
      </w:pPr>
      <w:r/>
      <w:r/>
    </w:p>
    <w:tbl>
      <w:tblPr>
        <w:tblW w:w="14913" w:type="dxa"/>
        <w:tblLayout w:type="fixed"/>
        <w:tblCellMar>
          <w:left w:w="10" w:type="dxa"/>
          <w:right w:w="10" w:type="dxa"/>
        </w:tblCellMar>
        <w:tblLook w:val="04A0" w:firstRow="1" w:lastRow="0" w:firstColumn="1" w:lastColumn="0" w:noHBand="0" w:noVBand="1"/>
      </w:tblPr>
      <w:tblGrid>
        <w:gridCol w:w="2845"/>
        <w:gridCol w:w="3686"/>
        <w:gridCol w:w="5122"/>
        <w:gridCol w:w="3260"/>
      </w:tblGrid>
      <w:tr>
        <w:trPr>
          <w:trHeight w:val="23"/>
        </w:trPr>
        <w:tc>
          <w:tcPr>
            <w:tcBorders>
              <w:top w:val="single" w:color="000000" w:sz="4" w:space="0"/>
              <w:left w:val="single" w:color="000000" w:sz="4" w:space="0"/>
              <w:bottom w:val="single" w:color="000000" w:sz="4" w:space="0"/>
              <w:right w:val="none" w:color="000000" w:sz="4" w:space="0"/>
            </w:tcBorders>
            <w:tcW w:w="2845" w:type="dxa"/>
            <w:vAlign w:val="center"/>
            <w:textDirection w:val="lrTb"/>
            <w:noWrap/>
          </w:tcPr>
          <w:p>
            <w:pPr>
              <w:ind w:left="142" w:right="150"/>
              <w:jc w:val="center"/>
              <w:tabs>
                <w:tab w:val="left" w:pos="2520" w:leader="none"/>
              </w:tabs>
              <w:rPr>
                <w:bCs/>
              </w:rPr>
            </w:pPr>
            <w:r>
              <w:rPr>
                <w:rFonts w:eastAsia="SimSun"/>
                <w:lang w:eastAsia="zh-CN" w:bidi="ru-RU"/>
              </w:rPr>
              <w:t xml:space="preserve">[</w:t>
            </w:r>
            <w:r>
              <w:rPr>
                <w:b/>
              </w:rPr>
              <w:t xml:space="preserve">КОД (ЧИСЛОВОЕ ОБОЗНАЧЕНИЕ)</w:t>
            </w:r>
            <w:r>
              <w:rPr>
                <w:rFonts w:eastAsia="SimSun"/>
                <w:lang w:eastAsia="zh-CN" w:bidi="ru-RU"/>
              </w:rPr>
              <w:t xml:space="preserve">]-</w:t>
            </w:r>
            <w:r>
              <w:rPr>
                <w:b/>
              </w:rPr>
              <w:t xml:space="preserve"> НАИМЕНОВАНИЕ ВИДАРАЗРЕШЕННОГО ИСПОЛЬЗОВАНИЯ ЗЕМЕЛЬНЫХ УЧАСТКОВ</w:t>
            </w:r>
            <w:r/>
          </w:p>
        </w:tc>
        <w:tc>
          <w:tcPr>
            <w:tcBorders>
              <w:top w:val="single" w:color="000000" w:sz="4" w:space="0"/>
              <w:left w:val="single" w:color="000000" w:sz="4" w:space="0"/>
              <w:bottom w:val="single" w:color="000000" w:sz="4" w:space="0"/>
              <w:right w:val="none" w:color="000000" w:sz="4" w:space="0"/>
            </w:tcBorders>
            <w:tcW w:w="3686" w:type="dxa"/>
            <w:vAlign w:val="center"/>
            <w:textDirection w:val="lrTb"/>
            <w:noWrap/>
          </w:tcPr>
          <w:p>
            <w:pPr>
              <w:ind w:left="142" w:right="150"/>
              <w:jc w:val="center"/>
              <w:tabs>
                <w:tab w:val="left" w:pos="2520" w:leader="none"/>
              </w:tabs>
              <w:rPr>
                <w:bCs/>
              </w:rPr>
            </w:pPr>
            <w:r>
              <w:rPr>
                <w:b/>
              </w:rPr>
              <w:t xml:space="preserve">ВИДЫ ОБЪЕКТОВ КАПИТАЛЬНОГО</w:t>
            </w:r>
            <w:r>
              <w:rPr>
                <w:b/>
              </w:rPr>
              <w:br/>
              <w:t xml:space="preserve"> СТРОИТЕЛЬСТВА</w:t>
            </w:r>
            <w:r/>
          </w:p>
        </w:tc>
        <w:tc>
          <w:tcPr>
            <w:tcBorders>
              <w:top w:val="single" w:color="000000" w:sz="4" w:space="0"/>
              <w:left w:val="single" w:color="000000" w:sz="4" w:space="0"/>
              <w:bottom w:val="single" w:color="000000" w:sz="4" w:space="0"/>
              <w:right w:val="single" w:color="000000" w:sz="4" w:space="0"/>
            </w:tcBorders>
            <w:tcW w:w="5122" w:type="dxa"/>
            <w:vAlign w:val="center"/>
            <w:textDirection w:val="lrTb"/>
            <w:noWrap/>
          </w:tcPr>
          <w:p>
            <w:pPr>
              <w:ind w:left="142" w:right="150"/>
              <w:jc w:val="center"/>
              <w:tabs>
                <w:tab w:val="left" w:pos="2520" w:leader="none"/>
              </w:tabs>
              <w:rPr>
                <w:bCs/>
              </w:rPr>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Borders>
              <w:top w:val="single" w:color="000000" w:sz="4" w:space="0"/>
              <w:left w:val="single" w:color="000000" w:sz="4" w:space="0"/>
              <w:bottom w:val="single" w:color="000000" w:sz="4" w:space="0"/>
              <w:right w:val="single" w:color="000000" w:sz="4" w:space="0"/>
            </w:tcBorders>
            <w:tcW w:w="3260" w:type="dxa"/>
            <w:vAlign w:val="center"/>
            <w:textDirection w:val="lrTb"/>
            <w:noWrap/>
          </w:tcPr>
          <w:p>
            <w:pPr>
              <w:ind w:left="142" w:right="150"/>
              <w:jc w:val="center"/>
              <w:tabs>
                <w:tab w:val="left" w:pos="3071" w:leader="none"/>
              </w:tabs>
              <w:rPr>
                <w:bCs/>
              </w:rPr>
            </w:pPr>
            <w:r>
              <w:rPr>
                <w:b/>
              </w:rPr>
              <w:t xml:space="preserve">ОСОБЫЕ УСЛОВИЯ РЕАЛИЗАЦИИ РЕГЛАМЕНТА</w:t>
            </w:r>
            <w:r/>
          </w:p>
        </w:tc>
      </w:tr>
      <w:tr>
        <w:trPr>
          <w:trHeight w:val="23"/>
        </w:trPr>
        <w:tc>
          <w:tcPr>
            <w:tcBorders>
              <w:top w:val="single" w:color="000000" w:sz="4" w:space="0"/>
              <w:left w:val="single" w:color="000000" w:sz="4" w:space="0"/>
              <w:bottom w:val="single" w:color="000000" w:sz="4" w:space="0"/>
              <w:right w:val="none" w:color="000000" w:sz="4" w:space="0"/>
            </w:tcBorders>
            <w:tcW w:w="2845" w:type="dxa"/>
            <w:textDirection w:val="lrTb"/>
            <w:noWrap/>
          </w:tcPr>
          <w:p>
            <w:pPr>
              <w:ind w:left="142" w:right="150"/>
              <w:jc w:val="both"/>
            </w:pPr>
            <w:r>
              <w:rPr>
                <w:color w:val="000000"/>
              </w:rPr>
              <w:t xml:space="preserve">[12.1] </w:t>
            </w:r>
            <w:r/>
          </w:p>
          <w:p>
            <w:pPr>
              <w:ind w:left="142" w:right="150"/>
              <w:jc w:val="both"/>
            </w:pPr>
            <w:r>
              <w:rPr>
                <w:color w:val="000000"/>
              </w:rPr>
              <w:t xml:space="preserve">Ритуальная деятельность</w:t>
            </w:r>
            <w:r/>
          </w:p>
          <w:p>
            <w:pPr>
              <w:ind w:left="142" w:right="150"/>
              <w:jc w:val="both"/>
              <w:tabs>
                <w:tab w:val="left" w:pos="2520" w:leader="none"/>
              </w:tabs>
              <w:rPr>
                <w:rFonts w:eastAsia="SimSun"/>
                <w:color w:val="000000"/>
              </w:rPr>
            </w:pPr>
            <w:r>
              <w:rPr>
                <w:rFonts w:eastAsia="SimSun"/>
                <w:color w:val="000000"/>
              </w:rPr>
            </w:r>
            <w:r/>
          </w:p>
        </w:tc>
        <w:tc>
          <w:tcPr>
            <w:tcBorders>
              <w:top w:val="single" w:color="000000" w:sz="4" w:space="0"/>
              <w:left w:val="single" w:color="000000" w:sz="4" w:space="0"/>
              <w:bottom w:val="single" w:color="000000" w:sz="4" w:space="0"/>
              <w:right w:val="none" w:color="000000" w:sz="4" w:space="0"/>
            </w:tcBorders>
            <w:tcW w:w="3686" w:type="dxa"/>
            <w:textDirection w:val="lrTb"/>
            <w:noWrap/>
          </w:tcPr>
          <w:p>
            <w:pPr>
              <w:ind w:left="142" w:right="150"/>
              <w:jc w:val="both"/>
              <w:widowControl/>
            </w:pPr>
            <w:r>
              <w:rPr>
                <w:color w:val="000000"/>
              </w:rPr>
              <w:t xml:space="preserve">Размещение кладбищ, крематориев и мест захоронения;</w:t>
            </w:r>
            <w:r/>
          </w:p>
          <w:p>
            <w:pPr>
              <w:ind w:left="142" w:right="150"/>
              <w:jc w:val="both"/>
              <w:widowControl/>
            </w:pPr>
            <w:r>
              <w:rPr>
                <w:color w:val="000000"/>
              </w:rPr>
              <w:t xml:space="preserve">размещение соответствующих культовых сооружений;</w:t>
            </w:r>
            <w:r/>
          </w:p>
          <w:p>
            <w:pPr>
              <w:ind w:left="142" w:right="150"/>
              <w:jc w:val="both"/>
              <w:tabs>
                <w:tab w:val="left" w:pos="2520" w:leader="none"/>
              </w:tabs>
              <w:rPr>
                <w:color w:val="000000"/>
              </w:rPr>
            </w:pPr>
            <w:r/>
            <w:bookmarkStart w:id="16" w:name="undefined"/>
            <w:r>
              <w:rPr>
                <w:color w:val="000000"/>
              </w:rPr>
              <w:t xml:space="preserve">осуществление деятельности по производству продукции ритуально-обрядового назначения</w:t>
            </w:r>
            <w:bookmarkEnd w:id="16"/>
            <w:r/>
            <w:r/>
          </w:p>
        </w:tc>
        <w:tc>
          <w:tcPr>
            <w:tcBorders>
              <w:top w:val="single" w:color="000000" w:sz="4" w:space="0"/>
              <w:left w:val="single" w:color="000000" w:sz="4" w:space="0"/>
              <w:bottom w:val="single" w:color="000000" w:sz="4" w:space="0"/>
              <w:right w:val="single" w:color="000000" w:sz="4" w:space="0"/>
            </w:tcBorders>
            <w:tcW w:w="5122" w:type="dxa"/>
            <w:textDirection w:val="lrTb"/>
            <w:noWrap/>
          </w:tcPr>
          <w:p>
            <w:pPr>
              <w:ind w:left="142" w:right="150"/>
              <w:jc w:val="both"/>
            </w:pPr>
            <w:r>
              <w:rPr>
                <w:color w:val="000000"/>
              </w:rPr>
              <w:t xml:space="preserve">Минимальный/максимальный размер земельного участка – 100/40 0000 кв.м;</w:t>
            </w:r>
            <w:r/>
          </w:p>
          <w:p>
            <w:pPr>
              <w:ind w:left="142" w:right="150"/>
              <w:jc w:val="both"/>
            </w:pPr>
            <w:r>
              <w:rPr>
                <w:color w:val="000000"/>
              </w:rPr>
              <w:t xml:space="preserve">максимальный процент застройки в границах земельного </w:t>
            </w:r>
            <w:r>
              <w:t xml:space="preserve">участка – 70%;</w:t>
            </w:r>
            <w:r/>
          </w:p>
          <w:p>
            <w:pPr>
              <w:ind w:left="142" w:right="150"/>
              <w:jc w:val="both"/>
            </w:pPr>
            <w:r>
              <w:rPr>
                <w:color w:val="000000"/>
              </w:rPr>
              <w:t xml:space="preserve">максимальная высота – 12 м.</w:t>
            </w:r>
            <w:r/>
          </w:p>
          <w:p>
            <w:pPr>
              <w:ind w:left="142" w:right="150"/>
              <w:tabs>
                <w:tab w:val="left" w:pos="2520" w:leader="none"/>
              </w:tabs>
              <w:rPr>
                <w:rFonts w:eastAsia="SimSun"/>
                <w:bCs/>
                <w:color w:val="000000"/>
              </w:rPr>
            </w:pPr>
            <w:r>
              <w:t xml:space="preserve">минимальные отступы от красной линии – 5 м, от иных границ – 3 м.</w:t>
            </w:r>
            <w:r/>
          </w:p>
        </w:tc>
        <w:tc>
          <w:tcPr>
            <w:tcBorders>
              <w:top w:val="single" w:color="000000" w:sz="4" w:space="0"/>
              <w:left w:val="single" w:color="000000" w:sz="4" w:space="0"/>
              <w:bottom w:val="single" w:color="000000" w:sz="4" w:space="0"/>
              <w:right w:val="single" w:color="000000" w:sz="4" w:space="0"/>
            </w:tcBorders>
            <w:tcW w:w="3260" w:type="dxa"/>
            <w:vAlign w:val="center"/>
            <w:textDirection w:val="lrTb"/>
            <w:noWrap/>
          </w:tcPr>
          <w:p>
            <w:pPr>
              <w:ind w:left="142" w:right="150"/>
              <w:jc w:val="both"/>
              <w:tabs>
                <w:tab w:val="left" w:pos="3071" w:leader="none"/>
              </w:tabs>
            </w:pPr>
            <w:r>
              <w:rPr>
                <w:shd w:val="clear" w:color="auto" w:fill="ffffff"/>
              </w:rPr>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r/>
          </w:p>
          <w:p>
            <w:pPr>
              <w:ind w:left="142" w:right="150"/>
              <w:jc w:val="both"/>
              <w:rPr>
                <w:bCs/>
              </w:rPr>
            </w:pPr>
            <w: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r/>
          </w:p>
        </w:tc>
      </w:tr>
    </w:tbl>
    <w:p>
      <w:pPr>
        <w:ind w:firstLine="567"/>
        <w:jc w:val="both"/>
        <w:tabs>
          <w:tab w:val="left" w:pos="2520" w:leader="none"/>
        </w:tabs>
      </w:pPr>
      <w:r/>
      <w:r/>
    </w:p>
    <w:p>
      <w:pPr>
        <w:ind w:firstLine="567"/>
        <w:jc w:val="center"/>
        <w:tabs>
          <w:tab w:val="left" w:pos="2520" w:leader="none"/>
        </w:tabs>
      </w:pPr>
      <w:r>
        <w:rPr>
          <w:b/>
          <w:color w:val="000000"/>
        </w:rPr>
        <w:t xml:space="preserve">УСЛОВНО РАЗРЕШЕННЫЕ ВИДЫ И ПАРАМЕТРЫ ИСПОЛЬЗОВАНИЯ ЗЕМЕЛЬНЫХ УЧАСТКОВ И ОБЪЕКТОВ КАПИТАЛЬНОГО СТРОИТЕЛЬСТВА</w:t>
      </w:r>
      <w:r/>
    </w:p>
    <w:p>
      <w:pPr>
        <w:ind w:firstLine="567"/>
        <w:jc w:val="center"/>
        <w:tabs>
          <w:tab w:val="left" w:pos="2520" w:leader="none"/>
        </w:tabs>
      </w:pPr>
      <w:r/>
      <w:r/>
    </w:p>
    <w:tbl>
      <w:tblPr>
        <w:tblW w:w="14913" w:type="dxa"/>
        <w:tblLayout w:type="fixed"/>
        <w:tblCellMar>
          <w:left w:w="10" w:type="dxa"/>
          <w:right w:w="10" w:type="dxa"/>
        </w:tblCellMar>
        <w:tblLook w:val="04A0" w:firstRow="1" w:lastRow="0" w:firstColumn="1" w:lastColumn="0" w:noHBand="0" w:noVBand="1"/>
      </w:tblPr>
      <w:tblGrid>
        <w:gridCol w:w="2864"/>
        <w:gridCol w:w="3667"/>
        <w:gridCol w:w="5122"/>
        <w:gridCol w:w="3260"/>
      </w:tblGrid>
      <w:tr>
        <w:trPr>
          <w:trHeight w:val="23"/>
        </w:trPr>
        <w:tc>
          <w:tcPr>
            <w:tcBorders>
              <w:top w:val="single" w:color="000000" w:sz="4" w:space="0"/>
              <w:left w:val="single" w:color="000000" w:sz="4" w:space="0"/>
              <w:bottom w:val="single" w:color="000000" w:sz="4" w:space="0"/>
              <w:right w:val="none" w:color="000000" w:sz="4" w:space="0"/>
            </w:tcBorders>
            <w:tcW w:w="2864" w:type="dxa"/>
            <w:vAlign w:val="center"/>
            <w:textDirection w:val="lrTb"/>
            <w:noWrap/>
          </w:tcPr>
          <w:p>
            <w:pPr>
              <w:ind w:left="142" w:right="150"/>
              <w:jc w:val="center"/>
              <w:tabs>
                <w:tab w:val="left" w:pos="2520" w:leader="none"/>
              </w:tabs>
              <w:rPr>
                <w:bCs/>
              </w:rPr>
            </w:pPr>
            <w:r>
              <w:rPr>
                <w:rFonts w:eastAsia="SimSun"/>
                <w:lang w:eastAsia="zh-CN" w:bidi="ru-RU"/>
              </w:rPr>
              <w:t xml:space="preserve">[</w:t>
            </w:r>
            <w:r>
              <w:rPr>
                <w:b/>
              </w:rPr>
              <w:t xml:space="preserve">КОД (ЧИСЛОВОЕ ОБОЗНАЧЕНИЕ)</w:t>
            </w:r>
            <w:r>
              <w:rPr>
                <w:rFonts w:eastAsia="SimSun"/>
                <w:lang w:eastAsia="zh-CN" w:bidi="ru-RU"/>
              </w:rPr>
              <w:t xml:space="preserve">]-</w:t>
            </w:r>
            <w:r>
              <w:rPr>
                <w:b/>
              </w:rPr>
              <w:t xml:space="preserve">НАИМЕНОВАНИЕ ВИДАРАЗРЕШЕННОГО ИСПОЛЬЗОВАНИЯ ЗЕМЕЛЬНЫХ УЧАСТКОВ</w:t>
            </w:r>
            <w:r/>
          </w:p>
        </w:tc>
        <w:tc>
          <w:tcPr>
            <w:tcBorders>
              <w:top w:val="single" w:color="000000" w:sz="4" w:space="0"/>
              <w:left w:val="single" w:color="000000" w:sz="4" w:space="0"/>
              <w:bottom w:val="single" w:color="000000" w:sz="4" w:space="0"/>
              <w:right w:val="none" w:color="000000" w:sz="4" w:space="0"/>
            </w:tcBorders>
            <w:tcW w:w="3667" w:type="dxa"/>
            <w:vAlign w:val="center"/>
            <w:textDirection w:val="lrTb"/>
            <w:noWrap/>
          </w:tcPr>
          <w:p>
            <w:pPr>
              <w:ind w:left="142" w:right="150"/>
              <w:jc w:val="center"/>
              <w:tabs>
                <w:tab w:val="left" w:pos="2520" w:leader="none"/>
              </w:tabs>
              <w:rPr>
                <w:bCs/>
              </w:rPr>
            </w:pPr>
            <w:r>
              <w:rPr>
                <w:b/>
              </w:rPr>
              <w:t xml:space="preserve">ВИДЫ ОБЪЕКТОВ КАПИТАЛЬНОГО</w:t>
            </w:r>
            <w:r>
              <w:rPr>
                <w:b/>
              </w:rPr>
              <w:br/>
              <w:t xml:space="preserve">СТРОИТЕЛЬСТВА</w:t>
            </w:r>
            <w:r/>
          </w:p>
        </w:tc>
        <w:tc>
          <w:tcPr>
            <w:tcBorders>
              <w:top w:val="single" w:color="000000" w:sz="4" w:space="0"/>
              <w:left w:val="single" w:color="000000" w:sz="4" w:space="0"/>
              <w:bottom w:val="single" w:color="000000" w:sz="4" w:space="0"/>
              <w:right w:val="single" w:color="000000" w:sz="4" w:space="0"/>
            </w:tcBorders>
            <w:tcW w:w="5122" w:type="dxa"/>
            <w:vAlign w:val="center"/>
            <w:textDirection w:val="lrTb"/>
            <w:noWrap/>
          </w:tcPr>
          <w:p>
            <w:pPr>
              <w:ind w:left="142" w:right="150"/>
              <w:jc w:val="center"/>
              <w:tabs>
                <w:tab w:val="left" w:pos="2520" w:leader="none"/>
              </w:tabs>
              <w:rPr>
                <w:bCs/>
              </w:rPr>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Borders>
              <w:top w:val="single" w:color="000000" w:sz="4" w:space="0"/>
              <w:left w:val="single" w:color="000000" w:sz="4" w:space="0"/>
              <w:bottom w:val="single" w:color="000000" w:sz="4" w:space="0"/>
              <w:right w:val="single" w:color="000000" w:sz="4" w:space="0"/>
            </w:tcBorders>
            <w:tcW w:w="3260" w:type="dxa"/>
            <w:vAlign w:val="center"/>
            <w:textDirection w:val="lrTb"/>
            <w:noWrap/>
          </w:tcPr>
          <w:p>
            <w:pPr>
              <w:ind w:left="142" w:right="150"/>
              <w:jc w:val="center"/>
              <w:tabs>
                <w:tab w:val="left" w:pos="3071" w:leader="none"/>
              </w:tabs>
              <w:rPr>
                <w:bCs/>
              </w:rPr>
            </w:pPr>
            <w:r>
              <w:rPr>
                <w:b/>
              </w:rPr>
              <w:t xml:space="preserve">ОСОБЫЕ УСЛОВИЯ РЕАЛИЗАЦИИ РЕГЛАМЕНТА</w:t>
            </w:r>
            <w:r/>
          </w:p>
        </w:tc>
      </w:tr>
      <w:tr>
        <w:trPr>
          <w:trHeight w:val="184"/>
        </w:trPr>
        <w:tc>
          <w:tcPr>
            <w:gridSpan w:val="4"/>
            <w:tcBorders>
              <w:top w:val="single" w:color="000000" w:sz="4" w:space="0"/>
              <w:left w:val="single" w:color="000000" w:sz="4" w:space="0"/>
              <w:bottom w:val="single" w:color="000000" w:sz="4" w:space="0"/>
              <w:right w:val="single" w:color="000000" w:sz="4" w:space="0"/>
            </w:tcBorders>
            <w:tcW w:w="14913" w:type="dxa"/>
            <w:textDirection w:val="lrTb"/>
            <w:noWrap/>
          </w:tcPr>
          <w:p>
            <w:pPr>
              <w:ind w:left="142" w:right="150"/>
              <w:jc w:val="center"/>
              <w:rPr>
                <w:rFonts w:eastAsia="Calibri"/>
                <w:color w:val="000000"/>
              </w:rPr>
            </w:pPr>
            <w:r>
              <w:t xml:space="preserve">Не установлены</w:t>
            </w:r>
            <w:r/>
          </w:p>
        </w:tc>
      </w:tr>
    </w:tbl>
    <w:p>
      <w:pPr>
        <w:ind w:firstLine="567"/>
        <w:jc w:val="both"/>
        <w:tabs>
          <w:tab w:val="left" w:pos="2520" w:leader="none"/>
        </w:tabs>
      </w:pPr>
      <w:r/>
      <w:r/>
    </w:p>
    <w:p>
      <w:pPr>
        <w:ind w:firstLine="567"/>
        <w:jc w:val="center"/>
        <w:tabs>
          <w:tab w:val="left" w:pos="2520" w:leader="none"/>
        </w:tabs>
      </w:pPr>
      <w:r>
        <w:rPr>
          <w:b/>
          <w:color w:val="000000"/>
        </w:rPr>
        <w:t xml:space="preserve">ВСПОМОГАТЕЛЬНЫЕ ВИДЫ И ПАРАМЕТРЫ РАЗРЕШЕННОГО ИСПОЛЬЗОВАНИЯ ЗЕМЕЛЬНЫХ УЧАСТКОВ И ОБЪЕКТОВ КАПИТАЛЬНОГО СТРОИТЕЛЬСТВА</w:t>
      </w:r>
      <w:r/>
    </w:p>
    <w:p>
      <w:pPr>
        <w:ind w:firstLine="567"/>
        <w:jc w:val="both"/>
      </w:pPr>
      <w:r>
        <w:rPr>
          <w:color w:val="000000"/>
          <w:lang w:eastAsia="ru-RU" w:bidi="ru-RU"/>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Pr>
          <w:rFonts w:eastAsia="SimSun"/>
          <w:color w:val="000000"/>
          <w:lang w:eastAsia="zh-CN" w:bidi="ru-RU"/>
        </w:rPr>
        <w:t xml:space="preserve"> Предельные (мин</w:t>
      </w:r>
      <w:r>
        <w:rPr>
          <w:rFonts w:eastAsia="SimSun"/>
          <w:color w:val="000000"/>
          <w:lang w:eastAsia="zh-CN" w:bidi="ru-RU"/>
        </w:rPr>
        <w:t xml:space="preserve">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r/>
    </w:p>
    <w:p>
      <w:pPr>
        <w:ind w:firstLine="567"/>
        <w:jc w:val="both"/>
        <w:tabs>
          <w:tab w:val="left" w:pos="2520" w:leader="none"/>
        </w:tabs>
      </w:pPr>
      <w:r/>
      <w:r/>
    </w:p>
    <w:p>
      <w:pPr>
        <w:ind w:firstLine="567"/>
        <w:jc w:val="center"/>
        <w:tabs>
          <w:tab w:val="left" w:pos="2520" w:leader="none"/>
        </w:tabs>
      </w:pPr>
      <w:r/>
      <w:r/>
    </w:p>
    <w:tbl>
      <w:tblPr>
        <w:tblW w:w="0" w:type="auto"/>
        <w:tblLayout w:type="fixed"/>
        <w:tblCellMar>
          <w:left w:w="10" w:type="dxa"/>
          <w:right w:w="10" w:type="dxa"/>
        </w:tblCellMar>
        <w:tblLook w:val="04A0" w:firstRow="1" w:lastRow="0" w:firstColumn="1" w:lastColumn="0" w:noHBand="0" w:noVBand="1"/>
      </w:tblPr>
      <w:tblGrid>
        <w:gridCol w:w="6408"/>
        <w:gridCol w:w="5245"/>
        <w:gridCol w:w="3260"/>
      </w:tblGrid>
      <w:tr>
        <w:trPr>
          <w:trHeight w:val="552"/>
        </w:trPr>
        <w:tc>
          <w:tcPr>
            <w:tcBorders>
              <w:top w:val="single" w:color="000000" w:sz="4" w:space="0"/>
              <w:left w:val="single" w:color="000000" w:sz="4" w:space="0"/>
              <w:bottom w:val="single" w:color="000000" w:sz="4" w:space="0"/>
              <w:right w:val="single" w:color="000000" w:sz="4" w:space="0"/>
            </w:tcBorders>
            <w:tcW w:w="6408" w:type="dxa"/>
            <w:vAlign w:val="center"/>
            <w:textDirection w:val="lrTb"/>
            <w:noWrap/>
          </w:tcPr>
          <w:p>
            <w:pPr>
              <w:ind w:left="142"/>
              <w:jc w:val="center"/>
              <w:tabs>
                <w:tab w:val="left" w:pos="2520" w:leader="none"/>
                <w:tab w:val="left" w:pos="2808" w:leader="none"/>
              </w:tabs>
              <w:rPr>
                <w:bCs/>
                <w:color w:val="000000"/>
              </w:rPr>
            </w:pPr>
            <w:r>
              <w:rPr>
                <w:b/>
                <w:color w:val="000000"/>
              </w:rPr>
              <w:t xml:space="preserve">ВИДЫ ВСПОМОГАТЕЛЬНЫХ ОБЪЕКТОВ КАПИТАЛЬНОГО</w:t>
            </w:r>
            <w:r>
              <w:rPr>
                <w:b/>
                <w:color w:val="000000"/>
              </w:rPr>
              <w:br/>
              <w:t xml:space="preserve"> СТРОИТЕЛЬСТВА</w:t>
            </w:r>
            <w:r/>
          </w:p>
        </w:tc>
        <w:tc>
          <w:tcPr>
            <w:tcBorders>
              <w:top w:val="single" w:color="000000" w:sz="4" w:space="0"/>
              <w:left w:val="single" w:color="000000" w:sz="4" w:space="0"/>
              <w:bottom w:val="single" w:color="000000" w:sz="4" w:space="0"/>
              <w:right w:val="single" w:color="000000" w:sz="4" w:space="0"/>
            </w:tcBorders>
            <w:tcW w:w="5245" w:type="dxa"/>
            <w:vAlign w:val="center"/>
            <w:textDirection w:val="lrTb"/>
            <w:noWrap/>
          </w:tcPr>
          <w:p>
            <w:pPr>
              <w:ind w:left="142"/>
              <w:jc w:val="center"/>
              <w:tabs>
                <w:tab w:val="left" w:pos="2520" w:leader="none"/>
                <w:tab w:val="left" w:pos="2808" w:leader="none"/>
              </w:tabs>
              <w:rPr>
                <w:bCs/>
                <w:color w:val="000000"/>
              </w:rPr>
            </w:pPr>
            <w:r>
              <w:rPr>
                <w:rFonts w:eastAsia="SimSun"/>
                <w:b/>
                <w:color w:val="000000"/>
                <w:lang w:eastAsia="zh-CN" w:bidi="ru-RU"/>
              </w:rPr>
              <w:t xml:space="preserve">ПРЕДЕЛЬНЫЕ (МИНИМАЛЬНЫЕ И (ИЛИ) МАКСИМАЛЬНЫЕ РАЗМЕРЫ ЗЕМЕЛЬНЫХ УЧАСТКОВ И ПЕРЕДЕЛЬНЫЕ</w:t>
            </w:r>
            <w:r>
              <w:rPr>
                <w:b/>
                <w:color w:val="000000"/>
              </w:rPr>
              <w:t xml:space="preserve">ПАРАМЕТРЫ РАЗРЕШЕННОГО ИСПОЛЬЗОВАНИЯ ЗЕМЕЛЬНЫХ УЧАСТКОВ И ОБЪЕКТОВ КАПИТАЛЬНОГО СТРОИТЕЛЬСТВА</w:t>
            </w:r>
            <w:r/>
          </w:p>
        </w:tc>
        <w:tc>
          <w:tcPr>
            <w:tcBorders>
              <w:top w:val="single" w:color="000000" w:sz="4" w:space="0"/>
              <w:left w:val="single" w:color="000000" w:sz="4" w:space="0"/>
              <w:bottom w:val="single" w:color="000000" w:sz="4" w:space="0"/>
              <w:right w:val="single" w:color="000000" w:sz="4" w:space="0"/>
            </w:tcBorders>
            <w:tcW w:w="3260" w:type="dxa"/>
            <w:vAlign w:val="center"/>
            <w:textDirection w:val="lrTb"/>
            <w:noWrap/>
          </w:tcPr>
          <w:p>
            <w:pPr>
              <w:ind w:left="142"/>
              <w:jc w:val="center"/>
              <w:tabs>
                <w:tab w:val="left" w:pos="2808" w:leader="none"/>
              </w:tabs>
              <w:rPr>
                <w:bCs/>
                <w:color w:val="000000"/>
              </w:rPr>
            </w:pPr>
            <w:r>
              <w:rPr>
                <w:b/>
                <w:color w:val="000000"/>
              </w:rPr>
              <w:t xml:space="preserve">ОСОБЫЕ УСЛОВИЯ РЕАЛИЗАЦИИ РЕГЛАМЕНТА</w:t>
            </w:r>
            <w:r/>
          </w:p>
        </w:tc>
      </w:tr>
      <w:tr>
        <w:trPr>
          <w:trHeight w:val="248"/>
        </w:trPr>
        <w:tc>
          <w:tcPr>
            <w:gridSpan w:val="3"/>
            <w:tcBorders>
              <w:top w:val="single" w:color="000000" w:sz="4" w:space="0"/>
              <w:left w:val="single" w:color="000000" w:sz="4" w:space="0"/>
              <w:bottom w:val="single" w:color="000000" w:sz="4" w:space="0"/>
              <w:right w:val="single" w:color="000000" w:sz="4" w:space="0"/>
            </w:tcBorders>
            <w:tcW w:w="14913" w:type="dxa"/>
            <w:textDirection w:val="lrTb"/>
            <w:noWrap/>
          </w:tcPr>
          <w:p>
            <w:pPr>
              <w:ind w:right="102" w:firstLine="567"/>
              <w:jc w:val="center"/>
              <w:rPr>
                <w:color w:val="000000"/>
              </w:rPr>
            </w:pPr>
            <w:r>
              <w:rPr>
                <w:rFonts w:eastAsia="Calibri"/>
              </w:rPr>
              <w:t xml:space="preserve">Вспомогательные виды и их параметры определяются материалами проектной документации.</w:t>
            </w:r>
            <w:r/>
          </w:p>
        </w:tc>
      </w:tr>
    </w:tbl>
    <w:p>
      <w:pPr>
        <w:ind w:firstLine="567"/>
        <w:jc w:val="both"/>
      </w:pPr>
      <w:r/>
      <w:r/>
    </w:p>
    <w:p>
      <w:pPr>
        <w:ind w:firstLine="567"/>
        <w:jc w:val="both"/>
      </w:pPr>
      <w:r/>
      <w:r/>
    </w:p>
    <w:p>
      <w:pPr>
        <w:ind w:firstLine="567"/>
        <w:jc w:val="center"/>
      </w:pPr>
      <w:r>
        <w:rPr>
          <w:b/>
          <w:color w:val="000000"/>
          <w:sz w:val="24"/>
          <w:szCs w:val="24"/>
        </w:rPr>
        <w:t xml:space="preserve">ЗОНА СКЛАДИРОВАНИЯ И ЗАХОРОНЕНИЯ ОТХОДОВ</w:t>
      </w:r>
      <w:r/>
    </w:p>
    <w:p>
      <w:pPr>
        <w:ind w:firstLine="567"/>
      </w:pPr>
      <w:r>
        <w:rPr>
          <w:color w:val="000000" w:themeColor="text1"/>
          <w:sz w:val="24"/>
          <w:szCs w:val="24"/>
        </w:rPr>
        <w:t xml:space="preserve">Кодовое обозначение – СН-2</w:t>
      </w:r>
      <w:r/>
    </w:p>
    <w:p>
      <w:pPr>
        <w:ind w:firstLine="567"/>
        <w:jc w:val="both"/>
      </w:pPr>
      <w:r/>
      <w:r/>
    </w:p>
    <w:p>
      <w:pPr>
        <w:ind w:firstLine="567"/>
        <w:jc w:val="center"/>
        <w:tabs>
          <w:tab w:val="left" w:pos="2520" w:leader="none"/>
        </w:tabs>
      </w:pPr>
      <w:r>
        <w:rPr>
          <w:b/>
          <w:color w:val="000000"/>
        </w:rPr>
        <w:t xml:space="preserve">ОСНОВНЫЕ ВИДЫ И ПАРАМЕТРЫ РАЗРЕШЕННОГО ИСПОЛЬЗОВАНИЯ ЗЕМЕЛЬНЫХ УЧАСТКОВ И ОБЪЕКТОВ КАПИТАЛЬНОГО СТРОИТЕЛЬСТВА</w:t>
      </w:r>
      <w:r/>
    </w:p>
    <w:tbl>
      <w:tblPr>
        <w:tblW w:w="1517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 w:type="dxa"/>
          <w:right w:w="10" w:type="dxa"/>
        </w:tblCellMar>
        <w:tblLook w:val="04A0" w:firstRow="1" w:lastRow="0" w:firstColumn="1" w:lastColumn="0" w:noHBand="0" w:noVBand="1"/>
      </w:tblPr>
      <w:tblGrid>
        <w:gridCol w:w="3152"/>
        <w:gridCol w:w="4214"/>
        <w:gridCol w:w="4720"/>
        <w:gridCol w:w="3092"/>
      </w:tblGrid>
      <w:tr>
        <w:trPr>
          <w:trHeight w:val="20"/>
        </w:trPr>
        <w:tc>
          <w:tcPr>
            <w:tcW w:w="3152" w:type="dxa"/>
            <w:vAlign w:val="center"/>
            <w:textDirection w:val="lrTb"/>
            <w:noWrap w:val="false"/>
          </w:tcPr>
          <w:p>
            <w:pPr>
              <w:ind w:left="142" w:right="155"/>
              <w:jc w:val="center"/>
              <w:tabs>
                <w:tab w:val="left" w:pos="2520" w:leader="none"/>
              </w:tabs>
              <w:rPr>
                <w:b/>
              </w:rPr>
            </w:pPr>
            <w:r>
              <w:rPr>
                <w:rFonts w:eastAsia="SimSun"/>
                <w:lang w:eastAsia="zh-CN" w:bidi="ru-RU"/>
              </w:rPr>
              <w:t xml:space="preserve">[</w:t>
            </w:r>
            <w:r>
              <w:rPr>
                <w:b/>
              </w:rPr>
              <w:t xml:space="preserve">КОД (ЧИСЛОВОЕ ОБОЗНАЧЕНИЕ)</w:t>
            </w:r>
            <w:r>
              <w:rPr>
                <w:rFonts w:eastAsia="SimSun"/>
                <w:lang w:eastAsia="zh-CN" w:bidi="ru-RU"/>
              </w:rPr>
              <w:t xml:space="preserve">]-</w:t>
            </w:r>
            <w:r>
              <w:rPr>
                <w:b/>
              </w:rPr>
              <w:t xml:space="preserve"> НАИМЕНОВАНИЕ ВИДАРАЗРЕШЕННОГО ИСПОЛЬЗОВАНИЯ ЗЕМЕЛЬНЫХ УЧАСТКОВ</w:t>
            </w:r>
            <w:r/>
          </w:p>
        </w:tc>
        <w:tc>
          <w:tcPr>
            <w:tcW w:w="4214" w:type="dxa"/>
            <w:vAlign w:val="center"/>
            <w:textDirection w:val="lrTb"/>
            <w:noWrap w:val="false"/>
          </w:tcPr>
          <w:p>
            <w:pPr>
              <w:ind w:left="142" w:right="155"/>
              <w:jc w:val="center"/>
              <w:tabs>
                <w:tab w:val="left" w:pos="2520" w:leader="none"/>
              </w:tabs>
              <w:rPr>
                <w:b/>
              </w:rPr>
            </w:pPr>
            <w:r>
              <w:rPr>
                <w:b/>
              </w:rPr>
              <w:t xml:space="preserve">ВИДЫ ОБЪЕКТОВ КАПИТАЛЬНОГО</w:t>
            </w:r>
            <w:r>
              <w:rPr>
                <w:b/>
              </w:rPr>
              <w:br/>
              <w:t xml:space="preserve"> СТРОИТЕЛЬСТВА</w:t>
            </w:r>
            <w:r/>
          </w:p>
        </w:tc>
        <w:tc>
          <w:tcPr>
            <w:tcW w:w="4720" w:type="dxa"/>
            <w:vAlign w:val="center"/>
            <w:textDirection w:val="lrTb"/>
            <w:noWrap w:val="false"/>
          </w:tcPr>
          <w:p>
            <w:pPr>
              <w:ind w:left="142" w:right="155"/>
              <w:jc w:val="center"/>
              <w:tabs>
                <w:tab w:val="left" w:pos="2520" w:leader="none"/>
              </w:tabs>
              <w:rPr>
                <w:b/>
              </w:rPr>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W w:w="3092" w:type="dxa"/>
            <w:vAlign w:val="center"/>
            <w:textDirection w:val="lrTb"/>
            <w:noWrap w:val="false"/>
          </w:tcPr>
          <w:p>
            <w:pPr>
              <w:ind w:left="142" w:right="155"/>
              <w:jc w:val="center"/>
              <w:tabs>
                <w:tab w:val="left" w:pos="3071" w:leader="none"/>
              </w:tabs>
              <w:rPr>
                <w:b/>
              </w:rPr>
            </w:pPr>
            <w:r>
              <w:rPr>
                <w:b/>
              </w:rPr>
              <w:t xml:space="preserve">ОСОБЫЕ УСЛОВИЯ РЕАЛИЗАЦИИ РЕГЛАМЕНТА</w:t>
            </w:r>
            <w:r/>
          </w:p>
        </w:tc>
      </w:tr>
      <w:tr>
        <w:trPr>
          <w:trHeight w:val="20"/>
        </w:trPr>
        <w:tc>
          <w:tcPr>
            <w:tcW w:w="3152" w:type="dxa"/>
            <w:textDirection w:val="lrTb"/>
            <w:noWrap w:val="false"/>
          </w:tcPr>
          <w:p>
            <w:pPr>
              <w:ind w:left="142" w:right="155"/>
            </w:pPr>
            <w:r>
              <w:t xml:space="preserve">[3.1.1.] </w:t>
            </w:r>
            <w:r/>
          </w:p>
          <w:p>
            <w:pPr>
              <w:ind w:left="142" w:right="155"/>
              <w:tabs>
                <w:tab w:val="left" w:pos="2520" w:leader="none"/>
              </w:tabs>
              <w:rPr>
                <w:rFonts w:eastAsia="SimSun"/>
                <w:lang w:eastAsia="zh-CN" w:bidi="ru-RU"/>
              </w:rPr>
            </w:pPr>
            <w:r>
              <w:t xml:space="preserve">Предоставление коммунальных услуг</w:t>
            </w:r>
            <w:r/>
          </w:p>
        </w:tc>
        <w:tc>
          <w:tcPr>
            <w:tcW w:w="4214" w:type="dxa"/>
            <w:textDirection w:val="lrTb"/>
            <w:noWrap w:val="false"/>
          </w:tcPr>
          <w:p>
            <w:pPr>
              <w:ind w:left="142" w:right="155"/>
              <w:jc w:val="both"/>
              <w:tabs>
                <w:tab w:val="left" w:pos="2520" w:leader="none"/>
              </w:tabs>
              <w:rPr>
                <w:b/>
              </w:rPr>
            </w:pPr>
            <w: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w:t>
            </w:r>
            <w:r>
              <w:t xml:space="preserve">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r/>
          </w:p>
        </w:tc>
        <w:tc>
          <w:tcPr>
            <w:tcW w:w="4720" w:type="dxa"/>
            <w:textDirection w:val="lrTb"/>
            <w:noWrap w:val="false"/>
          </w:tcPr>
          <w:p>
            <w:pPr>
              <w:ind w:left="142" w:right="155"/>
              <w:jc w:val="both"/>
            </w:pPr>
            <w:r>
              <w:t xml:space="preserve">Минимальная/максимальная площадь земельных участков – 10/10000 кв. м;</w:t>
            </w:r>
            <w:r/>
          </w:p>
          <w:p>
            <w:pPr>
              <w:ind w:left="142" w:right="155"/>
              <w:jc w:val="both"/>
            </w:pPr>
            <w:r>
              <w:t xml:space="preserve">максимальное количество надземных этажей зданий –1;</w:t>
            </w:r>
            <w:r/>
          </w:p>
          <w:p>
            <w:pPr>
              <w:ind w:left="142" w:right="155"/>
              <w:jc w:val="both"/>
            </w:pPr>
            <w:r>
              <w:t xml:space="preserve">максимальный процент застройки в границах земельного участка – 80%;</w:t>
            </w:r>
            <w:r/>
          </w:p>
          <w:p>
            <w:pPr>
              <w:ind w:left="142" w:right="155"/>
              <w:jc w:val="both"/>
            </w:pPr>
            <w:r>
              <w:t xml:space="preserve">минимальные отступы от красной линии – 5 м; от иных границ – 3 м;  </w:t>
            </w:r>
            <w:r/>
          </w:p>
          <w:p>
            <w:pPr>
              <w:ind w:left="142" w:right="155"/>
              <w:tabs>
                <w:tab w:val="left" w:pos="2520" w:leader="none"/>
              </w:tabs>
            </w:pPr>
            <w:r>
              <w:t xml:space="preserve">для линейных объектов минимальные отступы – не регламентируются</w:t>
            </w:r>
            <w:r/>
          </w:p>
          <w:p>
            <w:pPr>
              <w:ind w:left="142" w:right="155"/>
              <w:tabs>
                <w:tab w:val="left" w:pos="2520" w:leader="none"/>
              </w:tabs>
            </w:pPr>
            <w:r>
              <w:t xml:space="preserve">для линейных объектов</w:t>
            </w:r>
            <w:r>
              <w:rPr>
                <w:rFonts w:eastAsia="Calibri"/>
              </w:rPr>
              <w:t xml:space="preserve"> минимальный процент озеленения </w:t>
            </w:r>
            <w:r>
              <w:t xml:space="preserve">– не регламентируется</w:t>
            </w:r>
            <w:r/>
          </w:p>
        </w:tc>
        <w:tc>
          <w:tcPr>
            <w:tcW w:w="3092" w:type="dxa"/>
            <w:vAlign w:val="center"/>
            <w:vMerge w:val="restart"/>
            <w:textDirection w:val="lrTb"/>
            <w:noWrap w:val="false"/>
          </w:tcPr>
          <w:p>
            <w:pPr>
              <w:ind w:left="105" w:right="155"/>
              <w:jc w:val="both"/>
              <w:tabs>
                <w:tab w:val="left" w:pos="3071" w:leader="none"/>
              </w:tabs>
              <w:rPr>
                <w:shd w:val="clear" w:color="auto" w:fill="ffffff"/>
              </w:rPr>
            </w:pPr>
            <w:r>
              <w:rPr>
                <w:shd w:val="clear" w:color="auto" w:fill="ffffff"/>
              </w:rPr>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r/>
          </w:p>
          <w:p>
            <w:pPr>
              <w:ind w:left="142" w:right="155"/>
              <w:jc w:val="both"/>
            </w:pPr>
            <w:r/>
            <w:r/>
          </w:p>
          <w:p>
            <w:pPr>
              <w:ind w:left="142" w:right="155"/>
              <w:jc w:val="both"/>
            </w:pPr>
            <w: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r/>
          </w:p>
          <w:p>
            <w:pPr>
              <w:ind w:left="142" w:right="155"/>
              <w:jc w:val="both"/>
            </w:pPr>
            <w:r/>
            <w:r/>
          </w:p>
          <w:p>
            <w:pPr>
              <w:ind w:left="105" w:right="142"/>
              <w:jc w:val="both"/>
              <w:tabs>
                <w:tab w:val="left" w:pos="3071" w:leader="none"/>
              </w:tabs>
            </w:pPr>
            <w:r>
              <w:rPr>
                <w:shd w:val="clear" w:color="auto" w:fill="ffffff"/>
              </w:rPr>
              <w:t xml:space="preserve">При проектировании объектов </w:t>
            </w:r>
            <w:r>
              <w:rPr>
                <w:bCs/>
                <w:shd w:val="clear" w:color="auto" w:fill="ffffff"/>
              </w:rPr>
              <w:t xml:space="preserve">инженерной инфраструктуры</w:t>
            </w:r>
            <w:r>
              <w:rPr>
                <w:shd w:val="clear" w:color="auto" w:fill="ffffff"/>
              </w:rPr>
              <w:t xml:space="preserve"> применять нормы безопасности по нормируемым санитарно-гигиеническим и противопожарным требованиям.</w:t>
            </w:r>
            <w:r/>
          </w:p>
          <w:p>
            <w:pPr>
              <w:ind w:left="142" w:right="155"/>
              <w:jc w:val="both"/>
              <w:rPr>
                <w:b/>
              </w:rPr>
            </w:pPr>
            <w:r>
              <w:rPr>
                <w:b/>
              </w:rPr>
            </w:r>
            <w:r/>
          </w:p>
        </w:tc>
      </w:tr>
      <w:tr>
        <w:trPr>
          <w:trHeight w:val="20"/>
        </w:trPr>
        <w:tc>
          <w:tcPr>
            <w:tcW w:w="3152" w:type="dxa"/>
            <w:textDirection w:val="lrTb"/>
            <w:noWrap w:val="false"/>
          </w:tcPr>
          <w:p>
            <w:pPr>
              <w:ind w:left="142" w:right="155"/>
            </w:pPr>
            <w:r>
              <w:t xml:space="preserve">[3.1.2]</w:t>
            </w:r>
            <w:r>
              <w:tab/>
            </w:r>
            <w:r/>
          </w:p>
          <w:p>
            <w:pPr>
              <w:ind w:left="142" w:right="155"/>
            </w:pPr>
            <w:r>
              <w:t xml:space="preserve">Административные здания </w:t>
            </w:r>
            <w:r>
              <w:t xml:space="preserve">организаций, обеспечивающих предоставление коммунальных услуг</w:t>
            </w:r>
            <w:r/>
          </w:p>
        </w:tc>
        <w:tc>
          <w:tcPr>
            <w:tcW w:w="4214" w:type="dxa"/>
            <w:textDirection w:val="lrTb"/>
            <w:noWrap w:val="false"/>
          </w:tcPr>
          <w:p>
            <w:pPr>
              <w:ind w:left="142" w:right="155"/>
              <w:jc w:val="both"/>
            </w:pPr>
            <w:r>
              <w:t xml:space="preserve">Размещение зданий, предназначенных для приема физических и юридических лиц в </w:t>
            </w:r>
            <w:r>
              <w:t xml:space="preserve">связи с предоставлением им коммунальных услуг</w:t>
            </w:r>
            <w:r/>
          </w:p>
        </w:tc>
        <w:tc>
          <w:tcPr>
            <w:tcW w:w="4720" w:type="dxa"/>
            <w:textDirection w:val="lrTb"/>
            <w:noWrap w:val="false"/>
          </w:tcPr>
          <w:p>
            <w:pPr>
              <w:ind w:left="142" w:right="155"/>
              <w:jc w:val="both"/>
              <w:rPr>
                <w:rFonts w:eastAsia="Calibri"/>
              </w:rPr>
            </w:pPr>
            <w:r>
              <w:rPr>
                <w:rFonts w:eastAsia="Calibri"/>
              </w:rPr>
              <w:t xml:space="preserve">Минимальная/максимальная площадь земельных участков – 150 /1000 кв. м</w:t>
            </w:r>
            <w:r/>
          </w:p>
          <w:p>
            <w:pPr>
              <w:ind w:left="142" w:right="155"/>
              <w:jc w:val="both"/>
              <w:rPr>
                <w:rFonts w:eastAsia="Calibri"/>
              </w:rPr>
            </w:pPr>
            <w:r>
              <w:rPr>
                <w:rFonts w:eastAsia="Calibri"/>
              </w:rPr>
              <w:t xml:space="preserve">максимальное количество надземных этажей зданий – 2 этажа;</w:t>
            </w:r>
            <w:r/>
          </w:p>
          <w:p>
            <w:pPr>
              <w:ind w:left="142" w:right="155"/>
              <w:jc w:val="both"/>
              <w:rPr>
                <w:rFonts w:eastAsia="Calibri"/>
              </w:rPr>
            </w:pPr>
            <w:r>
              <w:rPr>
                <w:rFonts w:eastAsia="Calibri"/>
              </w:rPr>
              <w:t xml:space="preserve">максимальная высота зданий, строений, сооружений от уровня земли - 20 м;</w:t>
            </w:r>
            <w:r/>
          </w:p>
          <w:p>
            <w:pPr>
              <w:ind w:left="142" w:right="155"/>
              <w:jc w:val="both"/>
              <w:rPr>
                <w:rFonts w:eastAsia="Calibri"/>
              </w:rPr>
            </w:pPr>
            <w:r>
              <w:rPr>
                <w:rFonts w:eastAsia="Calibri"/>
              </w:rPr>
              <w:t xml:space="preserve">максимальный процент застройки в границах земельного участка – 60%;  </w:t>
            </w:r>
            <w:r/>
          </w:p>
          <w:p>
            <w:pPr>
              <w:ind w:left="142" w:right="155"/>
              <w:jc w:val="both"/>
              <w:rPr>
                <w:rFonts w:eastAsia="Calibri"/>
              </w:rPr>
            </w:pPr>
            <w:r>
              <w:rPr>
                <w:rFonts w:eastAsia="Calibri"/>
              </w:rPr>
              <w:t xml:space="preserve">минимальные отступы до основного строения от красной линии – 5 м или по линии застройки на застроенной территории; до иных границ – 3 м.</w:t>
            </w:r>
            <w:r/>
          </w:p>
          <w:p>
            <w:pPr>
              <w:ind w:left="142" w:right="155"/>
              <w:jc w:val="both"/>
            </w:pPr>
            <w:r>
              <w:rPr>
                <w:rFonts w:eastAsia="Calibri"/>
              </w:rPr>
              <w:t xml:space="preserve">Минимальный процент озеленения земельного участка 15%.</w:t>
            </w:r>
            <w:r/>
          </w:p>
        </w:tc>
        <w:tc>
          <w:tcPr>
            <w:tcW w:w="3092" w:type="dxa"/>
            <w:vMerge w:val="continue"/>
            <w:textDirection w:val="lrTb"/>
            <w:noWrap w:val="false"/>
          </w:tcPr>
          <w:p>
            <w:pPr>
              <w:ind w:left="142" w:right="155"/>
              <w:jc w:val="both"/>
              <w:tabs>
                <w:tab w:val="left" w:pos="3071" w:leader="none"/>
              </w:tabs>
              <w:rPr>
                <w:shd w:val="clear" w:color="auto" w:fill="ffffff"/>
              </w:rPr>
            </w:pPr>
            <w:r>
              <w:rPr>
                <w:shd w:val="clear" w:color="auto" w:fill="ffffff"/>
              </w:rPr>
            </w:r>
            <w:r/>
          </w:p>
        </w:tc>
      </w:tr>
      <w:tr>
        <w:trPr>
          <w:trHeight w:val="20"/>
        </w:trPr>
        <w:tc>
          <w:tcPr>
            <w:tcW w:w="3152" w:type="dxa"/>
            <w:textDirection w:val="lrTb"/>
            <w:noWrap w:val="false"/>
          </w:tcPr>
          <w:p>
            <w:pPr>
              <w:ind w:left="142" w:right="155"/>
            </w:pPr>
            <w:r>
              <w:rPr>
                <w:lang w:val="en-US"/>
              </w:rPr>
              <w:t xml:space="preserve">[</w:t>
            </w:r>
            <w:r>
              <w:t xml:space="preserve">6.7</w:t>
            </w:r>
            <w:r>
              <w:rPr>
                <w:lang w:val="en-US"/>
              </w:rPr>
              <w:t xml:space="preserve">]</w:t>
            </w:r>
            <w:r/>
          </w:p>
          <w:p>
            <w:pPr>
              <w:ind w:left="142" w:right="155"/>
            </w:pPr>
            <w:r>
              <w:t xml:space="preserve">Энергетика</w:t>
            </w:r>
            <w:r/>
          </w:p>
        </w:tc>
        <w:tc>
          <w:tcPr>
            <w:tcW w:w="4214" w:type="dxa"/>
            <w:textDirection w:val="lrTb"/>
            <w:noWrap w:val="false"/>
          </w:tcPr>
          <w:p>
            <w:pPr>
              <w:ind w:left="142" w:right="155"/>
              <w:jc w:val="both"/>
            </w:pPr>
            <w:r>
              <w:t xml:space="preserve">Размещение объектов гидроэнергетики, тепловых станций и других электростанций, размещение обслуживающих и вспом</w:t>
            </w:r>
            <w:r>
              <w:t xml:space="preserve">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r/>
          </w:p>
        </w:tc>
        <w:tc>
          <w:tcPr>
            <w:tcW w:w="4720" w:type="dxa"/>
            <w:textDirection w:val="lrTb"/>
            <w:noWrap w:val="false"/>
          </w:tcPr>
          <w:p>
            <w:pPr>
              <w:ind w:left="142" w:right="155"/>
              <w:jc w:val="center"/>
            </w:pPr>
            <w:r>
              <w:rPr>
                <w:rFonts w:eastAsia="Calibri"/>
              </w:rPr>
              <w:t xml:space="preserve">Не подлежат установлению</w:t>
            </w:r>
            <w:r/>
          </w:p>
        </w:tc>
        <w:tc>
          <w:tcPr>
            <w:tcW w:w="3092" w:type="dxa"/>
            <w:vMerge w:val="continue"/>
            <w:textDirection w:val="lrTb"/>
            <w:noWrap w:val="false"/>
          </w:tcPr>
          <w:p>
            <w:pPr>
              <w:ind w:left="142" w:right="155"/>
              <w:jc w:val="both"/>
              <w:tabs>
                <w:tab w:val="left" w:pos="3071" w:leader="none"/>
              </w:tabs>
              <w:rPr>
                <w:shd w:val="clear" w:color="auto" w:fill="ffffff"/>
              </w:rPr>
            </w:pPr>
            <w:r>
              <w:rPr>
                <w:shd w:val="clear" w:color="auto" w:fill="ffffff"/>
              </w:rPr>
            </w:r>
            <w:r/>
          </w:p>
        </w:tc>
      </w:tr>
      <w:tr>
        <w:trPr>
          <w:trHeight w:val="20"/>
        </w:trPr>
        <w:tc>
          <w:tcPr>
            <w:tcW w:w="3152" w:type="dxa"/>
            <w:textDirection w:val="lrTb"/>
            <w:noWrap w:val="false"/>
          </w:tcPr>
          <w:p>
            <w:pPr>
              <w:ind w:left="142" w:right="155"/>
            </w:pPr>
            <w:r>
              <w:rPr>
                <w:lang w:val="en-US"/>
              </w:rPr>
              <w:t xml:space="preserve">[</w:t>
            </w:r>
            <w:r>
              <w:t xml:space="preserve">7.5]</w:t>
            </w:r>
            <w:r/>
          </w:p>
          <w:p>
            <w:pPr>
              <w:ind w:left="142" w:right="155"/>
            </w:pPr>
            <w:r>
              <w:t xml:space="preserve">Трубопроводный транспорт</w:t>
            </w:r>
            <w:r/>
          </w:p>
        </w:tc>
        <w:tc>
          <w:tcPr>
            <w:tcW w:w="4214" w:type="dxa"/>
            <w:textDirection w:val="lrTb"/>
            <w:noWrap w:val="false"/>
          </w:tcPr>
          <w:p>
            <w:pPr>
              <w:ind w:left="142" w:right="155"/>
              <w:jc w:val="both"/>
            </w:pPr>
            <w:r>
              <w:t xml:space="preserve">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r/>
          </w:p>
        </w:tc>
        <w:tc>
          <w:tcPr>
            <w:tcW w:w="4720" w:type="dxa"/>
            <w:textDirection w:val="lrTb"/>
            <w:noWrap w:val="false"/>
          </w:tcPr>
          <w:p>
            <w:pPr>
              <w:ind w:left="142" w:right="155"/>
              <w:jc w:val="center"/>
            </w:pPr>
            <w:r>
              <w:rPr>
                <w:rFonts w:eastAsia="Calibri"/>
              </w:rPr>
              <w:t xml:space="preserve">Не подлежат установлению</w:t>
            </w:r>
            <w:r/>
          </w:p>
        </w:tc>
        <w:tc>
          <w:tcPr>
            <w:tcW w:w="3092" w:type="dxa"/>
            <w:vMerge w:val="continue"/>
            <w:textDirection w:val="lrTb"/>
            <w:noWrap w:val="false"/>
          </w:tcPr>
          <w:p>
            <w:pPr>
              <w:ind w:left="142" w:right="155"/>
              <w:jc w:val="both"/>
              <w:tabs>
                <w:tab w:val="left" w:pos="3071" w:leader="none"/>
              </w:tabs>
              <w:rPr>
                <w:shd w:val="clear" w:color="auto" w:fill="ffffff"/>
              </w:rPr>
            </w:pPr>
            <w:r>
              <w:rPr>
                <w:shd w:val="clear" w:color="auto" w:fill="ffffff"/>
              </w:rPr>
            </w:r>
            <w:r/>
          </w:p>
        </w:tc>
      </w:tr>
      <w:tr>
        <w:trPr>
          <w:trHeight w:val="20"/>
        </w:trPr>
        <w:tc>
          <w:tcPr>
            <w:tcW w:w="3152" w:type="dxa"/>
            <w:textDirection w:val="lrTb"/>
            <w:noWrap w:val="false"/>
          </w:tcPr>
          <w:p>
            <w:pPr>
              <w:ind w:left="142" w:right="155"/>
              <w:tabs>
                <w:tab w:val="left" w:pos="2520" w:leader="none"/>
              </w:tabs>
            </w:pPr>
            <w:r>
              <w:t xml:space="preserve">[9.3] </w:t>
            </w:r>
            <w:r/>
          </w:p>
          <w:p>
            <w:pPr>
              <w:ind w:left="142" w:right="155"/>
              <w:tabs>
                <w:tab w:val="left" w:pos="2520" w:leader="none"/>
              </w:tabs>
            </w:pPr>
            <w:r>
              <w:t xml:space="preserve">Историко-культурная деятельность</w:t>
            </w:r>
            <w:r/>
          </w:p>
        </w:tc>
        <w:tc>
          <w:tcPr>
            <w:tcW w:w="4214" w:type="dxa"/>
            <w:textDirection w:val="lrTb"/>
            <w:noWrap w:val="false"/>
          </w:tcPr>
          <w:p>
            <w:pPr>
              <w:ind w:left="142" w:right="155"/>
              <w:jc w:val="both"/>
              <w:tabs>
                <w:tab w:val="left" w:pos="2520" w:leader="none"/>
              </w:tabs>
            </w:pPr>
            <w: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w:t>
            </w:r>
            <w:r>
              <w:t xml:space="preserve">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r/>
          </w:p>
        </w:tc>
        <w:tc>
          <w:tcPr>
            <w:tcW w:w="4720" w:type="dxa"/>
            <w:textDirection w:val="lrTb"/>
            <w:noWrap w:val="false"/>
          </w:tcPr>
          <w:p>
            <w:pPr>
              <w:ind w:left="142" w:right="155"/>
              <w:jc w:val="center"/>
              <w:tabs>
                <w:tab w:val="left" w:pos="1134" w:leader="none"/>
              </w:tabs>
            </w:pPr>
            <w:r>
              <w:t xml:space="preserve">Регламенты не распространяются</w:t>
            </w:r>
            <w:r/>
          </w:p>
          <w:p>
            <w:pPr>
              <w:ind w:left="142" w:right="155"/>
              <w:jc w:val="center"/>
              <w:tabs>
                <w:tab w:val="left" w:pos="1134" w:leader="none"/>
              </w:tabs>
            </w:pPr>
            <w:r>
              <w:t xml:space="preserve">(не подлежат установлению)</w:t>
            </w:r>
            <w:r/>
          </w:p>
        </w:tc>
        <w:tc>
          <w:tcPr>
            <w:tcW w:w="3092" w:type="dxa"/>
            <w:vMerge w:val="continue"/>
            <w:textDirection w:val="lrTb"/>
            <w:noWrap w:val="false"/>
          </w:tcPr>
          <w:p>
            <w:pPr>
              <w:ind w:left="142" w:right="155"/>
              <w:tabs>
                <w:tab w:val="left" w:pos="1134" w:leader="none"/>
              </w:tabs>
            </w:pPr>
            <w:r/>
            <w:r/>
          </w:p>
        </w:tc>
      </w:tr>
      <w:tr>
        <w:trPr>
          <w:trHeight w:val="20"/>
        </w:trPr>
        <w:tc>
          <w:tcPr>
            <w:tcW w:w="3152" w:type="dxa"/>
            <w:textDirection w:val="lrTb"/>
            <w:noWrap w:val="false"/>
          </w:tcPr>
          <w:p>
            <w:pPr>
              <w:ind w:left="142" w:right="155"/>
              <w:tabs>
                <w:tab w:val="left" w:pos="2520" w:leader="none"/>
              </w:tabs>
            </w:pPr>
            <w:r>
              <w:t xml:space="preserve">[12.0.1] </w:t>
            </w:r>
            <w:r/>
          </w:p>
          <w:p>
            <w:pPr>
              <w:ind w:left="142" w:right="155"/>
              <w:tabs>
                <w:tab w:val="left" w:pos="2520" w:leader="none"/>
              </w:tabs>
            </w:pPr>
            <w:r>
              <w:rPr>
                <w:shd w:val="clear" w:color="auto" w:fill="ffffff"/>
              </w:rPr>
              <w:t xml:space="preserve">Улично-дорожная сеть</w:t>
            </w:r>
            <w:r/>
          </w:p>
        </w:tc>
        <w:tc>
          <w:tcPr>
            <w:tcW w:w="4214" w:type="dxa"/>
            <w:textDirection w:val="lrTb"/>
            <w:noWrap w:val="false"/>
          </w:tcPr>
          <w:p>
            <w:pPr>
              <w:ind w:left="75" w:right="75"/>
              <w:jc w:val="both"/>
              <w:shd w:val="clear" w:color="auto" w:fill="ffffff"/>
              <w:widowControl/>
              <w:rPr>
                <w:lang w:eastAsia="ru-RU"/>
              </w:rPr>
            </w:pPr>
            <w:r>
              <w:rPr>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w:t>
            </w:r>
            <w:r>
              <w:rPr>
                <w:lang w:eastAsia="ru-RU"/>
              </w:rPr>
              <w:t xml:space="preserve">площадей, проездов, велодорожек и объектов велотранспортной и инженерной инфраструктуры;</w:t>
            </w:r>
            <w:r/>
          </w:p>
          <w:p>
            <w:pPr>
              <w:ind w:left="75" w:right="75"/>
              <w:jc w:val="both"/>
              <w:shd w:val="clear" w:color="auto" w:fill="ffffff"/>
              <w:widowControl/>
              <w:rPr>
                <w:lang w:eastAsia="ru-RU"/>
              </w:rPr>
            </w:pPr>
            <w:r>
              <w:rPr>
                <w:lang w:eastAsia="ru-RU"/>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02" w:tooltip="https://base.garant.ru/70736874/53f89421bbdaf741eb2d1ecc4ddb4c33/#block_10271" w:anchor="block_10271" w:history="1">
              <w:r>
                <w:rPr>
                  <w:lang w:eastAsia="ru-RU"/>
                </w:rPr>
                <w:t xml:space="preserve">кодами 2.7.1</w:t>
              </w:r>
            </w:hyperlink>
            <w:r>
              <w:rPr>
                <w:lang w:eastAsia="ru-RU"/>
              </w:rPr>
              <w:t xml:space="preserve">, </w:t>
            </w:r>
            <w:hyperlink r:id="rId103" w:tooltip="https://base.garant.ru/70736874/53f89421bbdaf741eb2d1ecc4ddb4c33/#block_1049" w:anchor="block_1049" w:history="1">
              <w:r>
                <w:rPr>
                  <w:lang w:eastAsia="ru-RU"/>
                </w:rPr>
                <w:t xml:space="preserve">4.9</w:t>
              </w:r>
            </w:hyperlink>
            <w:r>
              <w:rPr>
                <w:lang w:eastAsia="ru-RU"/>
              </w:rPr>
              <w:t xml:space="preserve">, </w:t>
            </w:r>
            <w:hyperlink r:id="rId104" w:tooltip="https://base.garant.ru/70736874/53f89421bbdaf741eb2d1ecc4ddb4c33/#block_1723" w:anchor="block_1723" w:history="1">
              <w:r>
                <w:rPr>
                  <w:lang w:eastAsia="ru-RU"/>
                </w:rPr>
                <w:t xml:space="preserve">7.2.3</w:t>
              </w:r>
            </w:hyperlink>
            <w:r>
              <w:rPr>
                <w:lang w:eastAsia="ru-RU"/>
              </w:rPr>
              <w:t xml:space="preserve">, а также некапитальных сооружений, предназначенных для охраны транспортных средств</w:t>
            </w:r>
            <w:r/>
          </w:p>
        </w:tc>
        <w:tc>
          <w:tcPr>
            <w:tcW w:w="4720" w:type="dxa"/>
            <w:textDirection w:val="lrTb"/>
            <w:noWrap w:val="false"/>
          </w:tcPr>
          <w:p>
            <w:pPr>
              <w:ind w:left="142" w:right="155"/>
              <w:jc w:val="center"/>
              <w:tabs>
                <w:tab w:val="left" w:pos="1134" w:leader="none"/>
              </w:tabs>
            </w:pPr>
            <w:r>
              <w:t xml:space="preserve">Регламенты не распространяются</w:t>
            </w:r>
            <w:r/>
          </w:p>
          <w:p>
            <w:pPr>
              <w:ind w:left="142" w:right="155"/>
              <w:jc w:val="center"/>
              <w:tabs>
                <w:tab w:val="left" w:pos="1134" w:leader="none"/>
              </w:tabs>
            </w:pPr>
            <w:r>
              <w:t xml:space="preserve">(не подлежат установлению)</w:t>
            </w:r>
            <w:r/>
          </w:p>
        </w:tc>
        <w:tc>
          <w:tcPr>
            <w:tcW w:w="3092" w:type="dxa"/>
            <w:vMerge w:val="restart"/>
            <w:textDirection w:val="lrTb"/>
            <w:noWrap w:val="false"/>
          </w:tcPr>
          <w:p>
            <w:pPr>
              <w:ind w:left="142" w:right="155"/>
              <w:jc w:val="both"/>
              <w:tabs>
                <w:tab w:val="left" w:pos="1134" w:leader="none"/>
                <w:tab w:val="left" w:pos="3071" w:leader="none"/>
              </w:tabs>
              <w:rPr>
                <w:lang w:eastAsia="ru-RU"/>
              </w:rPr>
            </w:pPr>
            <w:r>
              <w:rPr>
                <w:lang w:eastAsia="ru-RU"/>
              </w:rPr>
              <w:t xml:space="preserve">На территориях общего пользования не разрешается возведение объектов капитального строительства, за </w:t>
            </w:r>
            <w:r>
              <w:rPr>
                <w:lang w:eastAsia="ru-RU"/>
              </w:rPr>
              <w:t xml:space="preserve">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r/>
          </w:p>
          <w:p>
            <w:pPr>
              <w:ind w:left="142" w:right="155"/>
              <w:jc w:val="both"/>
              <w:tabs>
                <w:tab w:val="left" w:pos="1134" w:leader="none"/>
                <w:tab w:val="left" w:pos="3071" w:leader="none"/>
              </w:tabs>
              <w:rPr>
                <w:lang w:eastAsia="ru-RU"/>
              </w:rPr>
            </w:pPr>
            <w:r>
              <w:rPr>
                <w:lang w:eastAsia="ru-RU"/>
              </w:rPr>
            </w:r>
            <w:r/>
          </w:p>
          <w:p>
            <w:pPr>
              <w:ind w:left="142" w:right="155"/>
              <w:jc w:val="both"/>
              <w:tabs>
                <w:tab w:val="left" w:pos="1134" w:leader="none"/>
                <w:tab w:val="left" w:pos="3071" w:leader="none"/>
              </w:tabs>
            </w:pPr>
            <w:r/>
            <w:r/>
          </w:p>
          <w:p>
            <w:pPr>
              <w:ind w:left="142" w:right="155"/>
              <w:jc w:val="both"/>
              <w:widowControl/>
              <w:rPr>
                <w:lang w:eastAsia="ru-RU"/>
              </w:rPr>
            </w:pPr>
            <w:r>
              <w:rPr>
                <w:lang w:eastAsia="ru-RU"/>
              </w:rPr>
              <w:t xml:space="preserve">  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r/>
          </w:p>
          <w:p>
            <w:pPr>
              <w:ind w:left="142" w:right="155"/>
              <w:tabs>
                <w:tab w:val="left" w:pos="1134" w:leader="none"/>
                <w:tab w:val="left" w:pos="3071" w:leader="none"/>
              </w:tabs>
            </w:pPr>
            <w:r/>
            <w:r/>
          </w:p>
        </w:tc>
      </w:tr>
      <w:tr>
        <w:trPr>
          <w:trHeight w:val="20"/>
        </w:trPr>
        <w:tc>
          <w:tcPr>
            <w:tcW w:w="3152" w:type="dxa"/>
            <w:textDirection w:val="lrTb"/>
            <w:noWrap w:val="false"/>
          </w:tcPr>
          <w:p>
            <w:pPr>
              <w:ind w:left="142" w:right="155"/>
              <w:tabs>
                <w:tab w:val="left" w:pos="2520" w:leader="none"/>
              </w:tabs>
            </w:pPr>
            <w:r>
              <w:t xml:space="preserve">[12.0.2] </w:t>
            </w:r>
            <w:r/>
          </w:p>
          <w:p>
            <w:pPr>
              <w:ind w:left="142" w:right="155"/>
              <w:tabs>
                <w:tab w:val="left" w:pos="2520" w:leader="none"/>
              </w:tabs>
            </w:pPr>
            <w:r>
              <w:t xml:space="preserve">Благоустройство территории</w:t>
            </w:r>
            <w:r/>
          </w:p>
        </w:tc>
        <w:tc>
          <w:tcPr>
            <w:tcW w:w="4214" w:type="dxa"/>
            <w:textDirection w:val="lrTb"/>
            <w:noWrap w:val="false"/>
          </w:tcPr>
          <w:p>
            <w:pPr>
              <w:ind w:left="142" w:right="155"/>
              <w:jc w:val="both"/>
              <w:tabs>
                <w:tab w:val="left" w:pos="2520" w:leader="none"/>
              </w:tabs>
            </w:pPr>
            <w:r>
              <w:t xml:space="preserve">Размещение декоративных, технических, планировочных, конструктивных устройств, эле</w:t>
            </w:r>
            <w:r>
              <w:t xml:space="preserve">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r/>
          </w:p>
        </w:tc>
        <w:tc>
          <w:tcPr>
            <w:tcW w:w="4720" w:type="dxa"/>
            <w:textDirection w:val="lrTb"/>
            <w:noWrap w:val="false"/>
          </w:tcPr>
          <w:p>
            <w:pPr>
              <w:ind w:left="142" w:right="155"/>
              <w:jc w:val="center"/>
              <w:tabs>
                <w:tab w:val="left" w:pos="1134" w:leader="none"/>
              </w:tabs>
            </w:pPr>
            <w:r>
              <w:t xml:space="preserve">Регламенты не распространяются</w:t>
            </w:r>
            <w:r/>
          </w:p>
          <w:p>
            <w:pPr>
              <w:ind w:left="142" w:right="155"/>
              <w:jc w:val="center"/>
              <w:tabs>
                <w:tab w:val="left" w:pos="1134" w:leader="none"/>
              </w:tabs>
            </w:pPr>
            <w:r>
              <w:t xml:space="preserve">(не подлежат установлению)</w:t>
            </w:r>
            <w:r/>
          </w:p>
        </w:tc>
        <w:tc>
          <w:tcPr>
            <w:tcW w:w="3092" w:type="dxa"/>
            <w:vMerge w:val="continue"/>
            <w:textDirection w:val="lrTb"/>
            <w:noWrap w:val="false"/>
          </w:tcPr>
          <w:p>
            <w:pPr>
              <w:ind w:left="142" w:right="155"/>
              <w:tabs>
                <w:tab w:val="left" w:pos="1134" w:leader="none"/>
                <w:tab w:val="left" w:pos="3071" w:leader="none"/>
              </w:tabs>
            </w:pPr>
            <w:r/>
            <w:r/>
          </w:p>
        </w:tc>
      </w:tr>
    </w:tbl>
    <w:p>
      <w:pPr>
        <w:ind w:firstLine="567"/>
        <w:jc w:val="center"/>
        <w:tabs>
          <w:tab w:val="left" w:pos="2520" w:leader="none"/>
        </w:tabs>
      </w:pPr>
      <w:r/>
      <w:r/>
    </w:p>
    <w:p>
      <w:pPr>
        <w:jc w:val="center"/>
        <w:tabs>
          <w:tab w:val="left" w:pos="2520" w:leader="none"/>
        </w:tabs>
      </w:pPr>
      <w:r/>
      <w:r/>
    </w:p>
    <w:p>
      <w:pPr>
        <w:jc w:val="center"/>
        <w:tabs>
          <w:tab w:val="left" w:pos="2520" w:leader="none"/>
        </w:tabs>
      </w:pPr>
      <w:r>
        <w:rPr>
          <w:b/>
          <w:color w:val="000000"/>
        </w:rPr>
        <w:t xml:space="preserve">УСЛОВНО РАЗРЕШЕННЫЕ ВИДЫ И ПАРАМЕТРЫ ИСПОЛЬЗОВАНИЯ ЗЕМЕЛЬНЫХ УЧАСТКОВ И ОБЪЕКТОВ КАПИТАЛЬНОГО СТРОИТЕЛЬСТВА</w:t>
      </w:r>
      <w:r/>
    </w:p>
    <w:p>
      <w:pPr>
        <w:ind w:firstLine="567"/>
        <w:jc w:val="center"/>
        <w:tabs>
          <w:tab w:val="left" w:pos="2520" w:leader="none"/>
        </w:tabs>
      </w:pPr>
      <w:r/>
      <w:r/>
    </w:p>
    <w:tbl>
      <w:tblPr>
        <w:tblW w:w="15178" w:type="dxa"/>
        <w:tblLayout w:type="fixed"/>
        <w:tblCellMar>
          <w:left w:w="10" w:type="dxa"/>
          <w:right w:w="10" w:type="dxa"/>
        </w:tblCellMar>
        <w:tblLook w:val="04A0" w:firstRow="1" w:lastRow="0" w:firstColumn="1" w:lastColumn="0" w:noHBand="0" w:noVBand="1"/>
      </w:tblPr>
      <w:tblGrid>
        <w:gridCol w:w="3141"/>
        <w:gridCol w:w="4010"/>
        <w:gridCol w:w="8027"/>
      </w:tblGrid>
      <w:tr>
        <w:trPr>
          <w:trHeight w:val="23"/>
        </w:trPr>
        <w:tc>
          <w:tcPr>
            <w:tcBorders>
              <w:top w:val="single" w:color="000000" w:sz="4" w:space="0"/>
              <w:left w:val="single" w:color="000000" w:sz="4" w:space="0"/>
              <w:bottom w:val="single" w:color="000000" w:sz="4" w:space="0"/>
              <w:right w:val="none" w:color="000000" w:sz="4" w:space="0"/>
            </w:tcBorders>
            <w:tcW w:w="3141" w:type="dxa"/>
            <w:vAlign w:val="center"/>
            <w:textDirection w:val="lrTb"/>
            <w:noWrap/>
          </w:tcPr>
          <w:p>
            <w:pPr>
              <w:ind w:firstLine="567"/>
              <w:jc w:val="center"/>
              <w:tabs>
                <w:tab w:val="left" w:pos="2520" w:leader="none"/>
              </w:tabs>
              <w:rPr>
                <w:bCs/>
              </w:rPr>
            </w:pPr>
            <w:r>
              <w:rPr>
                <w:rFonts w:eastAsia="SimSun"/>
                <w:lang w:eastAsia="zh-CN" w:bidi="ru-RU"/>
              </w:rPr>
              <w:t xml:space="preserve">[</w:t>
            </w:r>
            <w:r>
              <w:rPr>
                <w:b/>
              </w:rPr>
              <w:t xml:space="preserve">КОД (ЧИСЛОВОЕ ОБОЗНАЧЕНИЕ)</w:t>
            </w:r>
            <w:r>
              <w:rPr>
                <w:rFonts w:eastAsia="SimSun"/>
                <w:lang w:eastAsia="zh-CN" w:bidi="ru-RU"/>
              </w:rPr>
              <w:t xml:space="preserve">]-</w:t>
            </w:r>
            <w:r>
              <w:rPr>
                <w:b/>
              </w:rPr>
              <w:t xml:space="preserve"> НАИМЕНОВАНИЕ ВИДАРАЗРЕШЕННОГО ИСПОЛЬЗОВАНИЯ ЗЕМЕЛЬНЫХ УЧАСТКОВ</w:t>
            </w:r>
            <w:r/>
          </w:p>
        </w:tc>
        <w:tc>
          <w:tcPr>
            <w:tcBorders>
              <w:top w:val="single" w:color="000000" w:sz="4" w:space="0"/>
              <w:left w:val="single" w:color="000000" w:sz="4" w:space="0"/>
              <w:bottom w:val="single" w:color="000000" w:sz="4" w:space="0"/>
              <w:right w:val="none" w:color="000000" w:sz="4" w:space="0"/>
            </w:tcBorders>
            <w:tcW w:w="4010" w:type="dxa"/>
            <w:vAlign w:val="center"/>
            <w:textDirection w:val="lrTb"/>
            <w:noWrap/>
          </w:tcPr>
          <w:p>
            <w:pPr>
              <w:ind w:firstLine="567"/>
              <w:jc w:val="center"/>
              <w:tabs>
                <w:tab w:val="left" w:pos="2520" w:leader="none"/>
              </w:tabs>
              <w:rPr>
                <w:bCs/>
              </w:rPr>
            </w:pPr>
            <w:r>
              <w:rPr>
                <w:b/>
              </w:rPr>
              <w:t xml:space="preserve">ВИДЫ ОБЪЕКТОВ КАПИТАЛЬНОГО СТРОИТЕЛЬСТВА</w:t>
            </w:r>
            <w:r/>
          </w:p>
        </w:tc>
        <w:tc>
          <w:tcPr>
            <w:tcBorders>
              <w:top w:val="single" w:color="000000" w:sz="4" w:space="0"/>
              <w:left w:val="single" w:color="000000" w:sz="4" w:space="0"/>
              <w:bottom w:val="single" w:color="000000" w:sz="4" w:space="0"/>
              <w:right w:val="single" w:color="000000" w:sz="4" w:space="0"/>
            </w:tcBorders>
            <w:tcW w:w="8027" w:type="dxa"/>
            <w:vAlign w:val="center"/>
            <w:textDirection w:val="lrTb"/>
            <w:noWrap/>
          </w:tcPr>
          <w:p>
            <w:pPr>
              <w:ind w:firstLine="567"/>
              <w:jc w:val="center"/>
              <w:tabs>
                <w:tab w:val="left" w:pos="2520" w:leader="none"/>
              </w:tabs>
              <w:rPr>
                <w:bCs/>
              </w:rPr>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r>
      <w:tr>
        <w:trPr>
          <w:trHeight w:val="23"/>
        </w:trPr>
        <w:tc>
          <w:tcPr>
            <w:tcBorders>
              <w:top w:val="single" w:color="000000" w:sz="4" w:space="0"/>
              <w:left w:val="single" w:color="000000" w:sz="4" w:space="0"/>
              <w:bottom w:val="single" w:color="000000" w:sz="4" w:space="0"/>
              <w:right w:val="none" w:color="000000" w:sz="4" w:space="0"/>
            </w:tcBorders>
            <w:tcW w:w="3141" w:type="dxa"/>
            <w:vAlign w:val="center"/>
            <w:textDirection w:val="lrTb"/>
            <w:noWrap/>
          </w:tcPr>
          <w:p>
            <w:pPr>
              <w:ind w:firstLine="567"/>
              <w:jc w:val="both"/>
              <w:tabs>
                <w:tab w:val="left" w:pos="2520" w:leader="none"/>
              </w:tabs>
              <w:rPr>
                <w:rFonts w:eastAsia="SimSun"/>
                <w:lang w:eastAsia="zh-CN" w:bidi="ru-RU"/>
              </w:rPr>
            </w:pPr>
            <w:r>
              <w:rPr>
                <w:rFonts w:eastAsia="SimSun"/>
                <w:lang w:val="en-US" w:eastAsia="zh-CN" w:bidi="ru-RU"/>
              </w:rPr>
              <w:t xml:space="preserve">[</w:t>
            </w:r>
            <w:r>
              <w:rPr>
                <w:rFonts w:eastAsia="SimSun"/>
                <w:lang w:eastAsia="zh-CN" w:bidi="ru-RU"/>
              </w:rPr>
              <w:t xml:space="preserve">6.8</w:t>
            </w:r>
            <w:r>
              <w:rPr>
                <w:rFonts w:eastAsia="SimSun"/>
                <w:lang w:val="en-US" w:eastAsia="zh-CN" w:bidi="ru-RU"/>
              </w:rPr>
              <w:t xml:space="preserve">] </w:t>
            </w:r>
            <w:r>
              <w:rPr>
                <w:rFonts w:eastAsia="SimSun"/>
                <w:lang w:eastAsia="zh-CN" w:bidi="ru-RU"/>
              </w:rPr>
              <w:t xml:space="preserve">Связь</w:t>
            </w:r>
            <w:r/>
          </w:p>
        </w:tc>
        <w:tc>
          <w:tcPr>
            <w:tcBorders>
              <w:top w:val="single" w:color="000000" w:sz="4" w:space="0"/>
              <w:left w:val="single" w:color="000000" w:sz="4" w:space="0"/>
              <w:bottom w:val="single" w:color="000000" w:sz="4" w:space="0"/>
              <w:right w:val="none" w:color="000000" w:sz="4" w:space="0"/>
            </w:tcBorders>
            <w:tcW w:w="4010" w:type="dxa"/>
            <w:vAlign w:val="center"/>
            <w:textDirection w:val="lrTb"/>
            <w:noWrap/>
          </w:tcPr>
          <w:p>
            <w:pPr>
              <w:ind w:left="120" w:right="185"/>
              <w:jc w:val="both"/>
              <w:tabs>
                <w:tab w:val="left" w:pos="2520" w:leader="none"/>
              </w:tabs>
            </w:pPr>
            <w:r>
              <w:t xml:space="preserve">Размещение объектов связи, радиовещания, телевидения, включая воздушные радиорелейные, надземные и подземные кабельные линии связи, линии рад</w:t>
            </w:r>
            <w:r>
              <w:t xml:space="preserve">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r/>
          </w:p>
        </w:tc>
        <w:tc>
          <w:tcPr>
            <w:tcBorders>
              <w:top w:val="single" w:color="000000" w:sz="4" w:space="0"/>
              <w:left w:val="single" w:color="000000" w:sz="4" w:space="0"/>
              <w:bottom w:val="single" w:color="000000" w:sz="4" w:space="0"/>
              <w:right w:val="single" w:color="000000" w:sz="4" w:space="0"/>
            </w:tcBorders>
            <w:tcW w:w="8027" w:type="dxa"/>
            <w:vAlign w:val="center"/>
            <w:textDirection w:val="lrTb"/>
            <w:noWrap/>
          </w:tcPr>
          <w:p>
            <w:pPr>
              <w:ind w:firstLine="567"/>
              <w:jc w:val="center"/>
              <w:tabs>
                <w:tab w:val="left" w:pos="2520" w:leader="none"/>
              </w:tabs>
              <w:rPr>
                <w:rFonts w:eastAsia="SimSun"/>
                <w:bCs/>
                <w:lang w:eastAsia="zh-CN" w:bidi="ru-RU"/>
              </w:rPr>
            </w:pPr>
            <w:r>
              <w:rPr>
                <w:rFonts w:eastAsia="SimSun"/>
                <w:lang w:eastAsia="zh-CN" w:bidi="ru-RU"/>
              </w:rPr>
              <w:t xml:space="preserve">Не подлежат установлению</w:t>
            </w:r>
            <w:r/>
          </w:p>
        </w:tc>
      </w:tr>
    </w:tbl>
    <w:p>
      <w:pPr>
        <w:ind w:firstLine="567"/>
        <w:jc w:val="both"/>
        <w:tabs>
          <w:tab w:val="left" w:pos="2520" w:leader="none"/>
        </w:tabs>
      </w:pPr>
      <w:r/>
      <w:r/>
    </w:p>
    <w:p>
      <w:pPr>
        <w:ind w:firstLine="567"/>
        <w:jc w:val="center"/>
        <w:tabs>
          <w:tab w:val="left" w:pos="2520" w:leader="none"/>
        </w:tabs>
      </w:pPr>
      <w:r/>
      <w:r/>
    </w:p>
    <w:p>
      <w:pPr>
        <w:ind w:firstLine="567"/>
        <w:jc w:val="center"/>
        <w:tabs>
          <w:tab w:val="left" w:pos="2520" w:leader="none"/>
        </w:tabs>
      </w:pPr>
      <w:r>
        <w:rPr>
          <w:b/>
          <w:color w:val="000000"/>
        </w:rPr>
        <w:t xml:space="preserve">ВСПОМОГАТЕЛЬНЫЕ ВИДЫ И ПАРАМЕТРЫ РАЗРЕШЕННОГО ИСПОЛЬЗОВАНИЯ ЗЕМЕЛЬНЫХ УЧАСТКОВ И ОБЪЕКТОВ КАПИТАЛЬНОГО СТРОИТЕЛЬСТВА</w:t>
      </w:r>
      <w:r/>
    </w:p>
    <w:p>
      <w:pPr>
        <w:ind w:firstLine="567"/>
        <w:jc w:val="center"/>
        <w:tabs>
          <w:tab w:val="left" w:pos="2520" w:leader="none"/>
        </w:tabs>
      </w:pPr>
      <w:r/>
      <w:r/>
    </w:p>
    <w:p>
      <w:pPr>
        <w:ind w:firstLine="567"/>
        <w:jc w:val="both"/>
      </w:pPr>
      <w:r>
        <w:rPr>
          <w:sz w:val="24"/>
          <w:szCs w:val="24"/>
          <w:lang w:eastAsia="ru-RU" w:bidi="ru-RU"/>
        </w:rPr>
        <w:t xml:space="preserve">Вспомогательные</w:t>
      </w:r>
      <w:r>
        <w:rPr>
          <w:sz w:val="24"/>
          <w:szCs w:val="24"/>
          <w:lang w:eastAsia="ru-RU" w:bidi="ru-RU"/>
        </w:rPr>
        <w:t xml:space="preserve"> </w:t>
      </w:r>
      <w:r>
        <w:rPr>
          <w:sz w:val="24"/>
          <w:szCs w:val="24"/>
          <w:lang w:eastAsia="ru-RU" w:bidi="ru-RU"/>
        </w:rPr>
        <w:t xml:space="preserve">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Pr>
          <w:rFonts w:eastAsia="SimSun"/>
          <w:sz w:val="24"/>
          <w:szCs w:val="24"/>
          <w:lang w:eastAsia="zh-CN" w:bidi="ru-RU"/>
        </w:rPr>
        <w:t xml:space="preserve"> Предельные (мин</w:t>
      </w:r>
      <w:r>
        <w:rPr>
          <w:rFonts w:eastAsia="SimSun"/>
          <w:sz w:val="24"/>
          <w:szCs w:val="24"/>
          <w:lang w:eastAsia="zh-CN" w:bidi="ru-RU"/>
        </w:rPr>
        <w:t xml:space="preserve">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r/>
    </w:p>
    <w:p>
      <w:pPr>
        <w:ind w:firstLine="567"/>
        <w:jc w:val="both"/>
        <w:tabs>
          <w:tab w:val="left" w:pos="2520" w:leader="none"/>
        </w:tabs>
      </w:pPr>
      <w:r/>
      <w:r/>
    </w:p>
    <w:p>
      <w:pPr>
        <w:ind w:firstLine="567"/>
        <w:jc w:val="center"/>
        <w:tabs>
          <w:tab w:val="left" w:pos="2520" w:leader="none"/>
        </w:tabs>
      </w:pPr>
      <w:r/>
      <w:r/>
    </w:p>
    <w:tbl>
      <w:tblPr>
        <w:tblW w:w="0" w:type="auto"/>
        <w:tblLayout w:type="fixed"/>
        <w:tblCellMar>
          <w:left w:w="10" w:type="dxa"/>
          <w:right w:w="10" w:type="dxa"/>
        </w:tblCellMar>
        <w:tblLook w:val="04A0" w:firstRow="1" w:lastRow="0" w:firstColumn="1" w:lastColumn="0" w:noHBand="0" w:noVBand="1"/>
      </w:tblPr>
      <w:tblGrid>
        <w:gridCol w:w="4565"/>
        <w:gridCol w:w="5387"/>
        <w:gridCol w:w="5226"/>
      </w:tblGrid>
      <w:tr>
        <w:trPr>
          <w:trHeight w:val="552"/>
        </w:trPr>
        <w:tc>
          <w:tcPr>
            <w:tcBorders>
              <w:top w:val="single" w:color="000000" w:sz="4" w:space="0"/>
              <w:left w:val="single" w:color="000000" w:sz="4" w:space="0"/>
              <w:bottom w:val="single" w:color="000000" w:sz="4" w:space="0"/>
              <w:right w:val="single" w:color="000000" w:sz="4" w:space="0"/>
            </w:tcBorders>
            <w:tcW w:w="4565" w:type="dxa"/>
            <w:vAlign w:val="center"/>
            <w:textDirection w:val="lrTb"/>
            <w:noWrap/>
          </w:tcPr>
          <w:p>
            <w:pPr>
              <w:ind w:firstLine="567"/>
              <w:jc w:val="center"/>
              <w:tabs>
                <w:tab w:val="left" w:pos="2520" w:leader="none"/>
              </w:tabs>
              <w:rPr>
                <w:bCs/>
              </w:rPr>
            </w:pPr>
            <w:r>
              <w:rPr>
                <w:b/>
              </w:rPr>
              <w:t xml:space="preserve">ВИДЫ ВСПОМОГАТЕЛЬНЫХ ОБЪЕКТОВ КАПИТАЛЬНОГО</w:t>
            </w:r>
            <w:r>
              <w:rPr>
                <w:b/>
              </w:rPr>
              <w:br/>
              <w:t xml:space="preserve"> СТРОИТЕЛЬСТВА</w:t>
            </w:r>
            <w:r/>
          </w:p>
        </w:tc>
        <w:tc>
          <w:tcPr>
            <w:tcBorders>
              <w:top w:val="single" w:color="000000" w:sz="4" w:space="0"/>
              <w:left w:val="single" w:color="000000" w:sz="4" w:space="0"/>
              <w:bottom w:val="single" w:color="000000" w:sz="4" w:space="0"/>
              <w:right w:val="single" w:color="000000" w:sz="4" w:space="0"/>
            </w:tcBorders>
            <w:tcW w:w="5387" w:type="dxa"/>
            <w:vAlign w:val="center"/>
            <w:textDirection w:val="lrTb"/>
            <w:noWrap/>
          </w:tcPr>
          <w:p>
            <w:pPr>
              <w:ind w:firstLine="567"/>
              <w:jc w:val="center"/>
              <w:tabs>
                <w:tab w:val="left" w:pos="2520" w:leader="none"/>
              </w:tabs>
              <w:rPr>
                <w:bCs/>
              </w:rPr>
            </w:pPr>
            <w:r>
              <w:rPr>
                <w:rFonts w:eastAsia="SimSun"/>
                <w:b/>
                <w:lang w:eastAsia="zh-CN" w:bidi="ru-RU"/>
              </w:rPr>
              <w:t xml:space="preserve">ПРЕДЕЛЬНЫЕ (МИНИМАЛЬНЫЕ И (ИЛИ) МАКСИМАЛЬНЫЕ РАЗМЕРЫ ЗЕМЕЛЬНЫХ УЧАСТКОВ И ПЕРЕДЕЛЬНЫЕ</w:t>
            </w:r>
            <w:r>
              <w:rPr>
                <w:b/>
              </w:rPr>
              <w:t xml:space="preserve">ПАРАМЕТРЫ РАЗРЕШЕННОГО ИСПОЛЬЗОВАНИЯ ЗЕМЕЛЬНЫХ УЧАСТКОВ И ОБЪЕКТОВ КАПИТАЛЬНОГО СТРОИТЕЛЬСТВА</w:t>
            </w:r>
            <w:r/>
          </w:p>
        </w:tc>
        <w:tc>
          <w:tcPr>
            <w:tcBorders>
              <w:top w:val="single" w:color="000000" w:sz="4" w:space="0"/>
              <w:left w:val="single" w:color="000000" w:sz="4" w:space="0"/>
              <w:bottom w:val="single" w:color="000000" w:sz="4" w:space="0"/>
              <w:right w:val="single" w:color="000000" w:sz="4" w:space="0"/>
            </w:tcBorders>
            <w:tcW w:w="5226" w:type="dxa"/>
            <w:vAlign w:val="center"/>
            <w:textDirection w:val="lrTb"/>
            <w:noWrap/>
          </w:tcPr>
          <w:p>
            <w:pPr>
              <w:ind w:firstLine="567"/>
              <w:jc w:val="center"/>
              <w:rPr>
                <w:bCs/>
              </w:rPr>
            </w:pPr>
            <w:r>
              <w:rPr>
                <w:b/>
              </w:rPr>
              <w:t xml:space="preserve">ОСОБЫЕ УСЛОВИЯ РЕАЛИЗАЦИИ РЕГЛАМЕНТА</w:t>
            </w:r>
            <w:r/>
          </w:p>
        </w:tc>
      </w:tr>
      <w:tr>
        <w:trPr>
          <w:trHeight w:val="23"/>
        </w:trPr>
        <w:tc>
          <w:tcPr>
            <w:gridSpan w:val="3"/>
            <w:tcBorders>
              <w:top w:val="single" w:color="000000" w:sz="4" w:space="0"/>
              <w:left w:val="single" w:color="000000" w:sz="4" w:space="0"/>
              <w:bottom w:val="single" w:color="000000" w:sz="4" w:space="0"/>
              <w:right w:val="single" w:color="000000" w:sz="4" w:space="0"/>
            </w:tcBorders>
            <w:tcW w:w="15178" w:type="dxa"/>
            <w:textDirection w:val="lrTb"/>
            <w:noWrap/>
          </w:tcPr>
          <w:p>
            <w:pPr>
              <w:ind w:right="142" w:firstLine="567"/>
              <w:jc w:val="center"/>
            </w:pPr>
            <w:r>
              <w:rPr>
                <w:rFonts w:eastAsia="Calibri"/>
              </w:rPr>
              <w:t xml:space="preserve">Вспомогательные виды и их параметры определяются материалами проектной документации.</w:t>
            </w:r>
            <w:r/>
          </w:p>
        </w:tc>
      </w:tr>
    </w:tbl>
    <w:p>
      <w:pPr>
        <w:rPr>
          <w:rFonts w:eastAsia="SimSun"/>
          <w:bCs/>
          <w:caps/>
          <w:strike/>
          <w:color w:val="000000"/>
          <w:u w:val="single"/>
        </w:rPr>
      </w:pPr>
      <w:r>
        <w:rPr>
          <w:rFonts w:eastAsia="SimSun"/>
          <w:bCs/>
          <w:caps/>
          <w:strike/>
          <w:color w:val="000000"/>
          <w:u w:val="single"/>
        </w:rPr>
      </w:r>
      <w:r/>
    </w:p>
    <w:p>
      <w:pPr>
        <w:pStyle w:val="901"/>
        <w:ind w:firstLine="567"/>
        <w:spacing w:after="0" w:line="240" w:lineRule="auto"/>
        <w:rPr>
          <w:rFonts w:ascii="Times New Roman" w:hAnsi="Times New Roman"/>
          <w:sz w:val="24"/>
          <w:szCs w:val="24"/>
        </w:rPr>
      </w:pPr>
      <w:r>
        <w:rPr>
          <w:rFonts w:ascii="Times New Roman" w:hAnsi="Times New Roman"/>
          <w:sz w:val="24"/>
          <w:szCs w:val="24"/>
        </w:rPr>
        <w:t xml:space="preserve">Глава 9. Зоны с особыми условиями использования территорий</w:t>
      </w:r>
      <w:r/>
    </w:p>
    <w:p>
      <w:pPr>
        <w:pStyle w:val="903"/>
        <w:ind w:firstLine="567"/>
        <w:jc w:val="center"/>
        <w:spacing w:before="0"/>
        <w:rPr>
          <w:rFonts w:ascii="Times New Roman" w:hAnsi="Times New Roman" w:cs="Times New Roman"/>
          <w:b/>
        </w:rPr>
      </w:pPr>
      <w:r>
        <w:rPr>
          <w:rFonts w:ascii="Times New Roman" w:hAnsi="Times New Roman" w:cs="Times New Roman"/>
          <w:b/>
          <w:color w:val="auto"/>
        </w:rPr>
        <w:t xml:space="preserve">Статья 38. Общие положения</w:t>
      </w:r>
      <w:r/>
    </w:p>
    <w:p>
      <w:pPr>
        <w:ind w:firstLine="567"/>
        <w:rPr>
          <w:b/>
          <w:sz w:val="24"/>
          <w:szCs w:val="24"/>
        </w:rPr>
      </w:pPr>
      <w:r>
        <w:rPr>
          <w:b/>
          <w:sz w:val="24"/>
          <w:szCs w:val="24"/>
        </w:rPr>
      </w:r>
      <w:r/>
    </w:p>
    <w:p>
      <w:pPr>
        <w:ind w:firstLine="567"/>
        <w:jc w:val="both"/>
        <w:rPr>
          <w:sz w:val="24"/>
          <w:szCs w:val="24"/>
        </w:rPr>
      </w:pPr>
      <w:r>
        <w:rPr>
          <w:sz w:val="24"/>
          <w:szCs w:val="24"/>
        </w:rPr>
        <w:t xml:space="preserve">1) В соответствии с Земельным кодексом Российской Федерации в границах зон с особыми условиями использования территории устанавливаются ограничения использования земельны</w:t>
      </w:r>
      <w:r>
        <w:rPr>
          <w:sz w:val="24"/>
          <w:szCs w:val="24"/>
        </w:rPr>
        <w:t xml:space="preserve">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w:t>
      </w:r>
      <w:r>
        <w:rPr>
          <w:sz w:val="24"/>
          <w:szCs w:val="24"/>
        </w:rPr>
        <w:t xml:space="preserve">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r/>
    </w:p>
    <w:p>
      <w:pPr>
        <w:ind w:firstLine="567"/>
        <w:jc w:val="both"/>
        <w:rPr>
          <w:sz w:val="24"/>
          <w:szCs w:val="24"/>
        </w:rPr>
      </w:pPr>
      <w:r>
        <w:rPr>
          <w:sz w:val="24"/>
          <w:szCs w:val="24"/>
        </w:rPr>
        <w:t xml:space="preserve">          2) Полный перечень видов зон с особыми условиями территории, которые могут быть установлены, приведен в статье 105 Земельного кодекса Российской Федерации.</w:t>
      </w:r>
      <w:r/>
    </w:p>
    <w:p>
      <w:pPr>
        <w:ind w:firstLine="567"/>
        <w:jc w:val="both"/>
        <w:rPr>
          <w:sz w:val="24"/>
          <w:szCs w:val="24"/>
        </w:rPr>
      </w:pPr>
      <w:r>
        <w:rPr>
          <w:sz w:val="24"/>
          <w:szCs w:val="24"/>
        </w:rPr>
        <w:t xml:space="preserve">          3) В соотве</w:t>
      </w:r>
      <w:r>
        <w:rPr>
          <w:sz w:val="24"/>
          <w:szCs w:val="24"/>
        </w:rPr>
        <w:t xml:space="preserve">тствии с федеральным законодательством ограничения использования земельных участков и объектов капитального строительства действуют только в границах тех зон с особыми условиями использования территории, размеры и (или) границы которых официально установле</w:t>
      </w:r>
      <w:r>
        <w:rPr>
          <w:sz w:val="24"/>
          <w:szCs w:val="24"/>
        </w:rPr>
        <w:t xml:space="preserve">ны в соответствии с требованиями федерального законодательства. Органы местного самоуправления поселений не могут устанавливать размеры и (или) границы зон с особыми условиями использования территории, право установления, которых не входит в их полномочия.</w:t>
      </w:r>
      <w:r/>
    </w:p>
    <w:p>
      <w:pPr>
        <w:ind w:firstLine="567"/>
        <w:jc w:val="both"/>
        <w:rPr>
          <w:sz w:val="24"/>
          <w:szCs w:val="24"/>
        </w:rPr>
      </w:pPr>
      <w:r>
        <w:rPr>
          <w:sz w:val="24"/>
          <w:szCs w:val="24"/>
        </w:rPr>
        <w:t xml:space="preserve">         В соответствии с этим в рамках настоящих Правил зоны с особыми условиями использования территории подразделяются на три вида:</w:t>
      </w:r>
      <w:r/>
    </w:p>
    <w:p>
      <w:pPr>
        <w:ind w:firstLine="567"/>
        <w:jc w:val="both"/>
        <w:rPr>
          <w:sz w:val="24"/>
          <w:szCs w:val="24"/>
        </w:rPr>
      </w:pPr>
      <w:r>
        <w:rPr>
          <w:sz w:val="24"/>
          <w:szCs w:val="24"/>
        </w:rPr>
        <w:t xml:space="preserve">- установленные - зоны, границы которых установлены и утверждены в соответствии с законодательством Российской Федерации;</w:t>
      </w:r>
      <w:r/>
    </w:p>
    <w:p>
      <w:pPr>
        <w:ind w:firstLine="567"/>
        <w:jc w:val="both"/>
        <w:rPr>
          <w:sz w:val="24"/>
          <w:szCs w:val="24"/>
        </w:rPr>
      </w:pPr>
      <w:r>
        <w:rPr>
          <w:sz w:val="24"/>
          <w:szCs w:val="24"/>
        </w:rPr>
        <w:t xml:space="preserve">- ориентировочные - зоны, границы которых не установлены и не утверждены в соответствии с законодательством Российской Федерации, которые в соот</w:t>
      </w:r>
      <w:r>
        <w:rPr>
          <w:sz w:val="24"/>
          <w:szCs w:val="24"/>
        </w:rPr>
        <w:t xml:space="preserve">ветствии с законодательством должны устанавливаться, но не имеют фиксированных размеров и однозначных правил (критериев) установления границ; для таких зон на законодательном уровне установлены только ориентировочные размеры, которые в случае установления </w:t>
      </w:r>
      <w:r>
        <w:rPr>
          <w:sz w:val="24"/>
          <w:szCs w:val="24"/>
        </w:rPr>
        <w:t xml:space="preserve">границ таких зон должны уточняться путем проведения расчетов и (или) натурных измерений степени воздействия на окружающую среду.</w:t>
      </w:r>
      <w:r/>
    </w:p>
    <w:p>
      <w:pPr>
        <w:ind w:firstLine="567"/>
        <w:jc w:val="both"/>
        <w:rPr>
          <w:sz w:val="24"/>
          <w:szCs w:val="24"/>
        </w:rPr>
      </w:pPr>
      <w:r>
        <w:rPr>
          <w:sz w:val="24"/>
          <w:szCs w:val="24"/>
        </w:rPr>
        <w:t xml:space="preserve">        4) На карте градостроительного зонирования в обязательном порядке отображаются только границы установленных зон с особыми условиями использования территории.</w:t>
      </w:r>
      <w:r/>
    </w:p>
    <w:p>
      <w:pPr>
        <w:ind w:firstLine="567"/>
        <w:jc w:val="both"/>
        <w:rPr>
          <w:sz w:val="24"/>
          <w:szCs w:val="24"/>
        </w:rPr>
      </w:pPr>
      <w:r>
        <w:rPr>
          <w:sz w:val="24"/>
          <w:szCs w:val="24"/>
        </w:rPr>
        <w:t xml:space="preserve">К таким зонам относятся охранные зоны и зоны минимальных расстояний линейных объектов (линий электропередачи, трубопроводов, линий связи), придорожные полосы автомобильных дорог, водоохраные зоны и прибрежные защитные полосы</w:t>
      </w:r>
      <w:r>
        <w:rPr>
          <w:sz w:val="24"/>
          <w:szCs w:val="24"/>
        </w:rPr>
        <w:t xml:space="preserve"> поверхностных водных объектов. В случае отображения границ таких зон на карте градостроительного зонирования, эти границы отображаются особыми условными знаками, отличающими их от официально установленных (утвержденных) зон с особыми условиями территории.</w:t>
      </w:r>
      <w:r/>
    </w:p>
    <w:p>
      <w:pPr>
        <w:ind w:firstLine="567"/>
        <w:jc w:val="both"/>
        <w:rPr>
          <w:sz w:val="24"/>
          <w:szCs w:val="24"/>
        </w:rPr>
      </w:pPr>
      <w:r>
        <w:rPr>
          <w:sz w:val="24"/>
          <w:szCs w:val="24"/>
        </w:rPr>
        <w:t xml:space="preserve">Отображение границ таких зон на карте градостроительного зонирования и ограничения использования земельных участков и объект</w:t>
      </w:r>
      <w:r>
        <w:rPr>
          <w:sz w:val="24"/>
          <w:szCs w:val="24"/>
        </w:rPr>
        <w:t xml:space="preserve">ов капитального строительства в границах этих зон носят информационно-справочный характер и рассматриваются как границы и ограничения, планируемые к установлению в соответствии с федеральными законами. Правообладатели земельных участков и объектов капиталь</w:t>
      </w:r>
      <w:r>
        <w:rPr>
          <w:sz w:val="24"/>
          <w:szCs w:val="24"/>
        </w:rPr>
        <w:t xml:space="preserve">ного строительства, полностью или частично расположенных в ориентировочных границах зон с особыми условиями территории, имеют право в судебном порядке оспорить ограничения использования земельных участков и объектов капитального строительства в этих зонах.</w:t>
      </w:r>
      <w:r/>
    </w:p>
    <w:p>
      <w:pPr>
        <w:ind w:firstLine="567"/>
        <w:jc w:val="both"/>
        <w:rPr>
          <w:sz w:val="24"/>
          <w:szCs w:val="24"/>
        </w:rPr>
      </w:pPr>
      <w:r>
        <w:rPr>
          <w:sz w:val="24"/>
          <w:szCs w:val="24"/>
        </w:rPr>
        <w:t xml:space="preserve">       6) Границы ориентировочных зон с особыми условия</w:t>
      </w:r>
      <w:r>
        <w:rPr>
          <w:sz w:val="24"/>
          <w:szCs w:val="24"/>
        </w:rPr>
        <w:t xml:space="preserve">ми использования территории на карте градостроительного зонирования не отображаются, поскольку они имеют чисто ориентировочный характер и не имеют юридической силы в части ограничения использования земельных участков и объектов капитального строительства. </w:t>
      </w:r>
      <w:r/>
    </w:p>
    <w:p>
      <w:pPr>
        <w:ind w:firstLine="567"/>
        <w:jc w:val="both"/>
        <w:rPr>
          <w:sz w:val="24"/>
          <w:szCs w:val="24"/>
        </w:rPr>
      </w:pPr>
      <w:r>
        <w:rPr>
          <w:sz w:val="24"/>
          <w:szCs w:val="24"/>
        </w:rPr>
        <w:t xml:space="preserve">В соответствии с судебной практикой Российской Федерации, в случае отображения ориентировочных границ зон с особыми условиями использования территории на карте градостроительного зониро</w:t>
      </w:r>
      <w:r>
        <w:rPr>
          <w:sz w:val="24"/>
          <w:szCs w:val="24"/>
        </w:rPr>
        <w:t xml:space="preserve">вания, правила землепользования и застройки могут быть в судебном порядке признаны не действующими в части ограничений использования земельных участков и объектов капитального строительства в границах таких зон с особыми условиями использования территории.</w:t>
      </w:r>
      <w:r/>
    </w:p>
    <w:p>
      <w:pPr>
        <w:ind w:firstLine="567"/>
        <w:jc w:val="both"/>
        <w:rPr>
          <w:sz w:val="24"/>
          <w:szCs w:val="24"/>
        </w:rPr>
      </w:pPr>
      <w:r>
        <w:rPr>
          <w:sz w:val="24"/>
          <w:szCs w:val="24"/>
        </w:rPr>
        <w:t xml:space="preserve">К ориентировочным зонам относятся не</w:t>
      </w:r>
      <w:r>
        <w:rPr>
          <w:sz w:val="24"/>
          <w:szCs w:val="24"/>
        </w:rPr>
        <w:t xml:space="preserve"> установленные в соответствии с требованиями федерального законодательства санитарно-защитные зоны предприятий, сооружений и иных объектов, зоны второго и третьего поясов санитарной охраны источников водоснабжения, зоны затопления и подтопления, зоны огран</w:t>
      </w:r>
      <w:r>
        <w:rPr>
          <w:sz w:val="24"/>
          <w:szCs w:val="24"/>
        </w:rPr>
        <w:t xml:space="preserve">ичений передающего радиотехнического объекта, иные виды зон и подзон с особыми условиями территории, для которых в соответствии с федеральным законодательством размеры зон должны определяться на основании расчетов и (или) натурных исследований (измерений).</w:t>
      </w:r>
      <w:r/>
    </w:p>
    <w:p>
      <w:pPr>
        <w:ind w:firstLine="567"/>
        <w:jc w:val="both"/>
        <w:rPr>
          <w:sz w:val="24"/>
          <w:szCs w:val="24"/>
        </w:rPr>
      </w:pPr>
      <w:r>
        <w:rPr>
          <w:sz w:val="24"/>
          <w:szCs w:val="24"/>
        </w:rPr>
        <w:t xml:space="preserve">      7) На территории сельского поселения им. Максима Горького установлены или подлежат установлению следующие виды зон с особыми условиями использования территории:</w:t>
      </w:r>
      <w:r/>
    </w:p>
    <w:p>
      <w:pPr>
        <w:ind w:firstLine="567"/>
        <w:jc w:val="both"/>
        <w:rPr>
          <w:sz w:val="24"/>
          <w:szCs w:val="24"/>
        </w:rPr>
      </w:pPr>
      <w:r>
        <w:rPr>
          <w:sz w:val="24"/>
          <w:szCs w:val="24"/>
        </w:rPr>
        <w:t xml:space="preserve">- зоны санитарной охраны источников водоснабжения;</w:t>
      </w:r>
      <w:r/>
    </w:p>
    <w:p>
      <w:pPr>
        <w:ind w:firstLine="567"/>
        <w:jc w:val="both"/>
        <w:rPr>
          <w:sz w:val="24"/>
          <w:szCs w:val="24"/>
        </w:rPr>
      </w:pPr>
      <w:r>
        <w:rPr>
          <w:sz w:val="24"/>
          <w:szCs w:val="24"/>
        </w:rPr>
        <w:t xml:space="preserve">- зона подтопления и затопления;</w:t>
      </w:r>
      <w:r/>
    </w:p>
    <w:p>
      <w:pPr>
        <w:ind w:firstLine="567"/>
        <w:jc w:val="both"/>
        <w:rPr>
          <w:sz w:val="24"/>
          <w:szCs w:val="24"/>
        </w:rPr>
      </w:pPr>
      <w:r>
        <w:rPr>
          <w:sz w:val="24"/>
          <w:szCs w:val="24"/>
        </w:rPr>
        <w:t xml:space="preserve">-водоохранные зоны, прибрежные защитные полосы поверхностных водных объектов;</w:t>
      </w:r>
      <w:r/>
    </w:p>
    <w:p>
      <w:pPr>
        <w:ind w:firstLine="567"/>
        <w:jc w:val="both"/>
        <w:rPr>
          <w:sz w:val="24"/>
          <w:szCs w:val="24"/>
        </w:rPr>
      </w:pPr>
      <w:r>
        <w:rPr>
          <w:sz w:val="24"/>
          <w:szCs w:val="24"/>
        </w:rPr>
        <w:t xml:space="preserve">- охранные зоны объектов электросетевого хозяйства;</w:t>
      </w:r>
      <w:r/>
    </w:p>
    <w:p>
      <w:pPr>
        <w:ind w:firstLine="567"/>
        <w:jc w:val="both"/>
        <w:rPr>
          <w:sz w:val="24"/>
          <w:szCs w:val="24"/>
        </w:rPr>
      </w:pPr>
      <w:r>
        <w:rPr>
          <w:sz w:val="24"/>
          <w:szCs w:val="24"/>
        </w:rPr>
        <w:t xml:space="preserve">- охранная зона линий и сооружений связи;</w:t>
      </w:r>
      <w:r/>
    </w:p>
    <w:p>
      <w:pPr>
        <w:ind w:firstLine="567"/>
        <w:jc w:val="both"/>
        <w:rPr>
          <w:sz w:val="24"/>
          <w:szCs w:val="24"/>
        </w:rPr>
      </w:pPr>
      <w:r>
        <w:rPr>
          <w:sz w:val="24"/>
          <w:szCs w:val="24"/>
        </w:rPr>
        <w:t xml:space="preserve">- охранные зоны газораспределительных сетей;</w:t>
      </w:r>
      <w:r/>
    </w:p>
    <w:p>
      <w:pPr>
        <w:ind w:firstLine="567"/>
        <w:jc w:val="both"/>
        <w:rPr>
          <w:sz w:val="24"/>
          <w:szCs w:val="24"/>
        </w:rPr>
      </w:pPr>
      <w:r>
        <w:rPr>
          <w:sz w:val="24"/>
          <w:szCs w:val="24"/>
        </w:rPr>
        <w:t xml:space="preserve">- охранная зона нефтепроводов;</w:t>
      </w:r>
      <w:r/>
    </w:p>
    <w:p>
      <w:pPr>
        <w:ind w:firstLine="567"/>
        <w:jc w:val="both"/>
        <w:rPr>
          <w:sz w:val="24"/>
          <w:szCs w:val="24"/>
        </w:rPr>
      </w:pPr>
      <w:r>
        <w:rPr>
          <w:sz w:val="24"/>
          <w:szCs w:val="24"/>
        </w:rPr>
        <w:t xml:space="preserve">- охранная зона тепловых сетей;</w:t>
      </w:r>
      <w:r/>
    </w:p>
    <w:p>
      <w:pPr>
        <w:ind w:firstLine="567"/>
        <w:jc w:val="both"/>
        <w:rPr>
          <w:sz w:val="24"/>
          <w:szCs w:val="24"/>
        </w:rPr>
      </w:pPr>
      <w:r>
        <w:rPr>
          <w:sz w:val="24"/>
          <w:szCs w:val="24"/>
        </w:rPr>
        <w:t xml:space="preserve">-охранная зона канализационных сетей;</w:t>
      </w:r>
      <w:r/>
    </w:p>
    <w:p>
      <w:pPr>
        <w:ind w:firstLine="567"/>
        <w:jc w:val="both"/>
        <w:rPr>
          <w:sz w:val="24"/>
          <w:szCs w:val="24"/>
        </w:rPr>
      </w:pPr>
      <w:r>
        <w:rPr>
          <w:sz w:val="24"/>
          <w:szCs w:val="24"/>
        </w:rPr>
        <w:t xml:space="preserve">-санитарно-защитная полоса водоводов;</w:t>
      </w:r>
      <w:r/>
    </w:p>
    <w:p>
      <w:pPr>
        <w:ind w:firstLine="567"/>
        <w:jc w:val="both"/>
        <w:rPr>
          <w:sz w:val="24"/>
          <w:szCs w:val="24"/>
        </w:rPr>
      </w:pPr>
      <w:r>
        <w:rPr>
          <w:sz w:val="24"/>
          <w:szCs w:val="24"/>
        </w:rPr>
        <w:t xml:space="preserve">- придорожная полоса;</w:t>
      </w:r>
      <w:r/>
    </w:p>
    <w:p>
      <w:pPr>
        <w:ind w:firstLine="567"/>
        <w:jc w:val="both"/>
        <w:rPr>
          <w:sz w:val="24"/>
          <w:szCs w:val="24"/>
        </w:rPr>
      </w:pPr>
      <w:r>
        <w:rPr>
          <w:sz w:val="24"/>
          <w:szCs w:val="24"/>
        </w:rPr>
        <w:t xml:space="preserve">- санитарный разрыв линий железнодорожного транспорта;</w:t>
      </w:r>
      <w:r/>
    </w:p>
    <w:p>
      <w:pPr>
        <w:ind w:firstLine="567"/>
        <w:jc w:val="both"/>
        <w:rPr>
          <w:sz w:val="24"/>
          <w:szCs w:val="24"/>
        </w:rPr>
      </w:pPr>
      <w:r>
        <w:rPr>
          <w:sz w:val="24"/>
          <w:szCs w:val="24"/>
        </w:rPr>
        <w:t xml:space="preserve">- иная охраняемая зона;</w:t>
      </w:r>
      <w:r/>
    </w:p>
    <w:p>
      <w:pPr>
        <w:ind w:firstLine="567"/>
        <w:jc w:val="both"/>
        <w:rPr>
          <w:sz w:val="24"/>
          <w:szCs w:val="24"/>
        </w:rPr>
      </w:pPr>
      <w:r>
        <w:rPr>
          <w:sz w:val="24"/>
          <w:szCs w:val="24"/>
        </w:rPr>
        <w:t xml:space="preserve">- санитарно-защитные зоны предприятий, сооружений и иных объектов.</w:t>
      </w:r>
      <w:r/>
    </w:p>
    <w:p>
      <w:pPr>
        <w:ind w:firstLine="567"/>
        <w:jc w:val="both"/>
        <w:rPr>
          <w:sz w:val="24"/>
          <w:szCs w:val="24"/>
        </w:rPr>
      </w:pPr>
      <w:r>
        <w:rPr>
          <w:sz w:val="24"/>
          <w:szCs w:val="24"/>
        </w:rPr>
      </w:r>
      <w:r/>
    </w:p>
    <w:p>
      <w:pPr>
        <w:ind w:firstLine="567"/>
        <w:jc w:val="center"/>
        <w:rPr>
          <w:b/>
          <w:sz w:val="24"/>
          <w:szCs w:val="24"/>
        </w:rPr>
      </w:pPr>
      <w:r>
        <w:rPr>
          <w:b/>
          <w:sz w:val="24"/>
          <w:szCs w:val="24"/>
        </w:rPr>
        <w:t xml:space="preserve">Зоны санитарной охраны источников водоснабжения</w:t>
      </w:r>
      <w:r/>
    </w:p>
    <w:p>
      <w:pPr>
        <w:ind w:firstLine="567"/>
        <w:rPr>
          <w:b/>
          <w:sz w:val="24"/>
          <w:szCs w:val="24"/>
        </w:rPr>
      </w:pPr>
      <w:r>
        <w:rPr>
          <w:b/>
          <w:sz w:val="24"/>
          <w:szCs w:val="24"/>
        </w:rPr>
      </w:r>
      <w:r/>
    </w:p>
    <w:p>
      <w:pPr>
        <w:ind w:firstLine="567"/>
        <w:jc w:val="both"/>
        <w:widowControl/>
        <w:rPr>
          <w:rFonts w:eastAsia="Calibri"/>
          <w:sz w:val="24"/>
          <w:szCs w:val="24"/>
          <w:lang w:eastAsia="en-US"/>
        </w:rPr>
      </w:pPr>
      <w:r>
        <w:rPr>
          <w:rFonts w:eastAsia="Calibri"/>
          <w:sz w:val="24"/>
          <w:szCs w:val="24"/>
          <w:lang w:eastAsia="en-US"/>
        </w:rPr>
        <w:t xml:space="preserve">Виды и размеры зон санитарной охраны источников водоснабжения устанавливается в соответствии с СанПиН 2.1.4.1110-02 «Зоны санитарной охраны источников водоснабжения и водопроводов хозяйственно-питьевого назначения».</w:t>
      </w:r>
      <w:r/>
    </w:p>
    <w:p>
      <w:pPr>
        <w:ind w:firstLine="567"/>
        <w:jc w:val="both"/>
        <w:widowControl/>
        <w:rPr>
          <w:rFonts w:eastAsia="Calibri"/>
          <w:sz w:val="24"/>
          <w:szCs w:val="24"/>
          <w:lang w:eastAsia="en-US"/>
        </w:rPr>
      </w:pPr>
      <w:r>
        <w:rPr>
          <w:rFonts w:eastAsia="Calibri"/>
          <w:sz w:val="24"/>
          <w:szCs w:val="24"/>
          <w:lang w:eastAsia="en-US"/>
        </w:rPr>
        <w:t xml:space="preserve">Источники водоснабжения имеют зоны санитарной охраны (далее - ЗСО). Зоны санитарной охраны организуются в составе трех поясов.</w:t>
      </w:r>
      <w:r/>
    </w:p>
    <w:p>
      <w:pPr>
        <w:ind w:firstLine="567"/>
        <w:jc w:val="both"/>
        <w:widowControl/>
        <w:rPr>
          <w:rFonts w:eastAsia="Calibri"/>
          <w:sz w:val="24"/>
          <w:szCs w:val="24"/>
          <w:lang w:eastAsia="en-US"/>
        </w:rPr>
      </w:pPr>
      <w:r>
        <w:rPr>
          <w:rFonts w:eastAsia="Calibri"/>
          <w:sz w:val="24"/>
          <w:szCs w:val="24"/>
          <w:lang w:eastAsia="en-US"/>
        </w:rPr>
        <w:t xml:space="preserve">Первый пояс (строгого режима) включает территорию расположения водозаборов, площадок вс</w:t>
      </w:r>
      <w:r>
        <w:rPr>
          <w:rFonts w:eastAsia="Calibri"/>
          <w:sz w:val="24"/>
          <w:szCs w:val="24"/>
          <w:lang w:eastAsia="en-US"/>
        </w:rPr>
        <w:t xml:space="preserve">ех водопроводных сооружений и водоподводящего канала. Размер первого пояса зоны санитарной охраны подземных источников водоснабжения составляет 30 м при использовании защищенных подземных вод и 50 м при использовании недостаточно защищенных подземных вод. </w:t>
      </w:r>
      <w:r/>
    </w:p>
    <w:p>
      <w:pPr>
        <w:ind w:firstLine="567"/>
        <w:jc w:val="both"/>
        <w:widowControl/>
        <w:rPr>
          <w:rFonts w:eastAsia="Calibri"/>
          <w:sz w:val="24"/>
          <w:szCs w:val="24"/>
          <w:lang w:eastAsia="en-US"/>
        </w:rPr>
      </w:pPr>
      <w:r>
        <w:rPr>
          <w:rFonts w:eastAsia="Calibri"/>
          <w:sz w:val="24"/>
          <w:szCs w:val="24"/>
          <w:lang w:eastAsia="en-US"/>
        </w:rPr>
        <w:t xml:space="preserve">В пределах первого пояса не допускается посадка высокоствольных деревьев, все виды строительства, не имеющие неп</w:t>
      </w:r>
      <w:r>
        <w:rPr>
          <w:rFonts w:eastAsia="Calibri"/>
          <w:sz w:val="24"/>
          <w:szCs w:val="24"/>
          <w:lang w:eastAsia="en-US"/>
        </w:rPr>
        <w:t xml:space="preserve">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 </w:t>
      </w:r>
      <w:r/>
    </w:p>
    <w:p>
      <w:pPr>
        <w:ind w:firstLine="567"/>
        <w:jc w:val="both"/>
        <w:widowControl/>
        <w:rPr>
          <w:rFonts w:eastAsia="Calibri"/>
          <w:sz w:val="24"/>
          <w:szCs w:val="24"/>
          <w:lang w:eastAsia="en-US"/>
        </w:rPr>
      </w:pPr>
      <w:r>
        <w:rPr>
          <w:rFonts w:eastAsia="Calibri"/>
          <w:sz w:val="24"/>
          <w:szCs w:val="24"/>
          <w:lang w:eastAsia="en-US"/>
        </w:rPr>
        <w:t xml:space="preserve">Здания должны быть </w:t>
      </w:r>
      <w:r>
        <w:rPr>
          <w:rFonts w:eastAsia="Calibri"/>
          <w:sz w:val="24"/>
          <w:szCs w:val="24"/>
          <w:lang w:eastAsia="en-US"/>
        </w:rPr>
        <w:t xml:space="preserve">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r/>
    </w:p>
    <w:p>
      <w:pPr>
        <w:ind w:firstLine="567"/>
        <w:jc w:val="both"/>
        <w:widowControl/>
        <w:rPr>
          <w:rFonts w:eastAsia="Calibri"/>
          <w:sz w:val="24"/>
          <w:szCs w:val="24"/>
          <w:lang w:eastAsia="en-US"/>
        </w:rPr>
      </w:pPr>
      <w:r>
        <w:rPr>
          <w:rFonts w:eastAsia="Calibri"/>
          <w:sz w:val="24"/>
          <w:szCs w:val="24"/>
          <w:lang w:eastAsia="en-US"/>
        </w:rPr>
        <w:t xml:space="preserve">Второй и третий пояса (пояса ограничений) включают территорию, предназначенную для предупреждения загрязнения воды источников водоснабжения.</w:t>
      </w:r>
      <w:r/>
    </w:p>
    <w:p>
      <w:pPr>
        <w:ind w:firstLine="567"/>
        <w:jc w:val="both"/>
        <w:widowControl/>
        <w:rPr>
          <w:rFonts w:eastAsia="Calibri"/>
          <w:sz w:val="24"/>
          <w:szCs w:val="24"/>
          <w:lang w:eastAsia="en-US"/>
        </w:rPr>
      </w:pPr>
      <w:r>
        <w:rPr>
          <w:rFonts w:eastAsia="Calibri"/>
          <w:sz w:val="24"/>
          <w:szCs w:val="24"/>
          <w:lang w:eastAsia="en-US"/>
        </w:rPr>
        <w:t xml:space="preserve">Границы второго и третьего поясов зон санитарной охраны подземных источников водоснабжения устанавливают расчетом.</w:t>
      </w:r>
      <w:r/>
    </w:p>
    <w:p>
      <w:pPr>
        <w:ind w:firstLine="567"/>
        <w:jc w:val="both"/>
        <w:widowControl/>
        <w:rPr>
          <w:rFonts w:eastAsia="Calibri"/>
          <w:sz w:val="24"/>
          <w:szCs w:val="24"/>
          <w:lang w:eastAsia="en-US"/>
        </w:rPr>
      </w:pPr>
      <w:r>
        <w:rPr>
          <w:rFonts w:eastAsia="Calibri"/>
          <w:sz w:val="24"/>
          <w:szCs w:val="24"/>
          <w:lang w:eastAsia="en-US"/>
        </w:rPr>
        <w:t xml:space="preserve">В пределах второго и третьего поясов зоны санитарной охраны запрещается: бурение новых скважин и новое строительство, связанное с нарушением почвенного покрова (производится при обязательном соглас</w:t>
      </w:r>
      <w:r>
        <w:rPr>
          <w:rFonts w:eastAsia="Calibri"/>
          <w:sz w:val="24"/>
          <w:szCs w:val="24"/>
          <w:lang w:eastAsia="en-US"/>
        </w:rPr>
        <w:t xml:space="preserve">овании с территориальным отделением Управления Роспотребнадзора); закачка отработанных вод в подземные горизонты и подземное складирование твердых отходов, разработки недр земли; размещение складов горюче-смазочных материалов, ядохимикатов и минеральных уд</w:t>
      </w:r>
      <w:r>
        <w:rPr>
          <w:rFonts w:eastAsia="Calibri"/>
          <w:sz w:val="24"/>
          <w:szCs w:val="24"/>
          <w:lang w:eastAsia="en-US"/>
        </w:rPr>
        <w:t xml:space="preserve">обрений, накопителей промышленных стоков, шламохранилищ и других объектов, обусловливающих опасность химического загрязнения подземных вод. В пределах третьего пояса зоны санитарной охраны размещение таких объектов допускается только при использовании защи</w:t>
      </w:r>
      <w:r>
        <w:rPr>
          <w:rFonts w:eastAsia="Calibri"/>
          <w:sz w:val="24"/>
          <w:szCs w:val="24"/>
          <w:lang w:eastAsia="en-US"/>
        </w:rPr>
        <w:t xml:space="preserve">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органа Роспотребнадзора, выданного с учетом заключения органов геологического контроля.</w:t>
      </w:r>
      <w:r/>
    </w:p>
    <w:p>
      <w:pPr>
        <w:ind w:firstLine="567"/>
        <w:jc w:val="both"/>
        <w:widowControl/>
        <w:rPr>
          <w:rFonts w:eastAsia="Calibri"/>
          <w:sz w:val="24"/>
          <w:szCs w:val="24"/>
          <w:lang w:eastAsia="en-US"/>
        </w:rPr>
      </w:pPr>
      <w:r>
        <w:rPr>
          <w:rFonts w:eastAsia="Calibri"/>
          <w:sz w:val="24"/>
          <w:szCs w:val="24"/>
          <w:lang w:eastAsia="en-US"/>
        </w:rPr>
        <w:t xml:space="preserve">Также в пределах второго пояса запрещается: размещение кладбищ, скотомогильников, полей ассениз</w:t>
      </w:r>
      <w:r>
        <w:rPr>
          <w:rFonts w:eastAsia="Calibri"/>
          <w:sz w:val="24"/>
          <w:szCs w:val="24"/>
          <w:lang w:eastAsia="en-US"/>
        </w:rPr>
        <w:t xml:space="preserve">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 применение удобрений и ядохимикатов; рубка леса главного пользования.</w:t>
      </w:r>
      <w:r/>
    </w:p>
    <w:p>
      <w:pPr>
        <w:jc w:val="both"/>
        <w:widowControl/>
        <w:rPr>
          <w:rFonts w:eastAsia="Calibri"/>
          <w:sz w:val="24"/>
          <w:szCs w:val="24"/>
          <w:lang w:eastAsia="en-US"/>
        </w:rPr>
      </w:pPr>
      <w:r>
        <w:rPr>
          <w:rFonts w:eastAsia="Calibri"/>
          <w:sz w:val="24"/>
          <w:szCs w:val="24"/>
          <w:lang w:eastAsia="en-US"/>
        </w:rPr>
      </w:r>
      <w:r/>
    </w:p>
    <w:p>
      <w:pPr>
        <w:ind w:firstLine="567"/>
        <w:jc w:val="center"/>
        <w:rPr>
          <w:b/>
          <w:sz w:val="24"/>
          <w:szCs w:val="24"/>
        </w:rPr>
      </w:pPr>
      <w:r>
        <w:rPr>
          <w:b/>
          <w:sz w:val="24"/>
          <w:szCs w:val="24"/>
        </w:rPr>
        <w:t xml:space="preserve">Водоохранные зоны, прибрежные защитные полосы поверхностных водных объектов</w:t>
      </w:r>
      <w:r/>
    </w:p>
    <w:p>
      <w:pPr>
        <w:ind w:firstLine="567"/>
        <w:jc w:val="both"/>
        <w:rPr>
          <w:sz w:val="24"/>
          <w:szCs w:val="24"/>
        </w:rPr>
      </w:pPr>
      <w:r>
        <w:rPr>
          <w:sz w:val="24"/>
          <w:szCs w:val="24"/>
        </w:rPr>
        <w:tab/>
      </w:r>
      <w:r/>
    </w:p>
    <w:p>
      <w:pPr>
        <w:contextualSpacing/>
        <w:ind w:firstLine="567"/>
        <w:jc w:val="both"/>
        <w:widowControl/>
        <w:rPr>
          <w:sz w:val="24"/>
          <w:szCs w:val="24"/>
          <w:lang w:eastAsia="ru-RU"/>
        </w:rPr>
      </w:pPr>
      <w:r>
        <w:rPr>
          <w:sz w:val="24"/>
          <w:szCs w:val="24"/>
          <w:lang w:eastAsia="ru-RU"/>
        </w:rPr>
        <w:t xml:space="preserve">В со</w:t>
      </w:r>
      <w:r>
        <w:rPr>
          <w:sz w:val="24"/>
          <w:szCs w:val="24"/>
          <w:lang w:eastAsia="ru-RU"/>
        </w:rPr>
        <w:t xml:space="preserve">ответствии со статьей 65. Водного кодекса Российской Федерации водоохранными зонами являются территории, которые примыкают к береговой линии рек, ручьёв, озёр, водохранилища и на которых устанавливается специальный режим осуществления хозяйственной и иной </w:t>
      </w:r>
      <w:r>
        <w:rPr>
          <w:sz w:val="24"/>
          <w:szCs w:val="24"/>
          <w:lang w:eastAsia="ru-RU"/>
        </w:rPr>
        <w:t xml:space="preserve">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r/>
    </w:p>
    <w:p>
      <w:pPr>
        <w:contextualSpacing/>
        <w:ind w:firstLine="567"/>
        <w:jc w:val="both"/>
        <w:widowControl/>
        <w:rPr>
          <w:sz w:val="24"/>
          <w:szCs w:val="24"/>
          <w:lang w:eastAsia="ru-RU"/>
        </w:rPr>
      </w:pPr>
      <w:r>
        <w:rPr>
          <w:sz w:val="24"/>
          <w:szCs w:val="24"/>
          <w:lang w:eastAsia="ru-RU"/>
        </w:rPr>
        <w:t xml:space="preserve">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r/>
    </w:p>
    <w:p>
      <w:pPr>
        <w:contextualSpacing/>
        <w:ind w:firstLine="567"/>
        <w:jc w:val="both"/>
        <w:widowControl/>
        <w:rPr>
          <w:sz w:val="24"/>
          <w:szCs w:val="24"/>
          <w:lang w:eastAsia="ru-RU"/>
        </w:rPr>
      </w:pPr>
      <w:r>
        <w:rPr>
          <w:sz w:val="24"/>
          <w:szCs w:val="24"/>
          <w:lang w:eastAsia="ru-RU"/>
        </w:rPr>
        <w:t xml:space="preserve">Размеры водоохранных зон и прибрежных защитных полос устанавливаются в соответствии с Водным кодексом Российской Федерации.</w:t>
      </w:r>
      <w:r/>
    </w:p>
    <w:p>
      <w:pPr>
        <w:contextualSpacing/>
        <w:ind w:firstLine="567"/>
        <w:jc w:val="both"/>
        <w:widowControl/>
        <w:rPr>
          <w:sz w:val="24"/>
          <w:szCs w:val="24"/>
          <w:lang w:eastAsia="ru-RU"/>
        </w:rPr>
      </w:pPr>
      <w:r>
        <w:rPr>
          <w:sz w:val="24"/>
          <w:szCs w:val="24"/>
          <w:lang w:eastAsia="ru-RU"/>
        </w:rPr>
        <w:t xml:space="preserve">Ширина водоохранных зон рек, ручьёв и ширина их прибрежной защитной полосы устанавливаются от соответствующей береговой линии. </w:t>
      </w:r>
      <w:r/>
    </w:p>
    <w:p>
      <w:pPr>
        <w:contextualSpacing/>
        <w:ind w:firstLine="567"/>
        <w:jc w:val="both"/>
        <w:widowControl/>
        <w:rPr>
          <w:sz w:val="24"/>
          <w:szCs w:val="24"/>
          <w:lang w:eastAsia="ru-RU"/>
        </w:rPr>
      </w:pPr>
      <w:r>
        <w:rPr>
          <w:sz w:val="24"/>
          <w:szCs w:val="24"/>
          <w:lang w:eastAsia="ru-RU"/>
        </w:rPr>
        <w:t xml:space="preserve">Ширина водоохранной зоны рек или ручьёв устанавливается от их истока для рек или ручьёв протяжённостью:</w:t>
      </w:r>
      <w:r/>
    </w:p>
    <w:p>
      <w:pPr>
        <w:contextualSpacing/>
        <w:ind w:firstLine="567"/>
        <w:jc w:val="both"/>
        <w:widowControl/>
        <w:tabs>
          <w:tab w:val="left" w:pos="1080" w:leader="none"/>
        </w:tabs>
        <w:rPr>
          <w:sz w:val="24"/>
          <w:szCs w:val="24"/>
          <w:lang w:eastAsia="ru-RU"/>
        </w:rPr>
      </w:pPr>
      <w:r>
        <w:rPr>
          <w:sz w:val="24"/>
          <w:szCs w:val="24"/>
          <w:lang w:eastAsia="ru-RU"/>
        </w:rPr>
        <w:t xml:space="preserve">- до 10 километров - 50 метров;</w:t>
      </w:r>
      <w:r/>
    </w:p>
    <w:p>
      <w:pPr>
        <w:contextualSpacing/>
        <w:ind w:firstLine="567"/>
        <w:jc w:val="both"/>
        <w:widowControl/>
        <w:tabs>
          <w:tab w:val="left" w:pos="1080" w:leader="none"/>
        </w:tabs>
        <w:rPr>
          <w:sz w:val="24"/>
          <w:szCs w:val="24"/>
          <w:lang w:eastAsia="ru-RU"/>
        </w:rPr>
      </w:pPr>
      <w:r>
        <w:rPr>
          <w:sz w:val="24"/>
          <w:szCs w:val="24"/>
          <w:lang w:eastAsia="ru-RU"/>
        </w:rPr>
        <w:t xml:space="preserve">- от 10 до 50 километров - 100 метров;</w:t>
      </w:r>
      <w:r/>
    </w:p>
    <w:p>
      <w:pPr>
        <w:contextualSpacing/>
        <w:ind w:firstLine="567"/>
        <w:jc w:val="both"/>
        <w:widowControl/>
        <w:tabs>
          <w:tab w:val="left" w:pos="1080" w:leader="none"/>
        </w:tabs>
        <w:rPr>
          <w:sz w:val="24"/>
          <w:szCs w:val="24"/>
          <w:lang w:eastAsia="ru-RU"/>
        </w:rPr>
      </w:pPr>
      <w:r>
        <w:rPr>
          <w:sz w:val="24"/>
          <w:szCs w:val="24"/>
          <w:lang w:eastAsia="ru-RU"/>
        </w:rPr>
        <w:t xml:space="preserve">- от 50 километров и более - 200 метров.</w:t>
      </w:r>
      <w:r/>
    </w:p>
    <w:p>
      <w:pPr>
        <w:ind w:firstLine="567"/>
        <w:jc w:val="both"/>
        <w:widowControl/>
        <w:rPr>
          <w:rFonts w:eastAsia="Calibri"/>
          <w:sz w:val="24"/>
          <w:szCs w:val="24"/>
          <w:lang w:eastAsia="en-US"/>
        </w:rPr>
      </w:pPr>
      <w:r>
        <w:rPr>
          <w:rFonts w:eastAsia="Calibri"/>
          <w:sz w:val="24"/>
          <w:szCs w:val="24"/>
          <w:lang w:eastAsia="en-US"/>
        </w:rPr>
        <w:t xml:space="preserve">В границах водоохранных зон запрещается:</w:t>
      </w:r>
      <w:r/>
    </w:p>
    <w:p>
      <w:pPr>
        <w:contextualSpacing/>
        <w:ind w:firstLine="567"/>
        <w:jc w:val="both"/>
        <w:widowControl/>
        <w:rPr>
          <w:sz w:val="24"/>
          <w:szCs w:val="24"/>
          <w:lang w:eastAsia="ru-RU"/>
        </w:rPr>
      </w:pPr>
      <w:r>
        <w:rPr>
          <w:sz w:val="24"/>
          <w:szCs w:val="24"/>
          <w:lang w:eastAsia="ru-RU"/>
        </w:rPr>
        <w:t xml:space="preserve">- использование сточных вод в целях регулирования плодородия почв;</w:t>
      </w:r>
      <w:r/>
    </w:p>
    <w:p>
      <w:pPr>
        <w:contextualSpacing/>
        <w:ind w:firstLine="567"/>
        <w:jc w:val="both"/>
        <w:widowControl/>
        <w:rPr>
          <w:sz w:val="24"/>
          <w:szCs w:val="24"/>
          <w:lang w:eastAsia="ru-RU"/>
        </w:rPr>
      </w:pPr>
      <w:r>
        <w:rPr>
          <w:sz w:val="24"/>
          <w:szCs w:val="24"/>
          <w:lang w:eastAsia="ru-RU"/>
        </w:rPr>
        <w:t xml:space="preserve">-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r/>
    </w:p>
    <w:p>
      <w:pPr>
        <w:contextualSpacing/>
        <w:ind w:firstLine="567"/>
        <w:jc w:val="both"/>
        <w:widowControl/>
        <w:rPr>
          <w:sz w:val="24"/>
          <w:szCs w:val="24"/>
          <w:lang w:eastAsia="ru-RU"/>
        </w:rPr>
      </w:pPr>
      <w:r>
        <w:rPr>
          <w:sz w:val="24"/>
          <w:szCs w:val="24"/>
          <w:lang w:eastAsia="ru-RU"/>
        </w:rPr>
        <w:t xml:space="preserve">- осуществление авиационных мер по борьбе с вредными организмами;</w:t>
      </w:r>
      <w:r/>
    </w:p>
    <w:p>
      <w:pPr>
        <w:contextualSpacing/>
        <w:ind w:firstLine="567"/>
        <w:jc w:val="both"/>
        <w:widowControl/>
        <w:rPr>
          <w:sz w:val="24"/>
          <w:szCs w:val="24"/>
          <w:lang w:eastAsia="ru-RU"/>
        </w:rPr>
      </w:pPr>
      <w:r>
        <w:rPr>
          <w:sz w:val="24"/>
          <w:szCs w:val="24"/>
          <w:lang w:eastAsia="ru-RU"/>
        </w:rPr>
        <w:t xml:space="preserve">-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r/>
    </w:p>
    <w:p>
      <w:pPr>
        <w:contextualSpacing/>
        <w:ind w:firstLine="567"/>
        <w:jc w:val="both"/>
        <w:widowControl/>
        <w:rPr>
          <w:sz w:val="24"/>
          <w:szCs w:val="24"/>
          <w:lang w:eastAsia="ru-RU"/>
        </w:rPr>
      </w:pPr>
      <w:r>
        <w:rPr>
          <w:sz w:val="24"/>
          <w:szCs w:val="24"/>
          <w:lang w:eastAsia="ru-RU"/>
        </w:rPr>
        <w:t xml:space="preserve">- размещение автозапр</w:t>
      </w:r>
      <w:r>
        <w:rPr>
          <w:sz w:val="24"/>
          <w:szCs w:val="24"/>
          <w:lang w:eastAsia="ru-RU"/>
        </w:rPr>
        <w:t xml:space="preserve">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w:t>
      </w:r>
      <w:r>
        <w:rPr>
          <w:sz w:val="24"/>
          <w:szCs w:val="24"/>
          <w:lang w:eastAsia="ru-RU"/>
        </w:rPr>
        <w:t xml:space="preserve">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r/>
    </w:p>
    <w:p>
      <w:pPr>
        <w:contextualSpacing/>
        <w:ind w:firstLine="567"/>
        <w:jc w:val="both"/>
        <w:widowControl/>
        <w:rPr>
          <w:sz w:val="24"/>
          <w:szCs w:val="24"/>
          <w:lang w:eastAsia="ru-RU"/>
        </w:rPr>
      </w:pPr>
      <w:r>
        <w:rPr>
          <w:sz w:val="24"/>
          <w:szCs w:val="24"/>
          <w:lang w:eastAsia="ru-RU"/>
        </w:rPr>
        <w:t xml:space="preserve">- размещение специализированных хранилищ пестицидов и агрохимикатов, применение пестицидов и агрохимикатов;</w:t>
      </w:r>
      <w:r/>
    </w:p>
    <w:p>
      <w:pPr>
        <w:contextualSpacing/>
        <w:ind w:firstLine="567"/>
        <w:jc w:val="both"/>
        <w:widowControl/>
        <w:rPr>
          <w:sz w:val="24"/>
          <w:szCs w:val="24"/>
          <w:lang w:eastAsia="ru-RU"/>
        </w:rPr>
      </w:pPr>
      <w:r>
        <w:rPr>
          <w:sz w:val="24"/>
          <w:szCs w:val="24"/>
          <w:lang w:eastAsia="ru-RU"/>
        </w:rPr>
        <w:t xml:space="preserve">- сброс сточных, в том числе дренажных, вод;</w:t>
      </w:r>
      <w:r/>
    </w:p>
    <w:p>
      <w:pPr>
        <w:contextualSpacing/>
        <w:ind w:firstLine="567"/>
        <w:jc w:val="both"/>
        <w:widowControl/>
        <w:rPr>
          <w:sz w:val="24"/>
          <w:szCs w:val="24"/>
          <w:lang w:eastAsia="ru-RU"/>
        </w:rPr>
      </w:pPr>
      <w:r>
        <w:rPr>
          <w:sz w:val="24"/>
          <w:szCs w:val="24"/>
          <w:lang w:eastAsia="ru-RU"/>
        </w:rPr>
        <w:t xml:space="preserve">-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w:t>
      </w:r>
      <w:r>
        <w:rPr>
          <w:sz w:val="24"/>
          <w:szCs w:val="24"/>
          <w:lang w:eastAsia="ru-RU"/>
        </w:rPr>
        <w:t xml:space="preserve">паемых, в границах предоставленных им в соответствии с законодательством РФ о недрах горных отводов и (или) геологических отводов на основании утвержденного технического проекта в соответствии со статьей 19.1 Закона РФ от 21.02.1992 г. N2395-I «О недрах»).</w:t>
      </w:r>
      <w:r/>
    </w:p>
    <w:p>
      <w:pPr>
        <w:ind w:firstLine="567"/>
        <w:jc w:val="both"/>
        <w:widowControl/>
        <w:rPr>
          <w:rFonts w:eastAsia="Calibri"/>
          <w:sz w:val="24"/>
          <w:szCs w:val="24"/>
          <w:lang w:eastAsia="en-US"/>
        </w:rPr>
      </w:pPr>
      <w:r>
        <w:rPr>
          <w:rFonts w:eastAsia="Calibri"/>
          <w:sz w:val="24"/>
          <w:szCs w:val="24"/>
          <w:lang w:eastAsia="en-US"/>
        </w:rPr>
        <w:t xml:space="preserve">В границах водоохранных зон допускается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w:t>
      </w:r>
      <w:r>
        <w:rPr>
          <w:rFonts w:eastAsia="Calibri"/>
          <w:sz w:val="24"/>
          <w:szCs w:val="24"/>
          <w:lang w:eastAsia="en-US"/>
        </w:rPr>
        <w:t xml:space="preserve">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w:t>
      </w:r>
      <w:r>
        <w:rPr>
          <w:rFonts w:eastAsia="Calibri"/>
          <w:sz w:val="24"/>
          <w:szCs w:val="24"/>
          <w:lang w:eastAsia="en-US"/>
        </w:rPr>
        <w:t xml:space="preserve">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r/>
    </w:p>
    <w:p>
      <w:pPr>
        <w:ind w:firstLine="567"/>
        <w:jc w:val="both"/>
        <w:widowControl/>
        <w:rPr>
          <w:rFonts w:eastAsia="Calibri"/>
          <w:sz w:val="24"/>
          <w:szCs w:val="24"/>
          <w:lang w:eastAsia="en-US"/>
        </w:rPr>
      </w:pPr>
      <w:r>
        <w:rPr>
          <w:rFonts w:eastAsia="Calibri"/>
          <w:sz w:val="24"/>
          <w:szCs w:val="24"/>
          <w:lang w:eastAsia="en-US"/>
        </w:rPr>
        <w:t xml:space="preserve">Под сооружениями, обеспечивающими охрану водных объектов от загрязнения, засорения, заиления и истощения вод, понимаются:</w:t>
      </w:r>
      <w:r/>
    </w:p>
    <w:p>
      <w:pPr>
        <w:ind w:firstLine="567"/>
        <w:jc w:val="both"/>
        <w:widowControl/>
        <w:rPr>
          <w:rFonts w:eastAsia="Calibri"/>
          <w:sz w:val="24"/>
          <w:szCs w:val="24"/>
          <w:lang w:eastAsia="en-US"/>
        </w:rPr>
      </w:pPr>
      <w:r>
        <w:rPr>
          <w:rFonts w:eastAsia="Calibri"/>
          <w:sz w:val="24"/>
          <w:szCs w:val="24"/>
          <w:lang w:eastAsia="en-US"/>
        </w:rPr>
        <w:t xml:space="preserve">- централизованные системы водоотведения (канализации), централизованные ливневые системы водоотведения;</w:t>
      </w:r>
      <w:r/>
    </w:p>
    <w:p>
      <w:pPr>
        <w:ind w:firstLine="567"/>
        <w:jc w:val="both"/>
        <w:widowControl/>
        <w:rPr>
          <w:rFonts w:eastAsia="Calibri"/>
          <w:sz w:val="24"/>
          <w:szCs w:val="24"/>
          <w:lang w:eastAsia="en-US"/>
        </w:rPr>
      </w:pPr>
      <w:r>
        <w:rPr>
          <w:rFonts w:eastAsia="Calibri"/>
          <w:sz w:val="24"/>
          <w:szCs w:val="24"/>
          <w:lang w:eastAsia="en-US"/>
        </w:rPr>
        <w:t xml:space="preserve">-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r/>
    </w:p>
    <w:p>
      <w:pPr>
        <w:ind w:firstLine="567"/>
        <w:jc w:val="both"/>
        <w:widowControl/>
        <w:rPr>
          <w:rFonts w:eastAsia="Calibri"/>
          <w:sz w:val="24"/>
          <w:szCs w:val="24"/>
          <w:lang w:eastAsia="en-US"/>
        </w:rPr>
      </w:pPr>
      <w:r>
        <w:rPr>
          <w:rFonts w:eastAsia="Calibri"/>
          <w:sz w:val="24"/>
          <w:szCs w:val="24"/>
          <w:lang w:eastAsia="en-US"/>
        </w:rPr>
        <w:t xml:space="preserve">- локальные очистные сооружения для очист</w:t>
      </w:r>
      <w:r>
        <w:rPr>
          <w:rFonts w:eastAsia="Calibri"/>
          <w:sz w:val="24"/>
          <w:szCs w:val="24"/>
          <w:lang w:eastAsia="en-US"/>
        </w:rPr>
        <w:t xml:space="preserve">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w:t>
      </w:r>
      <w:r/>
    </w:p>
    <w:p>
      <w:pPr>
        <w:ind w:firstLine="567"/>
        <w:jc w:val="both"/>
        <w:widowControl/>
        <w:rPr>
          <w:rFonts w:eastAsia="Calibri"/>
          <w:sz w:val="24"/>
          <w:szCs w:val="24"/>
          <w:lang w:eastAsia="en-US"/>
        </w:rPr>
      </w:pPr>
      <w:r>
        <w:rPr>
          <w:rFonts w:eastAsia="Calibri"/>
          <w:sz w:val="24"/>
          <w:szCs w:val="24"/>
          <w:lang w:eastAsia="en-US"/>
        </w:rPr>
        <w:t xml:space="preserve">- соо</w:t>
      </w:r>
      <w:r>
        <w:rPr>
          <w:rFonts w:eastAsia="Calibri"/>
          <w:sz w:val="24"/>
          <w:szCs w:val="24"/>
          <w:lang w:eastAsia="en-US"/>
        </w:rPr>
        <w:t xml:space="preserve">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r/>
    </w:p>
    <w:p>
      <w:pPr>
        <w:ind w:firstLine="567"/>
        <w:jc w:val="both"/>
        <w:widowControl/>
        <w:rPr>
          <w:rFonts w:eastAsia="Calibri"/>
          <w:sz w:val="24"/>
          <w:szCs w:val="24"/>
          <w:lang w:eastAsia="en-US"/>
        </w:rPr>
      </w:pPr>
      <w:r>
        <w:rPr>
          <w:rFonts w:eastAsia="Calibri"/>
          <w:sz w:val="24"/>
          <w:szCs w:val="24"/>
          <w:lang w:eastAsia="en-US"/>
        </w:rPr>
        <w:t xml:space="preserve">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w:t>
      </w:r>
      <w:r>
        <w:rPr>
          <w:rFonts w:eastAsia="Calibri"/>
          <w:sz w:val="24"/>
          <w:szCs w:val="24"/>
          <w:lang w:eastAsia="en-US"/>
        </w:rPr>
        <w:t xml:space="preserve">ания такими сооружениями и (или) подключения к централизованным системам,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r/>
    </w:p>
    <w:p>
      <w:pPr>
        <w:contextualSpacing/>
        <w:ind w:firstLine="567"/>
        <w:jc w:val="both"/>
        <w:widowControl/>
        <w:rPr>
          <w:sz w:val="24"/>
          <w:szCs w:val="24"/>
          <w:lang w:eastAsia="ru-RU"/>
        </w:rPr>
      </w:pPr>
      <w:r>
        <w:rPr>
          <w:sz w:val="24"/>
          <w:szCs w:val="24"/>
          <w:lang w:eastAsia="ru-RU"/>
        </w:rPr>
        <w:t xml:space="preserve">Ширина прибрежной защитной полосы устанавливается в зависимости от уклона берега водного объекта и составляет 30 м для обратного уклона или 0</w:t>
      </w:r>
      <w:r>
        <w:rPr>
          <w:rFonts w:ascii="Symbol" w:hAnsi="Symbol" w:eastAsia="Symbol" w:cs="Symbol"/>
          <w:sz w:val="24"/>
          <w:szCs w:val="24"/>
          <w:lang w:eastAsia="ru-RU"/>
        </w:rPr>
        <w:t xml:space="preserve"></w:t>
      </w:r>
      <w:r>
        <w:rPr>
          <w:sz w:val="24"/>
          <w:szCs w:val="24"/>
          <w:lang w:eastAsia="ru-RU"/>
        </w:rPr>
        <w:t xml:space="preserve">, 40 м для уклона до 3</w:t>
      </w:r>
      <w:r>
        <w:rPr>
          <w:rFonts w:ascii="Symbol" w:hAnsi="Symbol" w:eastAsia="Symbol" w:cs="Symbol"/>
          <w:sz w:val="24"/>
          <w:szCs w:val="24"/>
          <w:lang w:eastAsia="ru-RU"/>
        </w:rPr>
        <w:t xml:space="preserve"></w:t>
      </w:r>
      <w:r>
        <w:rPr>
          <w:sz w:val="24"/>
          <w:szCs w:val="24"/>
          <w:lang w:eastAsia="ru-RU"/>
        </w:rPr>
        <w:t xml:space="preserve"> и 50 м для уклона 3</w:t>
      </w:r>
      <w:r>
        <w:rPr>
          <w:rFonts w:ascii="Symbol" w:hAnsi="Symbol" w:eastAsia="Symbol" w:cs="Symbol"/>
          <w:sz w:val="24"/>
          <w:szCs w:val="24"/>
          <w:lang w:eastAsia="ru-RU"/>
        </w:rPr>
        <w:t xml:space="preserve"></w:t>
      </w:r>
      <w:r>
        <w:rPr>
          <w:sz w:val="24"/>
          <w:szCs w:val="24"/>
          <w:lang w:eastAsia="ru-RU"/>
        </w:rPr>
        <w:t xml:space="preserve"> и более. </w:t>
      </w:r>
      <w:r/>
    </w:p>
    <w:p>
      <w:pPr>
        <w:contextualSpacing/>
        <w:ind w:firstLine="567"/>
        <w:jc w:val="both"/>
        <w:widowControl/>
        <w:rPr>
          <w:sz w:val="24"/>
          <w:szCs w:val="24"/>
          <w:lang w:eastAsia="ru-RU"/>
        </w:rPr>
      </w:pPr>
      <w:r>
        <w:rPr>
          <w:sz w:val="24"/>
          <w:szCs w:val="24"/>
          <w:lang w:eastAsia="ru-RU"/>
        </w:rPr>
        <w:t xml:space="preserve">Для реки, ручья протяжённостью менее 10 км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 </w:t>
      </w:r>
      <w:r/>
    </w:p>
    <w:p>
      <w:pPr>
        <w:ind w:firstLine="567"/>
        <w:jc w:val="both"/>
        <w:widowControl/>
        <w:rPr>
          <w:rFonts w:eastAsia="Calibri"/>
          <w:sz w:val="24"/>
          <w:szCs w:val="24"/>
          <w:lang w:eastAsia="en-US"/>
        </w:rPr>
      </w:pPr>
      <w:r>
        <w:rPr>
          <w:rFonts w:eastAsia="Calibri"/>
          <w:sz w:val="24"/>
          <w:szCs w:val="24"/>
          <w:lang w:eastAsia="en-US"/>
        </w:rPr>
        <w:t xml:space="preserve">В границах прибрежных защитных полос наряду с установленными для водоохранной зоны ограничениями запрещается:</w:t>
      </w:r>
      <w:r/>
    </w:p>
    <w:p>
      <w:pPr>
        <w:ind w:firstLine="567"/>
        <w:jc w:val="both"/>
        <w:widowControl/>
        <w:rPr>
          <w:rFonts w:eastAsia="Calibri"/>
          <w:sz w:val="24"/>
          <w:szCs w:val="24"/>
          <w:lang w:eastAsia="en-US"/>
        </w:rPr>
      </w:pPr>
      <w:r>
        <w:rPr>
          <w:rFonts w:eastAsia="Calibri"/>
          <w:sz w:val="24"/>
          <w:szCs w:val="24"/>
          <w:lang w:eastAsia="en-US"/>
        </w:rPr>
        <w:t xml:space="preserve">- распашка земель;</w:t>
      </w:r>
      <w:r/>
    </w:p>
    <w:p>
      <w:pPr>
        <w:ind w:firstLine="567"/>
        <w:jc w:val="both"/>
        <w:widowControl/>
        <w:rPr>
          <w:rFonts w:eastAsia="Calibri"/>
          <w:sz w:val="24"/>
          <w:szCs w:val="24"/>
          <w:lang w:eastAsia="en-US"/>
        </w:rPr>
      </w:pPr>
      <w:r>
        <w:rPr>
          <w:rFonts w:eastAsia="Calibri"/>
          <w:sz w:val="24"/>
          <w:szCs w:val="24"/>
          <w:lang w:eastAsia="en-US"/>
        </w:rPr>
        <w:t xml:space="preserve">- размещение отвалов размываемых грунтов;</w:t>
      </w:r>
      <w:r/>
    </w:p>
    <w:p>
      <w:pPr>
        <w:ind w:firstLine="567"/>
        <w:jc w:val="both"/>
        <w:widowControl/>
        <w:rPr>
          <w:rFonts w:eastAsia="Calibri"/>
          <w:sz w:val="24"/>
          <w:szCs w:val="24"/>
          <w:lang w:eastAsia="en-US"/>
        </w:rPr>
      </w:pPr>
      <w:r>
        <w:rPr>
          <w:rFonts w:eastAsia="Calibri"/>
          <w:sz w:val="24"/>
          <w:szCs w:val="24"/>
          <w:lang w:eastAsia="en-US"/>
        </w:rPr>
        <w:t xml:space="preserve">- выпас сельскохозяйственных животных и организация для них летних лагерей, ванн.</w:t>
      </w:r>
      <w:r/>
    </w:p>
    <w:p>
      <w:pPr>
        <w:contextualSpacing/>
        <w:ind w:firstLine="567"/>
        <w:jc w:val="both"/>
        <w:widowControl/>
        <w:rPr>
          <w:sz w:val="24"/>
          <w:szCs w:val="24"/>
          <w:lang w:eastAsia="ru-RU"/>
        </w:rPr>
      </w:pPr>
      <w:r>
        <w:rPr>
          <w:sz w:val="24"/>
          <w:szCs w:val="24"/>
          <w:lang w:eastAsia="ru-RU"/>
        </w:rPr>
        <w:t xml:space="preserve">Вдоль береговой линии водного объекта общего пользования устанавливается береговая полоса, предназначенная для общего пользования.</w:t>
      </w:r>
      <w:r/>
    </w:p>
    <w:p>
      <w:pPr>
        <w:contextualSpacing/>
        <w:ind w:firstLine="567"/>
        <w:jc w:val="both"/>
        <w:widowControl/>
        <w:rPr>
          <w:sz w:val="24"/>
          <w:szCs w:val="24"/>
          <w:lang w:eastAsia="ru-RU"/>
        </w:rPr>
      </w:pPr>
      <w:r>
        <w:rPr>
          <w:sz w:val="24"/>
          <w:szCs w:val="24"/>
          <w:lang w:eastAsia="ru-RU"/>
        </w:rPr>
        <w:t xml:space="preserve">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w:t>
      </w:r>
      <w:r>
        <w:rPr>
          <w:sz w:val="24"/>
          <w:szCs w:val="24"/>
          <w:lang w:eastAsia="ru-RU"/>
        </w:rPr>
        <w:t xml:space="preserve">м 10 километров. Ширина береговой полосы каналов, а также рек и ручьев, протяженность которых от истока до устья не более чем десять километров, составляет 5 метров. На карте градостроительного зонирования береговые полосы шириной 5 метров не отображаются.</w:t>
      </w:r>
      <w:r/>
    </w:p>
    <w:p>
      <w:pPr>
        <w:ind w:firstLine="567"/>
        <w:jc w:val="both"/>
        <w:widowControl/>
        <w:rPr>
          <w:rFonts w:eastAsia="Calibri"/>
          <w:sz w:val="24"/>
          <w:szCs w:val="24"/>
          <w:lang w:eastAsia="en-US"/>
        </w:rPr>
      </w:pPr>
      <w:r>
        <w:rPr>
          <w:rFonts w:eastAsia="Calibri"/>
          <w:sz w:val="24"/>
          <w:szCs w:val="24"/>
          <w:lang w:eastAsia="en-US"/>
        </w:rPr>
        <w:t xml:space="preserve">Каждый гражданин вправе пользов</w:t>
      </w:r>
      <w:r>
        <w:rPr>
          <w:rFonts w:eastAsia="Calibri"/>
          <w:sz w:val="24"/>
          <w:szCs w:val="24"/>
          <w:lang w:eastAsia="en-US"/>
        </w:rPr>
        <w:t xml:space="preserve">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r/>
    </w:p>
    <w:p>
      <w:pPr>
        <w:ind w:firstLine="567"/>
        <w:jc w:val="both"/>
        <w:widowControl/>
        <w:rPr>
          <w:rFonts w:eastAsia="Calibri"/>
          <w:sz w:val="24"/>
          <w:szCs w:val="24"/>
          <w:lang w:eastAsia="en-US"/>
        </w:rPr>
      </w:pPr>
      <w:r>
        <w:rPr>
          <w:rFonts w:eastAsia="Calibri"/>
          <w:sz w:val="24"/>
          <w:szCs w:val="24"/>
          <w:lang w:eastAsia="en-US"/>
        </w:rPr>
        <w:t xml:space="preserve">Приватизация земельных участков в пределах береговой полосы запрещается.</w:t>
      </w:r>
      <w:r/>
    </w:p>
    <w:p>
      <w:pPr>
        <w:ind w:firstLine="567"/>
        <w:jc w:val="both"/>
        <w:widowControl/>
        <w:rPr>
          <w:rFonts w:eastAsia="Calibri"/>
          <w:sz w:val="24"/>
          <w:szCs w:val="24"/>
          <w:lang w:eastAsia="en-US"/>
        </w:rPr>
      </w:pPr>
      <w:r>
        <w:rPr>
          <w:rFonts w:eastAsia="Calibri"/>
          <w:sz w:val="24"/>
          <w:szCs w:val="24"/>
          <w:lang w:eastAsia="en-US"/>
        </w:rPr>
      </w:r>
      <w:r/>
    </w:p>
    <w:p>
      <w:pPr>
        <w:ind w:firstLine="567"/>
        <w:jc w:val="center"/>
        <w:widowControl/>
        <w:rPr>
          <w:rFonts w:eastAsia="Calibri"/>
          <w:b/>
          <w:sz w:val="24"/>
          <w:szCs w:val="24"/>
          <w:lang w:eastAsia="en-US"/>
        </w:rPr>
      </w:pPr>
      <w:r>
        <w:rPr>
          <w:rFonts w:eastAsia="Calibri"/>
          <w:b/>
          <w:sz w:val="24"/>
          <w:szCs w:val="24"/>
          <w:lang w:eastAsia="en-US"/>
        </w:rPr>
        <w:t xml:space="preserve">Охранные зоны объектов электросетевого хозяйства</w:t>
      </w:r>
      <w:r/>
    </w:p>
    <w:p>
      <w:pPr>
        <w:ind w:firstLine="567"/>
        <w:widowControl/>
        <w:rPr>
          <w:rFonts w:eastAsia="Calibri"/>
          <w:b/>
          <w:sz w:val="24"/>
          <w:szCs w:val="24"/>
          <w:lang w:eastAsia="en-US"/>
        </w:rPr>
      </w:pPr>
      <w:r>
        <w:rPr>
          <w:rFonts w:eastAsia="Calibri"/>
          <w:b/>
          <w:sz w:val="24"/>
          <w:szCs w:val="24"/>
          <w:lang w:eastAsia="en-US"/>
        </w:rPr>
      </w:r>
      <w:r/>
    </w:p>
    <w:p>
      <w:pPr>
        <w:ind w:firstLine="567"/>
        <w:jc w:val="both"/>
        <w:widowControl/>
        <w:rPr>
          <w:rFonts w:eastAsia="Calibri"/>
          <w:sz w:val="24"/>
          <w:szCs w:val="24"/>
          <w:lang w:eastAsia="en-US"/>
        </w:rPr>
      </w:pPr>
      <w:r>
        <w:rPr>
          <w:rFonts w:eastAsia="Calibri"/>
          <w:sz w:val="24"/>
          <w:szCs w:val="24"/>
          <w:lang w:eastAsia="en-US"/>
        </w:rPr>
        <w:t xml:space="preserve">Охранные зоны объектов электросетевого хозяйства устанавливаются для обеспечения сохранности действующих линий и сооружений электросетевого хоз</w:t>
      </w:r>
      <w:r>
        <w:rPr>
          <w:rFonts w:eastAsia="Calibri"/>
          <w:sz w:val="24"/>
          <w:szCs w:val="24"/>
          <w:lang w:eastAsia="en-US"/>
        </w:rPr>
        <w:t xml:space="preserve">яйства в соответствии с Постановлением Правительства Российской Федерации от 24.02.2009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p>
    <w:p>
      <w:pPr>
        <w:ind w:firstLine="567"/>
        <w:jc w:val="both"/>
        <w:widowControl/>
        <w:rPr>
          <w:rFonts w:eastAsia="Calibri"/>
          <w:sz w:val="24"/>
          <w:szCs w:val="24"/>
          <w:lang w:eastAsia="en-US"/>
        </w:rPr>
      </w:pPr>
      <w:r>
        <w:rPr>
          <w:rFonts w:eastAsia="Calibri"/>
          <w:sz w:val="24"/>
          <w:szCs w:val="24"/>
          <w:lang w:eastAsia="en-US"/>
        </w:rPr>
        <w:t xml:space="preserve">Вдоль воздушных линий электропередачи охранные зоны устанавливаются в виде части поверхности участка земли и воздушного простран</w:t>
      </w:r>
      <w:r>
        <w:rPr>
          <w:rFonts w:eastAsia="Calibri"/>
          <w:sz w:val="24"/>
          <w:szCs w:val="24"/>
          <w:lang w:eastAsia="en-US"/>
        </w:rPr>
        <w:t xml:space="preserve">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r/>
    </w:p>
    <w:p>
      <w:pPr>
        <w:ind w:firstLine="567"/>
        <w:jc w:val="both"/>
        <w:widowControl/>
        <w:rPr>
          <w:rFonts w:eastAsia="Calibri"/>
          <w:sz w:val="24"/>
          <w:szCs w:val="24"/>
          <w:lang w:eastAsia="en-US"/>
        </w:rPr>
      </w:pPr>
      <w:r>
        <w:rPr>
          <w:rFonts w:eastAsia="Calibri"/>
          <w:sz w:val="24"/>
          <w:szCs w:val="24"/>
          <w:lang w:eastAsia="en-US"/>
        </w:rPr>
        <w:t xml:space="preserve">- до 1 кВ - 2 м;</w:t>
      </w:r>
      <w:r/>
    </w:p>
    <w:p>
      <w:pPr>
        <w:ind w:firstLine="567"/>
        <w:jc w:val="both"/>
        <w:widowControl/>
        <w:rPr>
          <w:rFonts w:eastAsia="Calibri"/>
          <w:sz w:val="24"/>
          <w:szCs w:val="24"/>
          <w:lang w:eastAsia="en-US"/>
        </w:rPr>
      </w:pPr>
      <w:r>
        <w:rPr>
          <w:rFonts w:eastAsia="Calibri"/>
          <w:sz w:val="24"/>
          <w:szCs w:val="24"/>
          <w:lang w:eastAsia="en-US"/>
        </w:rPr>
        <w:t xml:space="preserve">- от 1 до 20 кВ - 10 м;</w:t>
      </w:r>
      <w:r/>
    </w:p>
    <w:p>
      <w:pPr>
        <w:ind w:firstLine="567"/>
        <w:jc w:val="both"/>
        <w:widowControl/>
        <w:rPr>
          <w:rFonts w:eastAsia="Calibri"/>
          <w:sz w:val="24"/>
          <w:szCs w:val="24"/>
          <w:lang w:eastAsia="en-US"/>
        </w:rPr>
      </w:pPr>
      <w:r>
        <w:rPr>
          <w:rFonts w:eastAsia="Calibri"/>
          <w:sz w:val="24"/>
          <w:szCs w:val="24"/>
          <w:lang w:eastAsia="en-US"/>
        </w:rPr>
        <w:t xml:space="preserve">- 35 кВ - 15 м;</w:t>
      </w:r>
      <w:r/>
    </w:p>
    <w:p>
      <w:pPr>
        <w:ind w:firstLine="567"/>
        <w:jc w:val="both"/>
        <w:widowControl/>
        <w:rPr>
          <w:rFonts w:eastAsia="Calibri"/>
          <w:sz w:val="24"/>
          <w:szCs w:val="24"/>
          <w:lang w:eastAsia="en-US"/>
        </w:rPr>
      </w:pPr>
      <w:r>
        <w:rPr>
          <w:rFonts w:eastAsia="Calibri"/>
          <w:sz w:val="24"/>
          <w:szCs w:val="24"/>
          <w:lang w:eastAsia="en-US"/>
        </w:rPr>
        <w:t xml:space="preserve">- 110 кВ - 20 м;</w:t>
      </w:r>
      <w:r/>
    </w:p>
    <w:p>
      <w:pPr>
        <w:ind w:firstLine="567"/>
        <w:jc w:val="both"/>
        <w:widowControl/>
        <w:rPr>
          <w:rFonts w:eastAsia="Calibri"/>
          <w:sz w:val="24"/>
          <w:szCs w:val="24"/>
          <w:lang w:eastAsia="en-US"/>
        </w:rPr>
      </w:pPr>
      <w:r>
        <w:rPr>
          <w:rFonts w:eastAsia="Calibri"/>
          <w:sz w:val="24"/>
          <w:szCs w:val="24"/>
          <w:lang w:eastAsia="en-US"/>
        </w:rPr>
        <w:t xml:space="preserve">- 220 кВ - 25 м;</w:t>
      </w:r>
      <w:r/>
    </w:p>
    <w:p>
      <w:pPr>
        <w:ind w:firstLine="567"/>
        <w:jc w:val="both"/>
        <w:widowControl/>
        <w:rPr>
          <w:rFonts w:eastAsia="Calibri"/>
          <w:sz w:val="24"/>
          <w:szCs w:val="24"/>
          <w:lang w:eastAsia="en-US"/>
        </w:rPr>
      </w:pPr>
      <w:r>
        <w:rPr>
          <w:rFonts w:eastAsia="Calibri"/>
          <w:sz w:val="24"/>
          <w:szCs w:val="24"/>
          <w:lang w:eastAsia="en-US"/>
        </w:rPr>
        <w:t xml:space="preserve">- 500 кВ - 30 м.</w:t>
      </w:r>
      <w:r/>
    </w:p>
    <w:p>
      <w:pPr>
        <w:ind w:firstLine="567"/>
        <w:jc w:val="both"/>
        <w:widowControl/>
        <w:rPr>
          <w:rFonts w:eastAsia="Calibri"/>
          <w:sz w:val="24"/>
          <w:szCs w:val="24"/>
          <w:lang w:eastAsia="en-US"/>
        </w:rPr>
      </w:pPr>
      <w:r>
        <w:rPr>
          <w:rFonts w:eastAsia="Calibri"/>
          <w:sz w:val="24"/>
          <w:szCs w:val="24"/>
          <w:lang w:eastAsia="en-US"/>
        </w:rPr>
        <w:t xml:space="preserve">Вдоль подземных кабельных линий электропередачи охранная зона устанавливается в виде части поверхности участка земли, расп</w:t>
      </w:r>
      <w:r>
        <w:rPr>
          <w:rFonts w:eastAsia="Calibri"/>
          <w:sz w:val="24"/>
          <w:szCs w:val="24"/>
          <w:lang w:eastAsia="en-US"/>
        </w:rPr>
        <w:t xml:space="preserve">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w:t>
      </w:r>
      <w:r/>
    </w:p>
    <w:p>
      <w:pPr>
        <w:ind w:firstLine="567"/>
        <w:jc w:val="both"/>
        <w:widowControl/>
        <w:rPr>
          <w:rFonts w:eastAsia="Calibri"/>
          <w:sz w:val="24"/>
          <w:szCs w:val="24"/>
          <w:lang w:eastAsia="en-US"/>
        </w:rPr>
      </w:pPr>
      <w:r>
        <w:rPr>
          <w:rFonts w:eastAsia="Calibri"/>
          <w:sz w:val="24"/>
          <w:szCs w:val="24"/>
          <w:lang w:eastAsia="en-US"/>
        </w:rPr>
        <w:t xml:space="preserve">В охранных зонах запрещается осуществлять любые действия, которые могут нарушить безопасную работу объектов электросетевого хозяйства</w:t>
      </w:r>
      <w:r>
        <w:rPr>
          <w:rFonts w:eastAsia="Calibri"/>
          <w:sz w:val="24"/>
          <w:szCs w:val="24"/>
          <w:lang w:eastAsia="en-US"/>
        </w:rPr>
        <w:t xml:space="preserve">,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частности, запрещается:</w:t>
      </w:r>
      <w:r/>
    </w:p>
    <w:p>
      <w:pPr>
        <w:ind w:firstLine="567"/>
        <w:jc w:val="both"/>
        <w:widowControl/>
        <w:rPr>
          <w:rFonts w:eastAsia="Calibri"/>
          <w:sz w:val="24"/>
          <w:szCs w:val="24"/>
          <w:lang w:eastAsia="en-US"/>
        </w:rPr>
      </w:pPr>
      <w:r>
        <w:rPr>
          <w:rFonts w:eastAsia="Calibri"/>
          <w:sz w:val="24"/>
          <w:szCs w:val="24"/>
          <w:lang w:eastAsia="en-US"/>
        </w:rPr>
        <w:t xml:space="preserve">- размещать любые объекты и предметы (материалы) в пределах созданных проходов и</w:t>
      </w:r>
      <w:r>
        <w:rPr>
          <w:rFonts w:eastAsia="Calibri"/>
          <w:sz w:val="24"/>
          <w:szCs w:val="24"/>
          <w:lang w:eastAsia="en-US"/>
        </w:rPr>
        <w:t xml:space="preserve">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r/>
    </w:p>
    <w:p>
      <w:pPr>
        <w:ind w:firstLine="567"/>
        <w:jc w:val="both"/>
        <w:widowControl/>
        <w:rPr>
          <w:rFonts w:eastAsia="Calibri"/>
          <w:sz w:val="24"/>
          <w:szCs w:val="24"/>
          <w:lang w:eastAsia="en-US"/>
        </w:rPr>
      </w:pPr>
      <w:r>
        <w:rPr>
          <w:rFonts w:eastAsia="Calibri"/>
          <w:sz w:val="24"/>
          <w:szCs w:val="24"/>
          <w:lang w:eastAsia="en-US"/>
        </w:rPr>
        <w:t xml:space="preserve">- размещать свалки;</w:t>
      </w:r>
      <w:r/>
    </w:p>
    <w:p>
      <w:pPr>
        <w:ind w:firstLine="567"/>
        <w:jc w:val="both"/>
        <w:widowControl/>
        <w:rPr>
          <w:rFonts w:eastAsia="Calibri"/>
          <w:sz w:val="24"/>
          <w:szCs w:val="24"/>
          <w:lang w:eastAsia="en-US"/>
        </w:rPr>
      </w:pPr>
      <w:r>
        <w:rPr>
          <w:rFonts w:eastAsia="Calibri"/>
          <w:sz w:val="24"/>
          <w:szCs w:val="24"/>
          <w:lang w:eastAsia="en-US"/>
        </w:rPr>
        <w:t xml:space="preserve">-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r/>
    </w:p>
    <w:p>
      <w:pPr>
        <w:ind w:firstLine="567"/>
        <w:jc w:val="both"/>
        <w:widowControl/>
        <w:rPr>
          <w:rFonts w:eastAsia="Calibri"/>
          <w:sz w:val="24"/>
          <w:szCs w:val="24"/>
          <w:lang w:eastAsia="en-US"/>
        </w:rPr>
      </w:pPr>
      <w:r>
        <w:rPr>
          <w:rFonts w:eastAsia="Calibri"/>
          <w:sz w:val="24"/>
          <w:szCs w:val="24"/>
          <w:lang w:eastAsia="en-US"/>
        </w:rPr>
        <w:t xml:space="preserve">В охранных зонах объектов электросетевого хозяйства напряжением свыше 1000 вольт, также запрещается:</w:t>
      </w:r>
      <w:r/>
    </w:p>
    <w:p>
      <w:pPr>
        <w:ind w:firstLine="567"/>
        <w:jc w:val="both"/>
        <w:widowControl/>
        <w:rPr>
          <w:rFonts w:eastAsia="Calibri"/>
          <w:sz w:val="24"/>
          <w:szCs w:val="24"/>
          <w:lang w:eastAsia="en-US"/>
        </w:rPr>
      </w:pPr>
      <w:r>
        <w:rPr>
          <w:rFonts w:eastAsia="Calibri"/>
          <w:sz w:val="24"/>
          <w:szCs w:val="24"/>
          <w:lang w:eastAsia="en-US"/>
        </w:rPr>
        <w:t xml:space="preserve">- складировать или размещать хранилища любых, в том числе горюче-смазочных, материалов;</w:t>
      </w:r>
      <w:r/>
    </w:p>
    <w:p>
      <w:pPr>
        <w:ind w:firstLine="567"/>
        <w:jc w:val="both"/>
        <w:widowControl/>
        <w:rPr>
          <w:rFonts w:eastAsia="Calibri"/>
          <w:sz w:val="24"/>
          <w:szCs w:val="24"/>
          <w:lang w:eastAsia="en-US"/>
        </w:rPr>
      </w:pPr>
      <w:r>
        <w:rPr>
          <w:rFonts w:eastAsia="Calibri"/>
          <w:sz w:val="24"/>
          <w:szCs w:val="24"/>
          <w:lang w:eastAsia="en-US"/>
        </w:rPr>
        <w:t xml:space="preserve">- размещать детские и спортивные площадки, стадионы, рынки, торговые точки, полевые </w:t>
      </w:r>
      <w:r>
        <w:rPr>
          <w:rFonts w:eastAsia="Calibri"/>
          <w:sz w:val="24"/>
          <w:szCs w:val="24"/>
          <w:lang w:eastAsia="en-US"/>
        </w:rPr>
        <w:t xml:space="preserve">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r/>
    </w:p>
    <w:p>
      <w:pPr>
        <w:ind w:firstLine="567"/>
        <w:jc w:val="both"/>
        <w:widowControl/>
        <w:rPr>
          <w:rFonts w:eastAsia="Calibri"/>
          <w:sz w:val="24"/>
          <w:szCs w:val="24"/>
          <w:lang w:eastAsia="en-US"/>
        </w:rPr>
      </w:pPr>
      <w:r>
        <w:rPr>
          <w:rFonts w:eastAsia="Calibri"/>
          <w:sz w:val="24"/>
          <w:szCs w:val="24"/>
          <w:lang w:eastAsia="en-US"/>
        </w:rPr>
        <w:t xml:space="preserve">В пределах охранных зон без письменного разрешения сетевой организации запрещается:</w:t>
      </w:r>
      <w:r/>
    </w:p>
    <w:p>
      <w:pPr>
        <w:ind w:firstLine="567"/>
        <w:jc w:val="both"/>
        <w:widowControl/>
        <w:rPr>
          <w:rFonts w:eastAsia="Calibri"/>
          <w:sz w:val="24"/>
          <w:szCs w:val="24"/>
          <w:lang w:eastAsia="en-US"/>
        </w:rPr>
      </w:pPr>
      <w:r>
        <w:rPr>
          <w:rFonts w:eastAsia="Calibri"/>
          <w:sz w:val="24"/>
          <w:szCs w:val="24"/>
          <w:lang w:eastAsia="en-US"/>
        </w:rPr>
        <w:t xml:space="preserve">- строительство, капитальный ремонт, реконструкция или снос зданий и сооружений;</w:t>
      </w:r>
      <w:r/>
    </w:p>
    <w:p>
      <w:pPr>
        <w:ind w:firstLine="567"/>
        <w:jc w:val="both"/>
        <w:widowControl/>
        <w:rPr>
          <w:rFonts w:eastAsia="Calibri"/>
          <w:sz w:val="24"/>
          <w:szCs w:val="24"/>
          <w:lang w:eastAsia="en-US"/>
        </w:rPr>
      </w:pPr>
      <w:r>
        <w:rPr>
          <w:rFonts w:eastAsia="Calibri"/>
          <w:sz w:val="24"/>
          <w:szCs w:val="24"/>
          <w:lang w:eastAsia="en-US"/>
        </w:rPr>
        <w:t xml:space="preserve">- горные, взрывные, мелиоративные работы, в том числе связанные с временным затоплением земель;</w:t>
      </w:r>
      <w:r/>
    </w:p>
    <w:p>
      <w:pPr>
        <w:ind w:firstLine="567"/>
        <w:jc w:val="both"/>
        <w:widowControl/>
        <w:rPr>
          <w:rFonts w:eastAsia="Calibri"/>
          <w:sz w:val="24"/>
          <w:szCs w:val="24"/>
          <w:lang w:eastAsia="en-US"/>
        </w:rPr>
      </w:pPr>
      <w:r>
        <w:rPr>
          <w:rFonts w:eastAsia="Calibri"/>
          <w:sz w:val="24"/>
          <w:szCs w:val="24"/>
          <w:lang w:eastAsia="en-US"/>
        </w:rPr>
        <w:t xml:space="preserve">- посадка и вырубка деревьев и кустарников;</w:t>
      </w:r>
      <w:r/>
    </w:p>
    <w:p>
      <w:pPr>
        <w:ind w:firstLine="567"/>
        <w:jc w:val="both"/>
        <w:widowControl/>
        <w:rPr>
          <w:rFonts w:eastAsia="Calibri"/>
          <w:sz w:val="24"/>
          <w:szCs w:val="24"/>
          <w:lang w:eastAsia="en-US"/>
        </w:rPr>
      </w:pPr>
      <w:r>
        <w:rPr>
          <w:rFonts w:eastAsia="Calibri"/>
          <w:sz w:val="24"/>
          <w:szCs w:val="24"/>
          <w:lang w:eastAsia="en-US"/>
        </w:rPr>
        <w:t xml:space="preserve">-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r/>
    </w:p>
    <w:p>
      <w:pPr>
        <w:ind w:firstLine="567"/>
        <w:jc w:val="both"/>
        <w:widowControl/>
        <w:rPr>
          <w:rFonts w:eastAsia="Calibri"/>
          <w:sz w:val="24"/>
          <w:szCs w:val="24"/>
          <w:lang w:eastAsia="en-US"/>
        </w:rPr>
      </w:pPr>
      <w:r>
        <w:rPr>
          <w:rFonts w:eastAsia="Calibri"/>
          <w:sz w:val="24"/>
          <w:szCs w:val="24"/>
          <w:lang w:eastAsia="en-US"/>
        </w:rPr>
        <w:t xml:space="preserve">- полевые сельскохозяйственные работы с применением сельскохозяйственных машин и оборудования высотой более 4 м.</w:t>
      </w:r>
      <w:r/>
    </w:p>
    <w:p>
      <w:pPr>
        <w:jc w:val="both"/>
        <w:rPr>
          <w:sz w:val="24"/>
          <w:szCs w:val="24"/>
        </w:rPr>
      </w:pPr>
      <w:r>
        <w:rPr>
          <w:sz w:val="24"/>
          <w:szCs w:val="24"/>
        </w:rPr>
      </w:r>
      <w:r/>
    </w:p>
    <w:p>
      <w:pPr>
        <w:ind w:firstLine="567"/>
        <w:jc w:val="center"/>
        <w:rPr>
          <w:b/>
          <w:sz w:val="24"/>
          <w:szCs w:val="24"/>
        </w:rPr>
      </w:pPr>
      <w:r>
        <w:rPr>
          <w:b/>
          <w:sz w:val="24"/>
          <w:szCs w:val="24"/>
        </w:rPr>
        <w:t xml:space="preserve">Охранная зона линий и сооружений связи</w:t>
      </w:r>
      <w:r/>
    </w:p>
    <w:p>
      <w:pPr>
        <w:ind w:firstLine="567"/>
        <w:jc w:val="center"/>
        <w:rPr>
          <w:b/>
          <w:sz w:val="24"/>
          <w:szCs w:val="24"/>
        </w:rPr>
      </w:pPr>
      <w:r>
        <w:rPr>
          <w:b/>
          <w:sz w:val="24"/>
          <w:szCs w:val="24"/>
        </w:rPr>
      </w:r>
      <w:r/>
    </w:p>
    <w:p>
      <w:pPr>
        <w:ind w:firstLine="567"/>
        <w:jc w:val="both"/>
        <w:widowControl/>
        <w:rPr>
          <w:rFonts w:eastAsia="Calibri"/>
          <w:sz w:val="24"/>
          <w:szCs w:val="24"/>
          <w:lang w:eastAsia="en-US"/>
        </w:rPr>
      </w:pPr>
      <w:r>
        <w:rPr>
          <w:rFonts w:eastAsia="Calibri"/>
          <w:sz w:val="24"/>
          <w:szCs w:val="24"/>
          <w:lang w:eastAsia="en-US"/>
        </w:rPr>
        <w:t xml:space="preserve">В соответствии с Постановлением Правительства Российской Федерации от 09.06.1995 г. №578 «Об утверждении Правил охраны линий и сооружений связи Российской Федерации» (далее- Постановление) устанавливаются охранные зоны с особыми условиями использования:</w:t>
      </w:r>
      <w:r/>
    </w:p>
    <w:p>
      <w:pPr>
        <w:ind w:firstLine="567"/>
        <w:jc w:val="both"/>
        <w:widowControl/>
        <w:rPr>
          <w:rFonts w:eastAsia="Calibri"/>
          <w:sz w:val="24"/>
          <w:szCs w:val="24"/>
          <w:lang w:eastAsia="en-US"/>
        </w:rPr>
      </w:pPr>
      <w:r>
        <w:rPr>
          <w:rFonts w:eastAsia="Calibri"/>
          <w:sz w:val="24"/>
          <w:szCs w:val="24"/>
          <w:lang w:eastAsia="en-US"/>
        </w:rPr>
        <w:t xml:space="preserve">- для подземных кабельных и для воздушных линий связи и линий радиофикации, расположенных вне населенных пункто</w:t>
      </w:r>
      <w:r>
        <w:rPr>
          <w:rFonts w:eastAsia="Calibri"/>
          <w:sz w:val="24"/>
          <w:szCs w:val="24"/>
          <w:lang w:eastAsia="en-US"/>
        </w:rPr>
        <w:t xml:space="preserve">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r/>
    </w:p>
    <w:p>
      <w:pPr>
        <w:ind w:firstLine="567"/>
        <w:jc w:val="both"/>
        <w:widowControl/>
        <w:rPr>
          <w:rFonts w:eastAsia="Calibri"/>
          <w:sz w:val="24"/>
          <w:szCs w:val="24"/>
          <w:lang w:eastAsia="en-US"/>
        </w:rPr>
      </w:pPr>
      <w:r>
        <w:rPr>
          <w:rFonts w:eastAsia="Calibri"/>
          <w:sz w:val="24"/>
          <w:szCs w:val="24"/>
          <w:lang w:eastAsia="en-US"/>
        </w:rPr>
        <w:t xml:space="preserve">- для морских кабельных линий связи и для кабеля связи при переходах через судоходные и сплавные реки, озера, водохранилища и каналы (арыки) - в виде участков водного пространства по всей глубине от во</w:t>
      </w:r>
      <w:r>
        <w:rPr>
          <w:rFonts w:eastAsia="Calibri"/>
          <w:sz w:val="24"/>
          <w:szCs w:val="24"/>
          <w:lang w:eastAsia="en-US"/>
        </w:rPr>
        <w:t xml:space="preserve">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r/>
    </w:p>
    <w:p>
      <w:pPr>
        <w:ind w:firstLine="567"/>
        <w:jc w:val="both"/>
        <w:widowControl/>
        <w:rPr>
          <w:rFonts w:eastAsia="Calibri"/>
          <w:sz w:val="24"/>
          <w:szCs w:val="24"/>
          <w:lang w:eastAsia="en-US"/>
        </w:rPr>
      </w:pPr>
      <w:r>
        <w:rPr>
          <w:rFonts w:eastAsia="Calibri"/>
          <w:sz w:val="24"/>
          <w:szCs w:val="24"/>
          <w:lang w:eastAsia="en-US"/>
        </w:rPr>
        <w:t xml:space="preserve">- для наземных и подземных необслуживаемых усилительных и регенерационных пункто</w:t>
      </w:r>
      <w:r>
        <w:rPr>
          <w:rFonts w:eastAsia="Calibri"/>
          <w:sz w:val="24"/>
          <w:szCs w:val="24"/>
          <w:lang w:eastAsia="en-US"/>
        </w:rPr>
        <w:t xml:space="preserve">в на кабельных линиях связи - в виде участков земли, определяемых замкнутой линией, относящей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r/>
    </w:p>
    <w:p>
      <w:pPr>
        <w:ind w:firstLine="567"/>
        <w:jc w:val="both"/>
        <w:widowControl/>
        <w:rPr>
          <w:rFonts w:eastAsia="Calibri"/>
          <w:sz w:val="24"/>
          <w:szCs w:val="24"/>
          <w:lang w:eastAsia="en-US"/>
        </w:rPr>
      </w:pPr>
      <w:r>
        <w:rPr>
          <w:rFonts w:eastAsia="Calibri"/>
          <w:sz w:val="24"/>
          <w:szCs w:val="24"/>
          <w:lang w:eastAsia="en-US"/>
        </w:rPr>
        <w:t xml:space="preserve">На производство всех видов работ, связанных с вскрытием грунта в охранной зоне линии связи или линии радиофикации (за исключением вспа</w:t>
      </w:r>
      <w:r>
        <w:rPr>
          <w:rFonts w:eastAsia="Calibri"/>
          <w:sz w:val="24"/>
          <w:szCs w:val="24"/>
          <w:lang w:eastAsia="en-US"/>
        </w:rPr>
        <w:t xml:space="preserve">шки на глубину не более 0,3 метра) на принадлежащем юридическому или физическому лицу земельном участке, заказчиком (застройщиком) должно быть получено письменное согласие от предприятия, в ведении которого находится эта линия связи или линия радиофикации.</w:t>
      </w:r>
      <w:r/>
    </w:p>
    <w:p>
      <w:pPr>
        <w:ind w:firstLine="567"/>
        <w:jc w:val="both"/>
        <w:widowControl/>
        <w:rPr>
          <w:rFonts w:eastAsia="Calibri"/>
          <w:sz w:val="24"/>
          <w:szCs w:val="24"/>
          <w:lang w:eastAsia="en-US"/>
        </w:rPr>
      </w:pPr>
      <w:r>
        <w:rPr>
          <w:rFonts w:eastAsia="Calibri"/>
          <w:sz w:val="24"/>
          <w:szCs w:val="24"/>
          <w:lang w:eastAsia="en-US"/>
        </w:rPr>
        <w:t xml:space="preserve">Земельная площадь охранных зон на трассах лин</w:t>
      </w:r>
      <w:r>
        <w:rPr>
          <w:rFonts w:eastAsia="Calibri"/>
          <w:sz w:val="24"/>
          <w:szCs w:val="24"/>
          <w:lang w:eastAsia="en-US"/>
        </w:rPr>
        <w:t xml:space="preserve">ий связи и линий радиофикации используется юридическими и физическими лицами в соответствии с земельным законодательством Российской Федерации с учетом ограничений, установленных Постановлением и обеспечивающих сохранность линий связи и линий радиофикации.</w:t>
      </w:r>
      <w:r/>
    </w:p>
    <w:p>
      <w:pPr>
        <w:ind w:firstLine="567"/>
        <w:jc w:val="both"/>
        <w:widowControl/>
        <w:rPr>
          <w:rFonts w:eastAsia="Calibri"/>
          <w:sz w:val="24"/>
          <w:szCs w:val="24"/>
          <w:lang w:eastAsia="en-US"/>
        </w:rPr>
      </w:pPr>
      <w:r>
        <w:rPr>
          <w:rFonts w:eastAsia="Calibri"/>
          <w:sz w:val="24"/>
          <w:szCs w:val="24"/>
          <w:lang w:eastAsia="en-US"/>
        </w:rPr>
        <w:t xml:space="preserve">Предприятиям, в ведении которых находятся линии связи и линии радиофикации, в охранных зонах разрешается:</w:t>
      </w:r>
      <w:r/>
    </w:p>
    <w:p>
      <w:pPr>
        <w:ind w:firstLine="567"/>
        <w:jc w:val="both"/>
        <w:widowControl/>
        <w:rPr>
          <w:rFonts w:eastAsia="Calibri"/>
          <w:sz w:val="24"/>
          <w:szCs w:val="24"/>
          <w:lang w:eastAsia="en-US"/>
        </w:rPr>
      </w:pPr>
      <w:r>
        <w:rPr>
          <w:rFonts w:eastAsia="Calibri"/>
          <w:sz w:val="24"/>
          <w:szCs w:val="24"/>
          <w:lang w:eastAsia="en-US"/>
        </w:rPr>
        <w:t xml:space="preserve">а) устройство за свой счет дорог, подъездов, мостов и других сооружений, необходимых для эксплуатационного обслуживания л</w:t>
      </w:r>
      <w:r>
        <w:rPr>
          <w:rFonts w:eastAsia="Calibri"/>
          <w:sz w:val="24"/>
          <w:szCs w:val="24"/>
          <w:lang w:eastAsia="en-US"/>
        </w:rPr>
        <w:t xml:space="preserve">иний связи и линий радиофикации на условиях, согласованных с собственниками земли (землевладельцами, землепользователями, арендаторами), которые не вправе отказать этим предприятиям в обеспечении условий для эксплуатационного обслуживания сооружений связи;</w:t>
      </w:r>
      <w:r/>
    </w:p>
    <w:p>
      <w:pPr>
        <w:ind w:firstLine="567"/>
        <w:jc w:val="both"/>
        <w:widowControl/>
        <w:rPr>
          <w:rFonts w:eastAsia="Calibri"/>
          <w:sz w:val="24"/>
          <w:szCs w:val="24"/>
          <w:lang w:eastAsia="en-US"/>
        </w:rPr>
      </w:pPr>
      <w:r>
        <w:rPr>
          <w:rFonts w:eastAsia="Calibri"/>
          <w:sz w:val="24"/>
          <w:szCs w:val="24"/>
          <w:lang w:eastAsia="en-US"/>
        </w:rPr>
        <w:t xml:space="preserve">б) разрытие ям, траншей и котлованов для ремонта линий связи и линий радиофикации с последующей их засыпкой;</w:t>
      </w:r>
      <w:r/>
    </w:p>
    <w:p>
      <w:pPr>
        <w:ind w:firstLine="567"/>
        <w:jc w:val="both"/>
        <w:widowControl/>
        <w:rPr>
          <w:rFonts w:eastAsia="Calibri"/>
          <w:sz w:val="24"/>
          <w:szCs w:val="24"/>
          <w:lang w:eastAsia="en-US"/>
        </w:rPr>
      </w:pPr>
      <w:r>
        <w:rPr>
          <w:rFonts w:eastAsia="Calibri"/>
          <w:sz w:val="24"/>
          <w:szCs w:val="24"/>
          <w:lang w:eastAsia="en-US"/>
        </w:rPr>
        <w:t xml:space="preserve">в) вырубка отдельных дер</w:t>
      </w:r>
      <w:r>
        <w:rPr>
          <w:rFonts w:eastAsia="Calibri"/>
          <w:sz w:val="24"/>
          <w:szCs w:val="24"/>
          <w:lang w:eastAsia="en-US"/>
        </w:rPr>
        <w:t xml:space="preserve">евьев при авариях на линиях связи и линиях радиофикации, проходящих через лесные массивы, в местах, прилегающих к трассам этих линий, с последующей выдачей в установленном порядке лесорубочных билетов (ордеров) и очисткой мест рубки от порубочных остатков.</w:t>
      </w:r>
      <w:r/>
    </w:p>
    <w:p>
      <w:pPr>
        <w:ind w:firstLine="567"/>
        <w:jc w:val="both"/>
        <w:widowControl/>
        <w:rPr>
          <w:rFonts w:eastAsia="Calibri"/>
          <w:sz w:val="24"/>
          <w:szCs w:val="24"/>
          <w:lang w:eastAsia="en-US"/>
        </w:rPr>
      </w:pPr>
      <w:r>
        <w:rPr>
          <w:rFonts w:eastAsia="Calibri"/>
          <w:sz w:val="24"/>
          <w:szCs w:val="24"/>
          <w:lang w:eastAsia="en-US"/>
        </w:rPr>
        <w:t xml:space="preserve">В пределах охранных зон без письменного согласия и присутствия представителей предприятий, эксплуатирующих линии связи или линии радиофикации, запрещается:</w:t>
      </w:r>
      <w:r/>
    </w:p>
    <w:p>
      <w:pPr>
        <w:ind w:firstLine="567"/>
        <w:jc w:val="both"/>
        <w:widowControl/>
        <w:rPr>
          <w:rFonts w:eastAsia="Calibri"/>
          <w:sz w:val="24"/>
          <w:szCs w:val="24"/>
          <w:lang w:eastAsia="en-US"/>
        </w:rPr>
      </w:pPr>
      <w:r>
        <w:rPr>
          <w:rFonts w:eastAsia="Calibri"/>
          <w:sz w:val="24"/>
          <w:szCs w:val="24"/>
          <w:lang w:eastAsia="en-US"/>
        </w:rPr>
        <w:t xml:space="preserve">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r/>
    </w:p>
    <w:p>
      <w:pPr>
        <w:ind w:firstLine="567"/>
        <w:jc w:val="both"/>
        <w:widowControl/>
        <w:rPr>
          <w:rFonts w:eastAsia="Calibri"/>
          <w:sz w:val="24"/>
          <w:szCs w:val="24"/>
          <w:lang w:eastAsia="en-US"/>
        </w:rPr>
      </w:pPr>
      <w:r>
        <w:rPr>
          <w:rFonts w:eastAsia="Calibri"/>
          <w:sz w:val="24"/>
          <w:szCs w:val="24"/>
          <w:lang w:eastAsia="en-US"/>
        </w:rPr>
        <w:t xml:space="preserve">б) 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r/>
    </w:p>
    <w:p>
      <w:pPr>
        <w:ind w:firstLine="567"/>
        <w:jc w:val="both"/>
        <w:widowControl/>
        <w:rPr>
          <w:rFonts w:eastAsia="Calibri"/>
          <w:sz w:val="24"/>
          <w:szCs w:val="24"/>
          <w:lang w:eastAsia="en-US"/>
        </w:rPr>
      </w:pPr>
      <w:r>
        <w:rPr>
          <w:rFonts w:eastAsia="Calibri"/>
          <w:sz w:val="24"/>
          <w:szCs w:val="24"/>
          <w:lang w:eastAsia="en-US"/>
        </w:rPr>
        <w:t xml:space="preserve">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r/>
    </w:p>
    <w:p>
      <w:pPr>
        <w:ind w:firstLine="567"/>
        <w:jc w:val="both"/>
        <w:widowControl/>
        <w:rPr>
          <w:rFonts w:eastAsia="Calibri"/>
          <w:sz w:val="24"/>
          <w:szCs w:val="24"/>
          <w:lang w:eastAsia="en-US"/>
        </w:rPr>
      </w:pPr>
      <w:r>
        <w:rPr>
          <w:rFonts w:eastAsia="Calibri"/>
          <w:sz w:val="24"/>
          <w:szCs w:val="24"/>
          <w:lang w:eastAsia="en-US"/>
        </w:rPr>
        <w:t xml:space="preserve">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r/>
    </w:p>
    <w:p>
      <w:pPr>
        <w:ind w:firstLine="567"/>
        <w:jc w:val="both"/>
        <w:widowControl/>
        <w:rPr>
          <w:rFonts w:eastAsia="Calibri"/>
          <w:sz w:val="24"/>
          <w:szCs w:val="24"/>
          <w:lang w:eastAsia="en-US"/>
        </w:rPr>
      </w:pPr>
      <w:r>
        <w:rPr>
          <w:rFonts w:eastAsia="Calibri"/>
          <w:sz w:val="24"/>
          <w:szCs w:val="24"/>
          <w:lang w:eastAsia="en-US"/>
        </w:rPr>
        <w:t xml:space="preserve">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рыбу, друг</w:t>
      </w:r>
      <w:r>
        <w:rPr>
          <w:rFonts w:eastAsia="Calibri"/>
          <w:sz w:val="24"/>
          <w:szCs w:val="24"/>
          <w:lang w:eastAsia="en-US"/>
        </w:rPr>
        <w:t xml:space="preserve">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отдельными якорями, цепями, лотами, волокушами и тралами;</w:t>
      </w:r>
      <w:r/>
    </w:p>
    <w:p>
      <w:pPr>
        <w:ind w:firstLine="567"/>
        <w:jc w:val="both"/>
        <w:widowControl/>
        <w:rPr>
          <w:rFonts w:eastAsia="Calibri"/>
          <w:sz w:val="24"/>
          <w:szCs w:val="24"/>
          <w:lang w:eastAsia="en-US"/>
        </w:rPr>
      </w:pPr>
      <w:r>
        <w:rPr>
          <w:rFonts w:eastAsia="Calibri"/>
          <w:sz w:val="24"/>
          <w:szCs w:val="24"/>
          <w:lang w:eastAsia="en-US"/>
        </w:rPr>
        <w:t xml:space="preserve">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r/>
    </w:p>
    <w:p>
      <w:pPr>
        <w:ind w:firstLine="567"/>
        <w:jc w:val="both"/>
        <w:widowControl/>
        <w:rPr>
          <w:rFonts w:eastAsia="Calibri"/>
          <w:sz w:val="24"/>
          <w:szCs w:val="24"/>
          <w:lang w:eastAsia="en-US"/>
        </w:rPr>
      </w:pPr>
      <w:r>
        <w:rPr>
          <w:rFonts w:eastAsia="Calibri"/>
          <w:sz w:val="24"/>
          <w:szCs w:val="24"/>
          <w:lang w:eastAsia="en-US"/>
        </w:rPr>
        <w:t xml:space="preserve">ж) производить защиту подземных коммуникаций и коррозии без учета проходящих подземных кабельных линий связи.</w:t>
      </w:r>
      <w:r/>
    </w:p>
    <w:p>
      <w:pPr>
        <w:ind w:firstLine="567"/>
        <w:jc w:val="both"/>
        <w:widowControl/>
        <w:rPr>
          <w:rFonts w:eastAsia="Calibri"/>
          <w:sz w:val="24"/>
          <w:szCs w:val="24"/>
          <w:lang w:eastAsia="en-US"/>
        </w:rPr>
      </w:pPr>
      <w:r>
        <w:rPr>
          <w:rFonts w:eastAsia="Calibri"/>
          <w:sz w:val="24"/>
          <w:szCs w:val="24"/>
          <w:lang w:eastAsia="en-US"/>
        </w:rPr>
        <w:t xml:space="preserve">Запрещается производить всякого рода действия, которые могут нарушить нормальную работу линий связи и линий радиофикации, в частности:</w:t>
      </w:r>
      <w:r/>
    </w:p>
    <w:p>
      <w:pPr>
        <w:ind w:firstLine="567"/>
        <w:jc w:val="both"/>
        <w:widowControl/>
        <w:rPr>
          <w:rFonts w:eastAsia="Calibri"/>
          <w:sz w:val="24"/>
          <w:szCs w:val="24"/>
          <w:lang w:eastAsia="en-US"/>
        </w:rPr>
      </w:pPr>
      <w:r>
        <w:rPr>
          <w:rFonts w:eastAsia="Calibri"/>
          <w:sz w:val="24"/>
          <w:szCs w:val="24"/>
          <w:lang w:eastAsia="en-US"/>
        </w:rPr>
        <w:t xml:space="preserve">а) производит</w:t>
      </w:r>
      <w:r>
        <w:rPr>
          <w:rFonts w:eastAsia="Calibri"/>
          <w:sz w:val="24"/>
          <w:szCs w:val="24"/>
          <w:lang w:eastAsia="en-US"/>
        </w:rPr>
        <w:t xml:space="preserve">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w:t>
      </w:r>
      <w:r>
        <w:rPr>
          <w:rFonts w:eastAsia="Calibri"/>
          <w:sz w:val="24"/>
          <w:szCs w:val="24"/>
          <w:lang w:eastAsia="en-US"/>
        </w:rPr>
        <w:t xml:space="preserve">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r/>
    </w:p>
    <w:p>
      <w:pPr>
        <w:ind w:firstLine="567"/>
        <w:jc w:val="both"/>
        <w:widowControl/>
        <w:rPr>
          <w:rFonts w:eastAsia="Calibri"/>
          <w:sz w:val="24"/>
          <w:szCs w:val="24"/>
          <w:lang w:eastAsia="en-US"/>
        </w:rPr>
      </w:pPr>
      <w:r>
        <w:rPr>
          <w:rFonts w:eastAsia="Calibri"/>
          <w:sz w:val="24"/>
          <w:szCs w:val="24"/>
          <w:lang w:eastAsia="en-US"/>
        </w:rPr>
        <w:t xml:space="preserve">б) прои</w:t>
      </w:r>
      <w:r>
        <w:rPr>
          <w:rFonts w:eastAsia="Calibri"/>
          <w:sz w:val="24"/>
          <w:szCs w:val="24"/>
          <w:lang w:eastAsia="en-US"/>
        </w:rPr>
        <w:t xml:space="preserve">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r/>
    </w:p>
    <w:p>
      <w:pPr>
        <w:ind w:firstLine="567"/>
        <w:jc w:val="both"/>
        <w:widowControl/>
        <w:rPr>
          <w:rFonts w:eastAsia="Calibri"/>
          <w:sz w:val="24"/>
          <w:szCs w:val="24"/>
          <w:lang w:eastAsia="en-US"/>
        </w:rPr>
      </w:pPr>
      <w:r>
        <w:rPr>
          <w:rFonts w:eastAsia="Calibri"/>
          <w:sz w:val="24"/>
          <w:szCs w:val="24"/>
          <w:lang w:eastAsia="en-US"/>
        </w:rPr>
        <w:t xml:space="preserve">в) открывать двери и люки необслуживаемых у</w:t>
      </w:r>
      <w:r>
        <w:rPr>
          <w:rFonts w:eastAsia="Calibri"/>
          <w:sz w:val="24"/>
          <w:szCs w:val="24"/>
          <w:lang w:eastAsia="en-US"/>
        </w:rPr>
        <w:t xml:space="preserve">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r/>
    </w:p>
    <w:p>
      <w:pPr>
        <w:ind w:firstLine="567"/>
        <w:jc w:val="both"/>
        <w:widowControl/>
        <w:rPr>
          <w:rFonts w:eastAsia="Calibri"/>
          <w:sz w:val="24"/>
          <w:szCs w:val="24"/>
          <w:lang w:eastAsia="en-US"/>
        </w:rPr>
      </w:pPr>
      <w:r>
        <w:rPr>
          <w:rFonts w:eastAsia="Calibri"/>
          <w:sz w:val="24"/>
          <w:szCs w:val="24"/>
          <w:lang w:eastAsia="en-US"/>
        </w:rPr>
        <w:t xml:space="preserve">г) огораживать трассы линий связи, препятствуя свободному доступу к ним технического персонала;</w:t>
      </w:r>
      <w:r/>
    </w:p>
    <w:p>
      <w:pPr>
        <w:ind w:firstLine="567"/>
        <w:jc w:val="both"/>
        <w:widowControl/>
        <w:rPr>
          <w:rFonts w:eastAsia="Calibri"/>
          <w:sz w:val="24"/>
          <w:szCs w:val="24"/>
          <w:lang w:eastAsia="en-US"/>
        </w:rPr>
      </w:pPr>
      <w:r>
        <w:rPr>
          <w:rFonts w:eastAsia="Calibri"/>
          <w:sz w:val="24"/>
          <w:szCs w:val="24"/>
          <w:lang w:eastAsia="en-US"/>
        </w:rPr>
        <w:t xml:space="preserve">д) самовольно подключаться к абонентской телефонной линии и линии радиофикации в целях пользования услугами связи;</w:t>
      </w:r>
      <w:r/>
    </w:p>
    <w:p>
      <w:pPr>
        <w:ind w:firstLine="567"/>
        <w:jc w:val="both"/>
        <w:widowControl/>
        <w:rPr>
          <w:rFonts w:eastAsia="Calibri"/>
          <w:sz w:val="24"/>
          <w:szCs w:val="24"/>
          <w:lang w:eastAsia="en-US"/>
        </w:rPr>
      </w:pPr>
      <w:r>
        <w:rPr>
          <w:rFonts w:eastAsia="Calibri"/>
          <w:sz w:val="24"/>
          <w:szCs w:val="24"/>
          <w:lang w:eastAsia="en-US"/>
        </w:rPr>
        <w:t xml:space="preserve">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r/>
    </w:p>
    <w:p>
      <w:pPr>
        <w:ind w:firstLine="567"/>
        <w:jc w:val="both"/>
        <w:widowControl/>
        <w:rPr>
          <w:rFonts w:eastAsia="Calibri"/>
          <w:sz w:val="24"/>
          <w:szCs w:val="24"/>
          <w:lang w:eastAsia="en-US"/>
        </w:rPr>
      </w:pPr>
      <w:r>
        <w:rPr>
          <w:rFonts w:eastAsia="Calibri"/>
          <w:sz w:val="24"/>
          <w:szCs w:val="24"/>
          <w:lang w:eastAsia="en-US"/>
        </w:rPr>
      </w:r>
      <w:r/>
    </w:p>
    <w:p>
      <w:pPr>
        <w:ind w:firstLine="567"/>
        <w:jc w:val="center"/>
        <w:widowControl/>
        <w:rPr>
          <w:rFonts w:eastAsia="Calibri"/>
          <w:b/>
          <w:sz w:val="24"/>
          <w:szCs w:val="24"/>
          <w:lang w:eastAsia="en-US"/>
        </w:rPr>
      </w:pPr>
      <w:r>
        <w:rPr>
          <w:rFonts w:eastAsia="Calibri"/>
          <w:b/>
          <w:sz w:val="24"/>
          <w:szCs w:val="24"/>
          <w:lang w:eastAsia="en-US"/>
        </w:rPr>
        <w:t xml:space="preserve">Охранная зона газопроводов и систем газоснабжения</w:t>
      </w:r>
      <w:r/>
    </w:p>
    <w:p>
      <w:pPr>
        <w:ind w:firstLine="567"/>
        <w:jc w:val="center"/>
        <w:widowControl/>
        <w:rPr>
          <w:rFonts w:eastAsia="Calibri"/>
          <w:b/>
          <w:sz w:val="24"/>
          <w:szCs w:val="24"/>
          <w:lang w:eastAsia="en-US"/>
        </w:rPr>
      </w:pPr>
      <w:r>
        <w:rPr>
          <w:rFonts w:eastAsia="Calibri"/>
          <w:b/>
          <w:sz w:val="24"/>
          <w:szCs w:val="24"/>
          <w:lang w:eastAsia="en-US"/>
        </w:rPr>
      </w:r>
      <w:r/>
    </w:p>
    <w:p>
      <w:pPr>
        <w:ind w:firstLine="567"/>
        <w:jc w:val="both"/>
        <w:widowControl/>
        <w:rPr>
          <w:rFonts w:eastAsia="Calibri"/>
          <w:sz w:val="24"/>
          <w:szCs w:val="24"/>
          <w:lang w:eastAsia="en-US"/>
        </w:rPr>
      </w:pPr>
      <w:r>
        <w:rPr>
          <w:rFonts w:eastAsia="Calibri"/>
          <w:sz w:val="24"/>
          <w:szCs w:val="24"/>
          <w:lang w:eastAsia="en-US"/>
        </w:rPr>
        <w:t xml:space="preserve">В соответствии с Постановлением Правительства Российской Федерации от 20.11.2000 г. №878 "Об утверждении Правил охраны газораспределительных сетей" для газораспределительных сетей устанавливаются следующие охранные зоны:</w:t>
      </w:r>
      <w:r/>
    </w:p>
    <w:p>
      <w:pPr>
        <w:ind w:firstLine="567"/>
        <w:jc w:val="both"/>
        <w:widowControl/>
        <w:rPr>
          <w:rFonts w:eastAsia="Calibri"/>
          <w:sz w:val="24"/>
          <w:szCs w:val="24"/>
          <w:lang w:eastAsia="en-US"/>
        </w:rPr>
      </w:pPr>
      <w:r>
        <w:rPr>
          <w:rFonts w:eastAsia="Calibri"/>
          <w:sz w:val="24"/>
          <w:szCs w:val="24"/>
          <w:lang w:eastAsia="en-US"/>
        </w:rPr>
        <w:t xml:space="preserve">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r/>
    </w:p>
    <w:p>
      <w:pPr>
        <w:ind w:firstLine="567"/>
        <w:jc w:val="both"/>
        <w:widowControl/>
        <w:rPr>
          <w:rFonts w:eastAsia="Calibri"/>
          <w:sz w:val="24"/>
          <w:szCs w:val="24"/>
          <w:lang w:eastAsia="en-US"/>
        </w:rPr>
      </w:pPr>
      <w:r>
        <w:rPr>
          <w:rFonts w:eastAsia="Calibri"/>
          <w:sz w:val="24"/>
          <w:szCs w:val="24"/>
          <w:lang w:eastAsia="en-US"/>
        </w:rPr>
        <w:t xml:space="preserve">б) вдоль трасс подземных газопровод</w:t>
      </w:r>
      <w:r>
        <w:rPr>
          <w:rFonts w:eastAsia="Calibri"/>
          <w:sz w:val="24"/>
          <w:szCs w:val="24"/>
          <w:lang w:eastAsia="en-US"/>
        </w:rPr>
        <w:t xml:space="preserve">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r/>
    </w:p>
    <w:p>
      <w:pPr>
        <w:ind w:firstLine="567"/>
        <w:jc w:val="both"/>
        <w:widowControl/>
        <w:rPr>
          <w:rFonts w:eastAsia="Calibri"/>
          <w:sz w:val="24"/>
          <w:szCs w:val="24"/>
          <w:lang w:eastAsia="en-US"/>
        </w:rPr>
      </w:pPr>
      <w:r>
        <w:rPr>
          <w:rFonts w:eastAsia="Calibri"/>
          <w:sz w:val="24"/>
          <w:szCs w:val="24"/>
          <w:lang w:eastAsia="en-US"/>
        </w:rPr>
        <w:t xml:space="preserve">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r/>
    </w:p>
    <w:p>
      <w:pPr>
        <w:ind w:firstLine="567"/>
        <w:jc w:val="both"/>
        <w:widowControl/>
        <w:rPr>
          <w:rFonts w:eastAsia="Calibri"/>
          <w:sz w:val="24"/>
          <w:szCs w:val="24"/>
          <w:lang w:eastAsia="en-US"/>
        </w:rPr>
      </w:pPr>
      <w:r>
        <w:rPr>
          <w:rFonts w:eastAsia="Calibri"/>
          <w:sz w:val="24"/>
          <w:szCs w:val="24"/>
          <w:lang w:eastAsia="en-US"/>
        </w:rPr>
        <w:t xml:space="preserve">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r/>
    </w:p>
    <w:p>
      <w:pPr>
        <w:ind w:firstLine="567"/>
        <w:jc w:val="both"/>
        <w:widowControl/>
        <w:rPr>
          <w:rFonts w:eastAsia="Calibri"/>
          <w:sz w:val="24"/>
          <w:szCs w:val="24"/>
          <w:lang w:eastAsia="en-US"/>
        </w:rPr>
      </w:pPr>
      <w:r>
        <w:rPr>
          <w:rFonts w:eastAsia="Calibri"/>
          <w:sz w:val="24"/>
          <w:szCs w:val="24"/>
          <w:lang w:eastAsia="en-US"/>
        </w:rPr>
        <w:t xml:space="preserve">д) вдоль под</w:t>
      </w:r>
      <w:r>
        <w:rPr>
          <w:rFonts w:eastAsia="Calibri"/>
          <w:sz w:val="24"/>
          <w:szCs w:val="24"/>
          <w:lang w:eastAsia="en-US"/>
        </w:rPr>
        <w:t xml:space="preserve">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r/>
    </w:p>
    <w:p>
      <w:pPr>
        <w:ind w:firstLine="567"/>
        <w:jc w:val="both"/>
        <w:widowControl/>
        <w:rPr>
          <w:rFonts w:eastAsia="Calibri"/>
          <w:sz w:val="24"/>
          <w:szCs w:val="24"/>
          <w:lang w:eastAsia="en-US"/>
        </w:rPr>
      </w:pPr>
      <w:r>
        <w:rPr>
          <w:rFonts w:eastAsia="Calibri"/>
          <w:sz w:val="24"/>
          <w:szCs w:val="24"/>
          <w:lang w:eastAsia="en-US"/>
        </w:rPr>
        <w:t xml:space="preserve">е) вдоль трасс межпоселковых газопроводов, проходящих по лесам и древесно-кустарни</w:t>
      </w:r>
      <w:r>
        <w:rPr>
          <w:rFonts w:eastAsia="Calibri"/>
          <w:sz w:val="24"/>
          <w:szCs w:val="24"/>
          <w:lang w:eastAsia="en-US"/>
        </w:rPr>
        <w:t xml:space="preserve">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r/>
    </w:p>
    <w:p>
      <w:pPr>
        <w:ind w:firstLine="567"/>
        <w:jc w:val="both"/>
        <w:widowControl/>
        <w:rPr>
          <w:rFonts w:eastAsia="Calibri"/>
          <w:sz w:val="24"/>
          <w:szCs w:val="24"/>
          <w:lang w:eastAsia="en-US"/>
        </w:rPr>
      </w:pPr>
      <w:r>
        <w:rPr>
          <w:rFonts w:eastAsia="Calibri"/>
          <w:sz w:val="24"/>
          <w:szCs w:val="24"/>
          <w:lang w:eastAsia="en-US"/>
        </w:rPr>
        <w:t xml:space="preserve">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r/>
    </w:p>
    <w:p>
      <w:pPr>
        <w:ind w:firstLine="567"/>
        <w:jc w:val="both"/>
        <w:widowControl/>
        <w:rPr>
          <w:rFonts w:eastAsia="Calibri"/>
          <w:sz w:val="24"/>
          <w:szCs w:val="24"/>
          <w:lang w:eastAsia="en-US"/>
        </w:rPr>
      </w:pPr>
      <w:r>
        <w:rPr>
          <w:rFonts w:eastAsia="Calibri"/>
          <w:sz w:val="24"/>
          <w:szCs w:val="24"/>
          <w:lang w:eastAsia="en-US"/>
        </w:rPr>
        <w:t xml:space="preserve">а) строить объекты жилищно-гражданского и производственного назначения;</w:t>
      </w:r>
      <w:r/>
    </w:p>
    <w:p>
      <w:pPr>
        <w:ind w:firstLine="567"/>
        <w:jc w:val="both"/>
        <w:widowControl/>
        <w:rPr>
          <w:rFonts w:eastAsia="Calibri"/>
          <w:sz w:val="24"/>
          <w:szCs w:val="24"/>
          <w:lang w:eastAsia="en-US"/>
        </w:rPr>
      </w:pPr>
      <w:r>
        <w:rPr>
          <w:rFonts w:eastAsia="Calibri"/>
          <w:sz w:val="24"/>
          <w:szCs w:val="24"/>
          <w:lang w:eastAsia="en-US"/>
        </w:rPr>
        <w:t xml:space="preserve">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r/>
    </w:p>
    <w:p>
      <w:pPr>
        <w:ind w:firstLine="567"/>
        <w:jc w:val="both"/>
        <w:widowControl/>
        <w:rPr>
          <w:rFonts w:eastAsia="Calibri"/>
          <w:sz w:val="24"/>
          <w:szCs w:val="24"/>
          <w:lang w:eastAsia="en-US"/>
        </w:rPr>
      </w:pPr>
      <w:r>
        <w:rPr>
          <w:rFonts w:eastAsia="Calibri"/>
          <w:sz w:val="24"/>
          <w:szCs w:val="24"/>
          <w:lang w:eastAsia="en-US"/>
        </w:rPr>
        <w:t xml:space="preserve">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r/>
    </w:p>
    <w:p>
      <w:pPr>
        <w:ind w:firstLine="567"/>
        <w:jc w:val="both"/>
        <w:widowControl/>
        <w:rPr>
          <w:rFonts w:eastAsia="Calibri"/>
          <w:sz w:val="24"/>
          <w:szCs w:val="24"/>
          <w:lang w:eastAsia="en-US"/>
        </w:rPr>
      </w:pPr>
      <w:r>
        <w:rPr>
          <w:rFonts w:eastAsia="Calibri"/>
          <w:sz w:val="24"/>
          <w:szCs w:val="24"/>
          <w:lang w:eastAsia="en-US"/>
        </w:rPr>
        <w:t xml:space="preserve">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r/>
    </w:p>
    <w:p>
      <w:pPr>
        <w:ind w:firstLine="567"/>
        <w:jc w:val="both"/>
        <w:widowControl/>
        <w:rPr>
          <w:rFonts w:eastAsia="Calibri"/>
          <w:sz w:val="24"/>
          <w:szCs w:val="24"/>
          <w:lang w:eastAsia="en-US"/>
        </w:rPr>
      </w:pPr>
      <w:r>
        <w:rPr>
          <w:rFonts w:eastAsia="Calibri"/>
          <w:sz w:val="24"/>
          <w:szCs w:val="24"/>
          <w:lang w:eastAsia="en-US"/>
        </w:rPr>
        <w:t xml:space="preserve">д) устраивать свалки и склады, разливать растворы кислот, солей, щелочей и других химически активных веществ;</w:t>
      </w:r>
      <w:r/>
    </w:p>
    <w:p>
      <w:pPr>
        <w:ind w:firstLine="567"/>
        <w:jc w:val="both"/>
        <w:widowControl/>
        <w:rPr>
          <w:rFonts w:eastAsia="Calibri"/>
          <w:sz w:val="24"/>
          <w:szCs w:val="24"/>
          <w:lang w:eastAsia="en-US"/>
        </w:rPr>
      </w:pPr>
      <w:r>
        <w:rPr>
          <w:rFonts w:eastAsia="Calibri"/>
          <w:sz w:val="24"/>
          <w:szCs w:val="24"/>
          <w:lang w:eastAsia="en-US"/>
        </w:rPr>
        <w:t xml:space="preserve">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r/>
    </w:p>
    <w:p>
      <w:pPr>
        <w:ind w:firstLine="567"/>
        <w:jc w:val="both"/>
        <w:widowControl/>
        <w:rPr>
          <w:rFonts w:eastAsia="Calibri"/>
          <w:sz w:val="24"/>
          <w:szCs w:val="24"/>
          <w:lang w:eastAsia="en-US"/>
        </w:rPr>
      </w:pPr>
      <w:r>
        <w:rPr>
          <w:rFonts w:eastAsia="Calibri"/>
          <w:sz w:val="24"/>
          <w:szCs w:val="24"/>
          <w:lang w:eastAsia="en-US"/>
        </w:rPr>
        <w:t xml:space="preserve">ж) разводить огонь и размещать источники огня;</w:t>
      </w:r>
      <w:r/>
    </w:p>
    <w:p>
      <w:pPr>
        <w:ind w:firstLine="567"/>
        <w:jc w:val="both"/>
        <w:widowControl/>
        <w:rPr>
          <w:rFonts w:eastAsia="Calibri"/>
          <w:sz w:val="24"/>
          <w:szCs w:val="24"/>
          <w:lang w:eastAsia="en-US"/>
        </w:rPr>
      </w:pPr>
      <w:r>
        <w:rPr>
          <w:rFonts w:eastAsia="Calibri"/>
          <w:sz w:val="24"/>
          <w:szCs w:val="24"/>
          <w:lang w:eastAsia="en-US"/>
        </w:rPr>
        <w:t xml:space="preserve">з) рыть погреба, копать и обрабатывать почву сельскохозяйственными и мелиоративными орудиями и механизмами на глубину более 0,3 метра;</w:t>
      </w:r>
      <w:r/>
    </w:p>
    <w:p>
      <w:pPr>
        <w:ind w:firstLine="567"/>
        <w:jc w:val="both"/>
        <w:widowControl/>
        <w:rPr>
          <w:rFonts w:eastAsia="Calibri"/>
          <w:sz w:val="24"/>
          <w:szCs w:val="24"/>
          <w:lang w:eastAsia="en-US"/>
        </w:rPr>
      </w:pPr>
      <w:r>
        <w:rPr>
          <w:rFonts w:eastAsia="Calibri"/>
          <w:sz w:val="24"/>
          <w:szCs w:val="24"/>
          <w:lang w:eastAsia="en-US"/>
        </w:rPr>
        <w:t xml:space="preserve">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r/>
    </w:p>
    <w:p>
      <w:pPr>
        <w:ind w:firstLine="567"/>
        <w:jc w:val="both"/>
        <w:widowControl/>
        <w:rPr>
          <w:rFonts w:eastAsia="Calibri"/>
          <w:sz w:val="24"/>
          <w:szCs w:val="24"/>
          <w:lang w:eastAsia="en-US"/>
        </w:rPr>
      </w:pPr>
      <w:r>
        <w:rPr>
          <w:rFonts w:eastAsia="Calibri"/>
          <w:sz w:val="24"/>
          <w:szCs w:val="24"/>
          <w:lang w:eastAsia="en-US"/>
        </w:rPr>
        <w:t xml:space="preserve">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r/>
    </w:p>
    <w:p>
      <w:pPr>
        <w:ind w:firstLine="567"/>
        <w:jc w:val="both"/>
        <w:widowControl/>
        <w:rPr>
          <w:rFonts w:eastAsia="Calibri"/>
          <w:sz w:val="24"/>
          <w:szCs w:val="24"/>
          <w:lang w:eastAsia="en-US"/>
        </w:rPr>
      </w:pPr>
      <w:r>
        <w:rPr>
          <w:rFonts w:eastAsia="Calibri"/>
          <w:sz w:val="24"/>
          <w:szCs w:val="24"/>
          <w:lang w:eastAsia="en-US"/>
        </w:rPr>
        <w:t xml:space="preserve">л) самовольно подключаться к газораспределительным сетям.</w:t>
      </w:r>
      <w:r/>
    </w:p>
    <w:p>
      <w:pPr>
        <w:ind w:firstLine="567"/>
        <w:jc w:val="both"/>
        <w:widowControl/>
        <w:rPr>
          <w:rFonts w:eastAsia="Calibri"/>
          <w:sz w:val="24"/>
          <w:szCs w:val="24"/>
          <w:lang w:eastAsia="en-US"/>
        </w:rPr>
      </w:pPr>
      <w:r>
        <w:rPr>
          <w:rFonts w:eastAsia="Calibri"/>
          <w:sz w:val="24"/>
          <w:szCs w:val="24"/>
          <w:lang w:eastAsia="en-US"/>
        </w:rPr>
        <w:t xml:space="preserve">Лесохозяйственны</w:t>
      </w:r>
      <w:r>
        <w:rPr>
          <w:rFonts w:eastAsia="Calibri"/>
          <w:sz w:val="24"/>
          <w:szCs w:val="24"/>
          <w:lang w:eastAsia="en-US"/>
        </w:rPr>
        <w:t xml:space="preserve">е, сельскохозяйственные и другие работы, не подпадающие под вышеуказанные ограничения,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w:t>
      </w:r>
      <w:r>
        <w:rPr>
          <w:rFonts w:eastAsia="Calibri"/>
          <w:sz w:val="24"/>
          <w:szCs w:val="24"/>
          <w:lang w:eastAsia="en-US"/>
        </w:rPr>
        <w:t xml:space="preserve">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 Хозяйственная деятельность в охранных зонах газораспределительных сетей, не пр</w:t>
      </w:r>
      <w:r>
        <w:rPr>
          <w:rFonts w:eastAsia="Calibri"/>
          <w:sz w:val="24"/>
          <w:szCs w:val="24"/>
          <w:lang w:eastAsia="en-US"/>
        </w:rPr>
        <w:t xml:space="preserve">едусмотренная предыдущими пунктами,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r/>
    </w:p>
    <w:p>
      <w:pPr>
        <w:ind w:firstLine="567"/>
        <w:jc w:val="center"/>
        <w:rPr>
          <w:b/>
          <w:sz w:val="24"/>
          <w:szCs w:val="24"/>
        </w:rPr>
      </w:pPr>
      <w:r>
        <w:rPr>
          <w:b/>
          <w:sz w:val="24"/>
          <w:szCs w:val="24"/>
        </w:rPr>
        <w:t xml:space="preserve">Охранная зона тепловых сетей</w:t>
      </w:r>
      <w:r/>
    </w:p>
    <w:p>
      <w:pPr>
        <w:ind w:firstLine="567"/>
        <w:jc w:val="both"/>
        <w:rPr>
          <w:sz w:val="24"/>
          <w:szCs w:val="24"/>
        </w:rPr>
      </w:pPr>
      <w:r>
        <w:rPr>
          <w:sz w:val="24"/>
          <w:szCs w:val="24"/>
        </w:rPr>
      </w:r>
      <w:r/>
    </w:p>
    <w:p>
      <w:pPr>
        <w:ind w:firstLine="567"/>
        <w:jc w:val="both"/>
        <w:widowControl/>
        <w:rPr>
          <w:sz w:val="24"/>
          <w:szCs w:val="24"/>
          <w:lang w:eastAsia="ru-RU"/>
        </w:rPr>
      </w:pPr>
      <w:r>
        <w:rPr>
          <w:sz w:val="24"/>
          <w:szCs w:val="24"/>
          <w:lang w:eastAsia="ru-RU"/>
        </w:rPr>
        <w:t xml:space="preserve">Охранные зоны тепловых сетей устанавливаются вдоль трасс прокладки тепловых сетей </w:t>
      </w:r>
      <w:r>
        <w:rPr>
          <w:sz w:val="24"/>
          <w:szCs w:val="24"/>
          <w:lang w:eastAsia="ru-RU"/>
        </w:rPr>
        <w:t xml:space="preserve">в виде земельных участков шириной, определяемой углом естественного откоса грунта, но не менее 3 метров в каждую сторону, считая от края строительных конструкций тепловых сетей или от наружной поверхности изолированного теплопровода бесканальной прокладки.</w:t>
      </w:r>
      <w:r/>
    </w:p>
    <w:p>
      <w:pPr>
        <w:ind w:firstLine="567"/>
        <w:jc w:val="both"/>
        <w:widowControl/>
        <w:rPr>
          <w:sz w:val="24"/>
          <w:szCs w:val="24"/>
          <w:lang w:eastAsia="ru-RU"/>
        </w:rPr>
      </w:pPr>
      <w:r>
        <w:rPr>
          <w:bCs/>
          <w:sz w:val="24"/>
          <w:szCs w:val="24"/>
          <w:shd w:val="clear" w:color="auto" w:fill="ffffff"/>
          <w:lang w:eastAsia="ru-RU"/>
        </w:rPr>
        <w:t xml:space="preserve">Охранныезонытепловыхсетейустанавливаютсяввидеучастказемливдольтрассыотнаружнойгранистроительныхконструкцийвобестороны</w:t>
      </w:r>
      <w:r>
        <w:rPr>
          <w:sz w:val="24"/>
          <w:szCs w:val="24"/>
          <w:shd w:val="clear" w:color="auto" w:fill="ffffff"/>
          <w:lang w:eastAsia="ru-RU"/>
        </w:rPr>
        <w:t xml:space="preserve"> до зданий, сооружений и инженерных сетей при диаметре трубопроводов (далее –Д у): 1) надземная прокладка: Д у &lt;200 мм - 10 м; Д у от 200 до 500 мм - 20 м; Д у&gt; 500 мм - 25 м; 2) подземная прокладка: Д у &lt; 500 мм - 5 м; Д у &gt; 500 мм - 8 м.</w:t>
      </w:r>
      <w:r/>
    </w:p>
    <w:p>
      <w:pPr>
        <w:ind w:firstLine="567"/>
        <w:jc w:val="both"/>
        <w:widowControl/>
        <w:rPr>
          <w:sz w:val="24"/>
          <w:szCs w:val="24"/>
          <w:lang w:eastAsia="ru-RU"/>
        </w:rPr>
      </w:pPr>
      <w:r>
        <w:rPr>
          <w:sz w:val="24"/>
          <w:szCs w:val="24"/>
          <w:lang w:eastAsia="ru-RU"/>
        </w:rPr>
        <w:t xml:space="preserve">Минимально допустимые расстояния от тепловых сетей до зданий, </w:t>
      </w:r>
      <w:r>
        <w:rPr>
          <w:sz w:val="24"/>
          <w:szCs w:val="24"/>
          <w:lang w:eastAsia="ru-RU"/>
        </w:rPr>
        <w:t xml:space="preserve">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 в соответствии с требованиями </w:t>
      </w:r>
      <w:hyperlink r:id="rId105" w:tooltip="https://login.consultant.ru/link/?req=doc&amp;base=STR&amp;n=9826&amp;date=30.07.2022" w:history="1">
        <w:r>
          <w:rPr>
            <w:color w:val="000000"/>
            <w:sz w:val="24"/>
            <w:szCs w:val="24"/>
            <w:u w:val="single"/>
            <w:lang w:eastAsia="ru-RU"/>
          </w:rPr>
          <w:t xml:space="preserve">СНиП 2.04.07-86</w:t>
        </w:r>
      </w:hyperlink>
      <w:r>
        <w:rPr>
          <w:sz w:val="24"/>
          <w:szCs w:val="24"/>
          <w:lang w:eastAsia="ru-RU"/>
        </w:rPr>
        <w:t xml:space="preserve">"Тепловые сети".</w:t>
      </w:r>
      <w:r/>
    </w:p>
    <w:p>
      <w:pPr>
        <w:ind w:firstLine="567"/>
        <w:jc w:val="both"/>
        <w:widowControl/>
        <w:rPr>
          <w:sz w:val="24"/>
          <w:szCs w:val="24"/>
          <w:lang w:eastAsia="ru-RU"/>
        </w:rPr>
      </w:pPr>
      <w:r>
        <w:rPr>
          <w:sz w:val="24"/>
          <w:szCs w:val="24"/>
          <w:lang w:eastAsia="ru-RU"/>
        </w:rPr>
        <w:t xml:space="preserve">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 </w:t>
      </w:r>
      <w:r/>
    </w:p>
    <w:p>
      <w:pPr>
        <w:ind w:firstLine="567"/>
        <w:jc w:val="both"/>
        <w:widowControl/>
        <w:rPr>
          <w:sz w:val="24"/>
          <w:szCs w:val="24"/>
          <w:lang w:eastAsia="ru-RU"/>
        </w:rPr>
      </w:pPr>
      <w:r>
        <w:rPr>
          <w:sz w:val="24"/>
          <w:szCs w:val="24"/>
          <w:lang w:eastAsia="ru-RU"/>
        </w:rPr>
        <w:t xml:space="preserve">- размещать автозаправочные станции, хранилища горюче-смазочных материалов, складировать агрессивные химические материалы; </w:t>
      </w:r>
      <w:r/>
    </w:p>
    <w:p>
      <w:pPr>
        <w:ind w:firstLine="567"/>
        <w:jc w:val="both"/>
        <w:widowControl/>
        <w:rPr>
          <w:sz w:val="24"/>
          <w:szCs w:val="24"/>
          <w:lang w:eastAsia="ru-RU"/>
        </w:rPr>
      </w:pPr>
      <w:r>
        <w:rPr>
          <w:sz w:val="24"/>
          <w:szCs w:val="24"/>
          <w:lang w:eastAsia="ru-RU"/>
        </w:rPr>
        <w:t xml:space="preserve">- 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 </w:t>
      </w:r>
      <w:r/>
    </w:p>
    <w:p>
      <w:pPr>
        <w:ind w:firstLine="567"/>
        <w:jc w:val="both"/>
        <w:widowControl/>
        <w:rPr>
          <w:sz w:val="24"/>
          <w:szCs w:val="24"/>
          <w:lang w:eastAsia="ru-RU"/>
        </w:rPr>
      </w:pPr>
      <w:r>
        <w:rPr>
          <w:sz w:val="24"/>
          <w:szCs w:val="24"/>
          <w:lang w:eastAsia="ru-RU"/>
        </w:rPr>
        <w:t xml:space="preserve">- 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 </w:t>
      </w:r>
      <w:r/>
    </w:p>
    <w:p>
      <w:pPr>
        <w:ind w:firstLine="567"/>
        <w:jc w:val="both"/>
        <w:widowControl/>
        <w:rPr>
          <w:sz w:val="24"/>
          <w:szCs w:val="24"/>
          <w:lang w:eastAsia="ru-RU"/>
        </w:rPr>
      </w:pPr>
      <w:r>
        <w:rPr>
          <w:sz w:val="24"/>
          <w:szCs w:val="24"/>
          <w:lang w:eastAsia="ru-RU"/>
        </w:rPr>
        <w:t xml:space="preserve">- устраивать всякого рода свалки, разжигать костры, сжигать бытовой мусор или промышленные отходы; </w:t>
      </w:r>
      <w:r/>
    </w:p>
    <w:p>
      <w:pPr>
        <w:ind w:firstLine="567"/>
        <w:jc w:val="both"/>
        <w:widowControl/>
        <w:rPr>
          <w:sz w:val="24"/>
          <w:szCs w:val="24"/>
          <w:lang w:eastAsia="ru-RU"/>
        </w:rPr>
      </w:pPr>
      <w:r>
        <w:rPr>
          <w:sz w:val="24"/>
          <w:szCs w:val="24"/>
          <w:lang w:eastAsia="ru-RU"/>
        </w:rPr>
        <w:t xml:space="preserve">- производить работы ударными механизмами, производить сброс и слив едких и коррозионно-активных веществ и горюче-смазочных материалов; </w:t>
      </w:r>
      <w:r/>
    </w:p>
    <w:p>
      <w:pPr>
        <w:ind w:firstLine="567"/>
        <w:jc w:val="both"/>
        <w:widowControl/>
        <w:rPr>
          <w:sz w:val="24"/>
          <w:szCs w:val="24"/>
          <w:lang w:eastAsia="ru-RU"/>
        </w:rPr>
      </w:pPr>
      <w:r>
        <w:rPr>
          <w:sz w:val="24"/>
          <w:szCs w:val="24"/>
          <w:lang w:eastAsia="ru-RU"/>
        </w:rPr>
        <w:t xml:space="preserve">- 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 </w:t>
      </w:r>
      <w:r/>
    </w:p>
    <w:p>
      <w:pPr>
        <w:ind w:firstLine="567"/>
        <w:jc w:val="both"/>
        <w:widowControl/>
        <w:rPr>
          <w:sz w:val="24"/>
          <w:szCs w:val="24"/>
          <w:lang w:eastAsia="ru-RU"/>
        </w:rPr>
      </w:pPr>
      <w:r>
        <w:rPr>
          <w:sz w:val="24"/>
          <w:szCs w:val="24"/>
          <w:lang w:eastAsia="ru-RU"/>
        </w:rPr>
        <w:t xml:space="preserve">- 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 </w:t>
      </w:r>
      <w:r/>
    </w:p>
    <w:p>
      <w:pPr>
        <w:ind w:firstLine="567"/>
        <w:jc w:val="both"/>
        <w:widowControl/>
        <w:rPr>
          <w:sz w:val="24"/>
          <w:szCs w:val="24"/>
          <w:lang w:eastAsia="ru-RU"/>
        </w:rPr>
      </w:pPr>
      <w:r>
        <w:rPr>
          <w:sz w:val="24"/>
          <w:szCs w:val="24"/>
          <w:lang w:eastAsia="ru-RU"/>
        </w:rPr>
        <w:t xml:space="preserve">- 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 </w:t>
      </w:r>
      <w:r/>
    </w:p>
    <w:p>
      <w:pPr>
        <w:ind w:firstLine="567"/>
        <w:jc w:val="both"/>
        <w:widowControl/>
        <w:rPr>
          <w:sz w:val="24"/>
          <w:szCs w:val="24"/>
          <w:lang w:eastAsia="ru-RU"/>
        </w:rPr>
      </w:pPr>
      <w:r/>
      <w:bookmarkStart w:id="17" w:name="p9"/>
      <w:r/>
      <w:bookmarkEnd w:id="17"/>
      <w:r>
        <w:rPr>
          <w:sz w:val="24"/>
          <w:szCs w:val="24"/>
          <w:lang w:eastAsia="ru-RU"/>
        </w:rPr>
        <w:t xml:space="preserve">В пределах территории охранных зон тепловых сетей без письменного согласия предприятий и организаций, в ведении которых находятся эти сети, запрещается: </w:t>
      </w:r>
      <w:r/>
    </w:p>
    <w:p>
      <w:pPr>
        <w:ind w:firstLine="567"/>
        <w:jc w:val="both"/>
        <w:widowControl/>
        <w:rPr>
          <w:sz w:val="24"/>
          <w:szCs w:val="24"/>
          <w:lang w:eastAsia="ru-RU"/>
        </w:rPr>
      </w:pPr>
      <w:r>
        <w:rPr>
          <w:sz w:val="24"/>
          <w:szCs w:val="24"/>
          <w:lang w:eastAsia="ru-RU"/>
        </w:rPr>
        <w:t xml:space="preserve">- производить строительство, капитальный ремонт, реконструкцию или снос любых зданий и сооружений; </w:t>
      </w:r>
      <w:r/>
    </w:p>
    <w:p>
      <w:pPr>
        <w:ind w:firstLine="567"/>
        <w:jc w:val="both"/>
        <w:widowControl/>
        <w:rPr>
          <w:sz w:val="24"/>
          <w:szCs w:val="24"/>
          <w:lang w:eastAsia="ru-RU"/>
        </w:rPr>
      </w:pPr>
      <w:r>
        <w:rPr>
          <w:sz w:val="24"/>
          <w:szCs w:val="24"/>
          <w:lang w:eastAsia="ru-RU"/>
        </w:rPr>
        <w:t xml:space="preserve">- производить земляные работы, планировку грунта, посадку деревьев и кустарников, устраивать монументальные клумбы; </w:t>
      </w:r>
      <w:r/>
    </w:p>
    <w:p>
      <w:pPr>
        <w:ind w:firstLine="567"/>
        <w:jc w:val="both"/>
        <w:widowControl/>
        <w:rPr>
          <w:sz w:val="24"/>
          <w:szCs w:val="24"/>
          <w:lang w:eastAsia="ru-RU"/>
        </w:rPr>
      </w:pPr>
      <w:r>
        <w:rPr>
          <w:sz w:val="24"/>
          <w:szCs w:val="24"/>
          <w:lang w:eastAsia="ru-RU"/>
        </w:rPr>
        <w:t xml:space="preserve">- производить погрузочно-разгрузочные работы, а также работы, связанные с разбиванием грунта и дорожных покрытий; </w:t>
      </w:r>
      <w:r/>
    </w:p>
    <w:p>
      <w:pPr>
        <w:ind w:firstLine="567"/>
        <w:jc w:val="both"/>
        <w:rPr>
          <w:sz w:val="24"/>
          <w:szCs w:val="24"/>
          <w:lang w:eastAsia="ru-RU"/>
        </w:rPr>
      </w:pPr>
      <w:r>
        <w:rPr>
          <w:sz w:val="24"/>
          <w:szCs w:val="24"/>
          <w:lang w:eastAsia="ru-RU"/>
        </w:rPr>
        <w:t xml:space="preserve">- сооружать переезды и переходы через трубопроводы тепловых сетей.</w:t>
      </w:r>
      <w:r/>
    </w:p>
    <w:p>
      <w:pPr>
        <w:ind w:firstLine="567"/>
        <w:jc w:val="both"/>
        <w:rPr>
          <w:sz w:val="24"/>
          <w:szCs w:val="24"/>
          <w:lang w:eastAsia="ru-RU"/>
        </w:rPr>
      </w:pPr>
      <w:r>
        <w:rPr>
          <w:sz w:val="24"/>
          <w:szCs w:val="24"/>
          <w:lang w:eastAsia="ru-RU"/>
        </w:rPr>
      </w:r>
      <w:r/>
    </w:p>
    <w:p>
      <w:pPr>
        <w:ind w:firstLine="567"/>
        <w:jc w:val="center"/>
        <w:rPr>
          <w:b/>
          <w:sz w:val="24"/>
          <w:szCs w:val="24"/>
          <w:lang w:eastAsia="ru-RU"/>
        </w:rPr>
      </w:pPr>
      <w:r>
        <w:rPr>
          <w:b/>
          <w:sz w:val="24"/>
          <w:szCs w:val="24"/>
          <w:lang w:eastAsia="ru-RU"/>
        </w:rPr>
        <w:t xml:space="preserve">Охранная зона канализационных сетей</w:t>
      </w:r>
      <w:r/>
    </w:p>
    <w:p>
      <w:pPr>
        <w:ind w:firstLine="567"/>
        <w:jc w:val="center"/>
        <w:rPr>
          <w:b/>
          <w:sz w:val="24"/>
          <w:szCs w:val="24"/>
          <w:lang w:eastAsia="ru-RU"/>
        </w:rPr>
      </w:pPr>
      <w:r>
        <w:rPr>
          <w:b/>
          <w:sz w:val="24"/>
          <w:szCs w:val="24"/>
          <w:lang w:eastAsia="ru-RU"/>
        </w:rPr>
      </w:r>
      <w:r/>
    </w:p>
    <w:p>
      <w:pPr>
        <w:contextualSpacing/>
        <w:ind w:firstLine="567"/>
        <w:jc w:val="both"/>
        <w:widowControl/>
        <w:rPr>
          <w:rFonts w:eastAsia="Calibri"/>
          <w:sz w:val="24"/>
          <w:szCs w:val="24"/>
          <w:lang w:eastAsia="en-US"/>
        </w:rPr>
      </w:pPr>
      <w:r>
        <w:rPr>
          <w:rFonts w:eastAsia="Calibri"/>
          <w:sz w:val="24"/>
          <w:szCs w:val="24"/>
          <w:lang w:eastAsia="en-US"/>
        </w:rPr>
        <w:t xml:space="preserve">Разновидности объектов канализации (водоотведения) перечислены в </w:t>
      </w:r>
      <w:hyperlink r:id="rId106" w:tooltip="https://login.consultant.ru/link/?req=doc&amp;base=STR&amp;n=28744&amp;date=16.08.2022" w:history="1">
        <w:r>
          <w:rPr>
            <w:rFonts w:eastAsia="Calibri"/>
            <w:color w:val="000000"/>
            <w:sz w:val="24"/>
            <w:szCs w:val="24"/>
            <w:lang w:eastAsia="en-US"/>
          </w:rPr>
          <w:t xml:space="preserve">СП 32.13330.2018</w:t>
        </w:r>
      </w:hyperlink>
      <w:r>
        <w:rPr>
          <w:rFonts w:eastAsia="Calibri"/>
          <w:sz w:val="24"/>
          <w:szCs w:val="24"/>
          <w:lang w:eastAsia="en-US"/>
        </w:rPr>
        <w:t xml:space="preserve">"Свод правил. Канализация. Наружные сети и сооружения СНиП 2.04.03-85", утв. и введен в действие Приказом Минстроя России от 25.12.2018 N 860/пр. </w:t>
      </w:r>
      <w:r/>
    </w:p>
    <w:p>
      <w:pPr>
        <w:contextualSpacing/>
        <w:ind w:firstLine="567"/>
        <w:jc w:val="both"/>
        <w:widowControl/>
        <w:rPr>
          <w:rFonts w:eastAsia="Calibri"/>
          <w:sz w:val="24"/>
          <w:szCs w:val="24"/>
          <w:lang w:eastAsia="en-US"/>
        </w:rPr>
      </w:pPr>
      <w:r/>
      <w:hyperlink r:id="rId107" w:tooltip="https://login.consultant.ru/link/?req=doc&amp;base=STR&amp;n=28744&amp;dst=100143&amp;field=134&amp;date=16.08.2022" w:history="1">
        <w:r>
          <w:rPr>
            <w:rFonts w:eastAsia="Calibri"/>
            <w:color w:val="000000"/>
            <w:sz w:val="24"/>
            <w:szCs w:val="24"/>
            <w:lang w:eastAsia="en-US"/>
          </w:rPr>
          <w:t xml:space="preserve">Пунктом 4.20</w:t>
        </w:r>
      </w:hyperlink>
      <w:r>
        <w:rPr>
          <w:rFonts w:eastAsia="Calibri"/>
          <w:sz w:val="24"/>
          <w:szCs w:val="24"/>
          <w:lang w:eastAsia="en-US"/>
        </w:rPr>
        <w:t xml:space="preserve"> С</w:t>
      </w:r>
      <w:r>
        <w:rPr>
          <w:rFonts w:eastAsia="Calibri"/>
          <w:sz w:val="24"/>
          <w:szCs w:val="24"/>
          <w:lang w:eastAsia="en-US"/>
        </w:rPr>
        <w:t xml:space="preserve">вода правил предусмотрено, что санитарно-защитные зоны от сооружений водоотведения до границ зданий жилой застройки, участков общественных зданий и предприятий пищевой промышленности с учетом их перспективного расширения следует принимать в соответствии с </w:t>
      </w:r>
      <w:hyperlink r:id="rId108" w:tooltip="https://login.consultant.ru/link/?req=doc&amp;base=LAW&amp;n=31715&amp;dst=100013&amp;field=134&amp;date=16.08.2022" w:history="1">
        <w:r>
          <w:rPr>
            <w:rFonts w:eastAsia="Calibri"/>
            <w:color w:val="000000"/>
            <w:sz w:val="24"/>
            <w:szCs w:val="24"/>
            <w:lang w:eastAsia="en-US"/>
          </w:rPr>
          <w:t xml:space="preserve">СанПиН 2.1.6.1032</w:t>
        </w:r>
      </w:hyperlink>
      <w:r>
        <w:rPr>
          <w:rFonts w:eastAsia="Calibri"/>
          <w:sz w:val="24"/>
          <w:szCs w:val="24"/>
          <w:lang w:eastAsia="en-US"/>
        </w:rPr>
        <w:t xml:space="preserve"> (заменены на </w:t>
      </w:r>
      <w:hyperlink r:id="rId109" w:tooltip="https://login.consultant.ru/link/?req=doc&amp;base=LAW&amp;n=409735&amp;dst=100041&amp;field=134&amp;date=16.08.2022" w:history="1">
        <w:r>
          <w:rPr>
            <w:rFonts w:eastAsia="Calibri"/>
            <w:color w:val="000000"/>
            <w:sz w:val="24"/>
            <w:szCs w:val="24"/>
            <w:lang w:eastAsia="en-US"/>
          </w:rPr>
          <w:t xml:space="preserve">СанПиН 2.1.3684-21</w:t>
        </w:r>
      </w:hyperlink>
      <w:r>
        <w:rPr>
          <w:rFonts w:eastAsia="Calibri"/>
          <w:sz w:val="24"/>
          <w:szCs w:val="24"/>
          <w:lang w:eastAsia="en-US"/>
        </w:rPr>
        <w:t xml:space="preserve">"Санитарно-эпидемиологические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w:t>
      </w:r>
      <w:r>
        <w:rPr>
          <w:rFonts w:eastAsia="Calibri"/>
          <w:sz w:val="24"/>
          <w:szCs w:val="24"/>
          <w:lang w:eastAsia="en-US"/>
        </w:rPr>
        <w:t xml:space="preserve">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а случаи отступления от них должны согласовываться с органами санитарно-эпидемиологического надзора. </w:t>
      </w:r>
      <w:r/>
    </w:p>
    <w:p>
      <w:pPr>
        <w:contextualSpacing/>
        <w:ind w:firstLine="567"/>
        <w:jc w:val="both"/>
        <w:widowControl/>
        <w:rPr>
          <w:rFonts w:eastAsia="Calibri"/>
          <w:sz w:val="24"/>
          <w:szCs w:val="24"/>
          <w:lang w:eastAsia="en-US"/>
        </w:rPr>
      </w:pPr>
      <w:r>
        <w:rPr>
          <w:rFonts w:eastAsia="Calibri"/>
          <w:sz w:val="24"/>
          <w:szCs w:val="24"/>
          <w:lang w:eastAsia="en-US"/>
        </w:rPr>
        <w:t xml:space="preserve">В настоящее время действуют </w:t>
      </w:r>
      <w:hyperlink r:id="rId110" w:tooltip="https://login.consultant.ru/link/?req=doc&amp;base=LAW&amp;n=411554&amp;dst=100013&amp;field=134&amp;date=16.08.2022" w:history="1">
        <w:r>
          <w:rPr>
            <w:rFonts w:eastAsia="Calibri"/>
            <w:color w:val="000000"/>
            <w:sz w:val="24"/>
            <w:szCs w:val="24"/>
            <w:lang w:eastAsia="en-US"/>
          </w:rPr>
          <w:t xml:space="preserve">СанПиН 2.2.1/2.1.1.1200-03</w:t>
        </w:r>
      </w:hyperlink>
      <w:r>
        <w:rPr>
          <w:rFonts w:eastAsia="Calibri"/>
          <w:sz w:val="24"/>
          <w:szCs w:val="24"/>
          <w:lang w:eastAsia="en-US"/>
        </w:rPr>
        <w:t xml:space="preserve">"Санитарно-защитные зоны и санитарная классификация предприятий, сооружений и иных объектов", утв. Постановлением Главного государственного санитарного врача РФ от 25.09</w:t>
      </w:r>
      <w:r>
        <w:rPr>
          <w:rFonts w:eastAsia="Calibri"/>
          <w:sz w:val="24"/>
          <w:szCs w:val="24"/>
          <w:lang w:eastAsia="en-US"/>
        </w:rPr>
        <w:t xml:space="preserve">.2007 N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 (далее - СанПиН 2.2.1/2.1.1.1200-03). </w:t>
      </w:r>
      <w:r/>
    </w:p>
    <w:p>
      <w:pPr>
        <w:contextualSpacing/>
        <w:ind w:firstLine="567"/>
        <w:jc w:val="both"/>
        <w:widowControl/>
        <w:rPr>
          <w:rFonts w:eastAsia="Calibri"/>
          <w:sz w:val="24"/>
          <w:szCs w:val="24"/>
          <w:lang w:eastAsia="en-US"/>
        </w:rPr>
      </w:pPr>
      <w:r/>
      <w:hyperlink r:id="rId111" w:tooltip="https://login.consultant.ru/link/?req=doc&amp;base=LAW&amp;n=409735&amp;dst=100203&amp;field=134&amp;date=16.08.2022" w:history="1">
        <w:r>
          <w:rPr>
            <w:rFonts w:eastAsia="Calibri"/>
            <w:color w:val="000000"/>
            <w:sz w:val="24"/>
            <w:szCs w:val="24"/>
            <w:lang w:eastAsia="en-US"/>
          </w:rPr>
          <w:t xml:space="preserve">Пунктами 66</w:t>
        </w:r>
      </w:hyperlink>
      <w:r>
        <w:rPr>
          <w:rFonts w:eastAsia="Calibri"/>
          <w:color w:val="000000"/>
          <w:sz w:val="24"/>
          <w:szCs w:val="24"/>
          <w:lang w:eastAsia="en-US"/>
        </w:rPr>
        <w:t xml:space="preserve"> - </w:t>
      </w:r>
      <w:hyperlink r:id="rId112" w:tooltip="https://login.consultant.ru/link/?req=doc&amp;base=LAW&amp;n=409735&amp;dst=100240&amp;field=134&amp;date=16.08.2022" w:history="1">
        <w:r>
          <w:rPr>
            <w:rFonts w:eastAsia="Calibri"/>
            <w:color w:val="000000"/>
            <w:sz w:val="24"/>
            <w:szCs w:val="24"/>
            <w:lang w:eastAsia="en-US"/>
          </w:rPr>
          <w:t xml:space="preserve">74</w:t>
        </w:r>
      </w:hyperlink>
      <w:r>
        <w:rPr>
          <w:rFonts w:eastAsia="Calibri"/>
          <w:sz w:val="24"/>
          <w:szCs w:val="24"/>
          <w:lang w:eastAsia="en-US"/>
        </w:rPr>
        <w:t xml:space="preserve"> СанПиН 2.1.3684-21 "Санитарно-эпидемиологические требования к содержанию территорий городских и сельских поселений, к водным объектам, питьевой воде и пи</w:t>
      </w:r>
      <w:r>
        <w:rPr>
          <w:rFonts w:eastAsia="Calibri"/>
          <w:sz w:val="24"/>
          <w:szCs w:val="24"/>
          <w:lang w:eastAsia="en-US"/>
        </w:rPr>
        <w:t xml:space="preserve">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утв. Постановлением Главного государствен</w:t>
      </w:r>
      <w:r>
        <w:rPr>
          <w:rFonts w:eastAsia="Calibri"/>
          <w:sz w:val="24"/>
          <w:szCs w:val="24"/>
          <w:lang w:eastAsia="en-US"/>
        </w:rPr>
        <w:t xml:space="preserve">ного санитарного врача РФ от 28.01.2021 N 3, установлены требования к установлению санитарно-защитных зон и показателям нормативов по предельно допустимым концентрациям загрязняющих веществ, ориентировочным безопасным уровням воздействия, предельно допусти</w:t>
      </w:r>
      <w:r>
        <w:rPr>
          <w:rFonts w:eastAsia="Calibri"/>
          <w:sz w:val="24"/>
          <w:szCs w:val="24"/>
          <w:lang w:eastAsia="en-US"/>
        </w:rPr>
        <w:t xml:space="preserve">мым уровням физического воздействия, а также по биологическим факторам, обеспечивающим их безопасность для здоровья человека при эксплуатации объектов, являющихся источниками химического, физического, биологического воздействия на среду обитания человека. </w:t>
      </w:r>
      <w:r/>
    </w:p>
    <w:p>
      <w:pPr>
        <w:contextualSpacing/>
        <w:ind w:firstLine="567"/>
        <w:jc w:val="both"/>
        <w:widowControl/>
        <w:rPr>
          <w:rFonts w:eastAsia="Calibri"/>
          <w:sz w:val="24"/>
          <w:szCs w:val="24"/>
          <w:lang w:eastAsia="en-US"/>
        </w:rPr>
      </w:pPr>
      <w:r>
        <w:rPr>
          <w:rFonts w:eastAsia="Calibri"/>
          <w:sz w:val="24"/>
          <w:szCs w:val="24"/>
          <w:lang w:eastAsia="en-US"/>
        </w:rPr>
        <w:t xml:space="preserve">В соответствии с </w:t>
      </w:r>
      <w:hyperlink r:id="rId113" w:tooltip="https://login.consultant.ru/link/?req=doc&amp;base=LAW&amp;n=117791&amp;dst=100453&amp;field=134&amp;date=16.08.2022" w:history="1">
        <w:r>
          <w:rPr>
            <w:rFonts w:eastAsia="Calibri"/>
            <w:color w:val="000000"/>
            <w:sz w:val="24"/>
            <w:szCs w:val="24"/>
            <w:lang w:eastAsia="en-US"/>
          </w:rPr>
          <w:t xml:space="preserve">п. 2.6.1</w:t>
        </w:r>
      </w:hyperlink>
      <w:r>
        <w:rPr>
          <w:rFonts w:eastAsia="Calibri"/>
          <w:sz w:val="24"/>
          <w:szCs w:val="24"/>
          <w:lang w:eastAsia="en-US"/>
        </w:rPr>
        <w:t xml:space="preserve"> Правил технической эксплуатации систем и сооружений коммунального водоснабжения и канализации, утв. </w:t>
      </w:r>
      <w:hyperlink r:id="rId114" w:tooltip="https://login.consultant.ru/link/?req=doc&amp;base=LAW&amp;n=117744&amp;dst=100005&amp;field=134&amp;date=16.08.2022" w:history="1">
        <w:r>
          <w:rPr>
            <w:rFonts w:eastAsia="Calibri"/>
            <w:color w:val="000000"/>
            <w:sz w:val="24"/>
            <w:szCs w:val="24"/>
            <w:lang w:eastAsia="en-US"/>
          </w:rPr>
          <w:t xml:space="preserve">Приказом</w:t>
        </w:r>
      </w:hyperlink>
      <w:r>
        <w:rPr>
          <w:rFonts w:eastAsia="Calibri"/>
          <w:sz w:val="24"/>
          <w:szCs w:val="24"/>
          <w:lang w:eastAsia="en-US"/>
        </w:rPr>
        <w:t xml:space="preserve"> Госстроя России от 30.12.1999 N 168, для всех источников водоснабжения и водопроводов хозяйственно-питьевого назначения обязательно устройство зон санитарной охраны (ЗСО). </w:t>
      </w:r>
      <w:r/>
    </w:p>
    <w:p>
      <w:pPr>
        <w:contextualSpacing/>
        <w:ind w:firstLine="567"/>
        <w:jc w:val="both"/>
        <w:widowControl/>
        <w:rPr>
          <w:rFonts w:eastAsia="Calibri"/>
          <w:sz w:val="24"/>
          <w:szCs w:val="24"/>
          <w:lang w:eastAsia="en-US"/>
        </w:rPr>
      </w:pPr>
      <w:r>
        <w:rPr>
          <w:rFonts w:eastAsia="Calibri"/>
          <w:sz w:val="24"/>
          <w:szCs w:val="24"/>
          <w:lang w:eastAsia="en-US"/>
        </w:rPr>
        <w:t xml:space="preserve">Размеры санитарно-защитных зон для канализационных очистных сооружений определяются в соответствии с </w:t>
      </w:r>
      <w:hyperlink r:id="rId115" w:tooltip="https://login.consultant.ru/link/?req=doc&amp;base=LAW&amp;n=411554&amp;dst=100693&amp;field=134&amp;date=16.08.2022" w:history="1">
        <w:r>
          <w:rPr>
            <w:rFonts w:eastAsia="Calibri"/>
            <w:color w:val="000000"/>
            <w:sz w:val="24"/>
            <w:szCs w:val="24"/>
            <w:lang w:eastAsia="en-US"/>
          </w:rPr>
          <w:t xml:space="preserve">разд. 13</w:t>
        </w:r>
      </w:hyperlink>
      <w:r>
        <w:rPr>
          <w:rFonts w:eastAsia="Calibri"/>
          <w:sz w:val="24"/>
          <w:szCs w:val="24"/>
          <w:lang w:eastAsia="en-US"/>
        </w:rPr>
        <w:t xml:space="preserve"> Санитарной классификации. Таблица 7.1 СанПиН 2.2.1/2.1.1.1200-03. </w:t>
      </w:r>
      <w:r/>
    </w:p>
    <w:p>
      <w:pPr>
        <w:contextualSpacing/>
        <w:ind w:firstLine="567"/>
        <w:jc w:val="both"/>
        <w:widowControl/>
        <w:rPr>
          <w:rFonts w:eastAsia="Calibri"/>
          <w:sz w:val="24"/>
          <w:szCs w:val="24"/>
          <w:lang w:eastAsia="en-US"/>
        </w:rPr>
      </w:pPr>
      <w:r>
        <w:rPr>
          <w:rFonts w:eastAsia="Calibri"/>
          <w:sz w:val="24"/>
          <w:szCs w:val="24"/>
          <w:lang w:eastAsia="en-US"/>
        </w:rPr>
        <w:t xml:space="preserve">Санитарно-защитная зона от очистных сооружений поверхностного стока открытого типа до жилой тер</w:t>
      </w:r>
      <w:r>
        <w:rPr>
          <w:rFonts w:eastAsia="Calibri"/>
          <w:sz w:val="24"/>
          <w:szCs w:val="24"/>
          <w:lang w:eastAsia="en-US"/>
        </w:rPr>
        <w:t xml:space="preserve">ритории - 100 м, закрытого типа - 50 м (п. 12.18 СП 42.13330.2016 "Свод правил. Градостроительство. Планировка и застройка городских и сельских поселений. Актуализированная редакция СНиП 2.07.01-89*", утв. Приказом Минстроя России от 30.12.2016 N 1034/пр).</w:t>
      </w:r>
      <w:r/>
    </w:p>
    <w:p>
      <w:pPr>
        <w:contextualSpacing/>
        <w:ind w:firstLine="567"/>
        <w:jc w:val="both"/>
        <w:widowControl/>
        <w:rPr>
          <w:rFonts w:eastAsia="Calibri"/>
          <w:sz w:val="24"/>
          <w:szCs w:val="24"/>
          <w:lang w:eastAsia="en-US"/>
        </w:rPr>
      </w:pPr>
      <w:r>
        <w:rPr>
          <w:rFonts w:eastAsia="Calibri"/>
          <w:sz w:val="24"/>
          <w:szCs w:val="24"/>
          <w:lang w:eastAsia="en-US"/>
        </w:rPr>
      </w:r>
      <w:r/>
    </w:p>
    <w:p>
      <w:pPr>
        <w:ind w:firstLine="567"/>
        <w:jc w:val="center"/>
        <w:rPr>
          <w:b/>
          <w:sz w:val="24"/>
          <w:szCs w:val="24"/>
          <w:lang w:eastAsia="ru-RU"/>
        </w:rPr>
      </w:pPr>
      <w:r>
        <w:rPr>
          <w:b/>
          <w:sz w:val="24"/>
          <w:szCs w:val="24"/>
          <w:lang w:eastAsia="ru-RU"/>
        </w:rPr>
        <w:t xml:space="preserve">Придорожная полоса</w:t>
      </w:r>
      <w:r/>
    </w:p>
    <w:p>
      <w:pPr>
        <w:ind w:firstLine="567"/>
        <w:jc w:val="center"/>
        <w:rPr>
          <w:b/>
          <w:sz w:val="24"/>
          <w:szCs w:val="24"/>
          <w:lang w:eastAsia="ru-RU"/>
        </w:rPr>
      </w:pPr>
      <w:r>
        <w:rPr>
          <w:b/>
          <w:sz w:val="24"/>
          <w:szCs w:val="24"/>
          <w:lang w:eastAsia="ru-RU"/>
        </w:rPr>
      </w:r>
      <w:r/>
    </w:p>
    <w:p>
      <w:pPr>
        <w:ind w:firstLine="567"/>
        <w:jc w:val="both"/>
        <w:widowControl/>
        <w:rPr>
          <w:rFonts w:eastAsia="Calibri"/>
          <w:sz w:val="24"/>
          <w:szCs w:val="24"/>
          <w:lang w:eastAsia="en-US"/>
        </w:rPr>
      </w:pPr>
      <w:r>
        <w:rPr>
          <w:rFonts w:eastAsia="Calibri"/>
          <w:sz w:val="24"/>
          <w:szCs w:val="24"/>
          <w:lang w:eastAsia="en-US"/>
        </w:rPr>
        <w:t xml:space="preserve">Для автомобильных дорог, за исключением автомобильных дорог, расположенных в границах населенных пунктов, устанавливаются придорожные полосы.</w:t>
      </w:r>
      <w:r/>
    </w:p>
    <w:p>
      <w:pPr>
        <w:ind w:firstLine="567"/>
        <w:jc w:val="both"/>
        <w:widowControl/>
        <w:rPr>
          <w:rFonts w:eastAsia="Calibri"/>
          <w:sz w:val="24"/>
          <w:szCs w:val="24"/>
          <w:lang w:eastAsia="en-US"/>
        </w:rPr>
      </w:pPr>
      <w:r>
        <w:rPr>
          <w:rFonts w:eastAsia="Calibri"/>
          <w:sz w:val="24"/>
          <w:szCs w:val="24"/>
          <w:lang w:eastAsia="en-US"/>
        </w:rPr>
        <w:t xml:space="preserve">Придорожные полосы автомобильной дороги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w:t>
      </w:r>
      <w:r>
        <w:rPr>
          <w:rFonts w:eastAsia="Calibri"/>
          <w:sz w:val="24"/>
          <w:szCs w:val="24"/>
          <w:lang w:eastAsia="en-US"/>
        </w:rPr>
        <w:t xml:space="preserve">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r/>
    </w:p>
    <w:p>
      <w:pPr>
        <w:ind w:firstLine="567"/>
        <w:jc w:val="both"/>
        <w:widowControl/>
        <w:rPr>
          <w:rFonts w:eastAsia="Calibri"/>
          <w:sz w:val="24"/>
          <w:szCs w:val="24"/>
          <w:lang w:eastAsia="en-US"/>
        </w:rPr>
      </w:pPr>
      <w:r>
        <w:rPr>
          <w:rFonts w:eastAsia="Calibri"/>
          <w:sz w:val="24"/>
          <w:szCs w:val="24"/>
          <w:lang w:eastAsia="en-US"/>
        </w:rPr>
        <w:t xml:space="preserve">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r/>
    </w:p>
    <w:p>
      <w:pPr>
        <w:ind w:firstLine="567"/>
        <w:jc w:val="both"/>
        <w:widowControl/>
        <w:rPr>
          <w:rFonts w:eastAsia="Calibri"/>
          <w:sz w:val="24"/>
          <w:szCs w:val="24"/>
          <w:lang w:eastAsia="en-US"/>
        </w:rPr>
      </w:pPr>
      <w:r>
        <w:rPr>
          <w:rFonts w:eastAsia="Calibri"/>
          <w:sz w:val="24"/>
          <w:szCs w:val="24"/>
          <w:lang w:eastAsia="en-US"/>
        </w:rPr>
        <w:t xml:space="preserve">- для автомобильных дорог I и II категорий - 75 метров;</w:t>
      </w:r>
      <w:r/>
    </w:p>
    <w:p>
      <w:pPr>
        <w:ind w:firstLine="567"/>
        <w:jc w:val="both"/>
        <w:widowControl/>
        <w:rPr>
          <w:rFonts w:eastAsia="Calibri"/>
          <w:sz w:val="24"/>
          <w:szCs w:val="24"/>
          <w:lang w:eastAsia="en-US"/>
        </w:rPr>
      </w:pPr>
      <w:r>
        <w:rPr>
          <w:rFonts w:eastAsia="Calibri"/>
          <w:sz w:val="24"/>
          <w:szCs w:val="24"/>
          <w:lang w:eastAsia="en-US"/>
        </w:rPr>
        <w:t xml:space="preserve">- для автомобильных дорог III и IV категорий - 50 метров;</w:t>
      </w:r>
      <w:r/>
    </w:p>
    <w:p>
      <w:pPr>
        <w:ind w:firstLine="567"/>
        <w:jc w:val="both"/>
        <w:widowControl/>
        <w:rPr>
          <w:rFonts w:eastAsia="Calibri"/>
          <w:sz w:val="24"/>
          <w:szCs w:val="24"/>
          <w:lang w:eastAsia="en-US"/>
        </w:rPr>
      </w:pPr>
      <w:r>
        <w:rPr>
          <w:rFonts w:eastAsia="Calibri"/>
          <w:sz w:val="24"/>
          <w:szCs w:val="24"/>
          <w:lang w:eastAsia="en-US"/>
        </w:rPr>
        <w:t xml:space="preserve">- для автомобильных дорог V категории - 25 метров.</w:t>
      </w:r>
      <w:r/>
    </w:p>
    <w:p>
      <w:pPr>
        <w:ind w:firstLine="567"/>
        <w:jc w:val="both"/>
        <w:widowControl/>
        <w:rPr>
          <w:rFonts w:eastAsia="Calibri"/>
          <w:sz w:val="24"/>
          <w:szCs w:val="24"/>
          <w:lang w:eastAsia="en-US"/>
        </w:rPr>
      </w:pPr>
      <w:r>
        <w:rPr>
          <w:rFonts w:eastAsia="Calibri"/>
          <w:sz w:val="24"/>
          <w:szCs w:val="24"/>
          <w:lang w:eastAsia="en-US"/>
        </w:rPr>
        <w:t xml:space="preserve">Строительство, реконструкция в границах придорожных полос автомобильной дороги объектов капитального строительства, объектов, предназнач</w:t>
      </w:r>
      <w:r>
        <w:rPr>
          <w:rFonts w:eastAsia="Calibri"/>
          <w:sz w:val="24"/>
          <w:szCs w:val="24"/>
          <w:lang w:eastAsia="en-US"/>
        </w:rPr>
        <w:t xml:space="preserve">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w:t>
      </w:r>
      <w:r>
        <w:rPr>
          <w:rFonts w:eastAsia="Calibri"/>
          <w:sz w:val="24"/>
          <w:szCs w:val="24"/>
          <w:lang w:eastAsia="en-US"/>
        </w:rPr>
        <w:t xml:space="preserve">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r/>
    </w:p>
    <w:p>
      <w:pPr>
        <w:ind w:firstLine="567"/>
        <w:jc w:val="both"/>
        <w:widowControl/>
        <w:rPr>
          <w:rFonts w:eastAsia="Calibri"/>
          <w:sz w:val="24"/>
          <w:szCs w:val="24"/>
          <w:lang w:eastAsia="en-US"/>
        </w:rPr>
      </w:pPr>
      <w:r>
        <w:rPr>
          <w:rFonts w:eastAsia="Calibri"/>
          <w:sz w:val="24"/>
          <w:szCs w:val="24"/>
          <w:lang w:eastAsia="en-US"/>
        </w:rPr>
        <w:t xml:space="preserve">Решение об установлении придорожных полос авт</w:t>
      </w:r>
      <w:r>
        <w:rPr>
          <w:rFonts w:eastAsia="Calibri"/>
          <w:sz w:val="24"/>
          <w:szCs w:val="24"/>
          <w:lang w:eastAsia="en-US"/>
        </w:rPr>
        <w:t xml:space="preserve">омобильных дорог федерального, регионального или муниципального, местного значения или об изменении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w:t>
      </w:r>
      <w:r>
        <w:rPr>
          <w:rFonts w:eastAsia="Calibri"/>
          <w:sz w:val="24"/>
          <w:szCs w:val="24"/>
          <w:lang w:eastAsia="en-US"/>
        </w:rPr>
        <w:t xml:space="preserve">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 Федеральный орган исполнительной власти, орган исполнительной власти субъекта Росси</w:t>
      </w:r>
      <w:r>
        <w:rPr>
          <w:rFonts w:eastAsia="Calibri"/>
          <w:sz w:val="24"/>
          <w:szCs w:val="24"/>
          <w:lang w:eastAsia="en-US"/>
        </w:rPr>
        <w:t xml:space="preserve">йской Федерации, орган местного самоуправления, принявшие решение об установлении придорожных полос автомобильных дорог федерального, регионального или межмуниципального, местного значения или об изменении таких придорожных полос, в течение семи дней со дн</w:t>
      </w:r>
      <w:r>
        <w:rPr>
          <w:rFonts w:eastAsia="Calibri"/>
          <w:sz w:val="24"/>
          <w:szCs w:val="24"/>
          <w:lang w:eastAsia="en-US"/>
        </w:rPr>
        <w:t xml:space="preserve">я принятия такого решения направляют копию такого решения в орган местного самоуправления городского округа, орган местного самоуправления муниципального района, орган местного самоуправления поселения, в отношении территорий которых принято такое решение.</w:t>
      </w:r>
      <w:r/>
    </w:p>
    <w:p>
      <w:pPr>
        <w:ind w:firstLine="567"/>
        <w:jc w:val="both"/>
        <w:widowControl/>
        <w:rPr>
          <w:rFonts w:eastAsia="Calibri"/>
          <w:sz w:val="24"/>
          <w:szCs w:val="24"/>
          <w:lang w:eastAsia="en-US"/>
        </w:rPr>
      </w:pPr>
      <w:r>
        <w:rPr>
          <w:rFonts w:eastAsia="Calibri"/>
          <w:sz w:val="24"/>
          <w:szCs w:val="24"/>
          <w:lang w:eastAsia="en-US"/>
        </w:rPr>
      </w:r>
      <w:r/>
    </w:p>
    <w:p>
      <w:pPr>
        <w:ind w:firstLine="567"/>
        <w:jc w:val="center"/>
        <w:rPr>
          <w:b/>
          <w:sz w:val="24"/>
          <w:szCs w:val="24"/>
        </w:rPr>
      </w:pPr>
      <w:r>
        <w:rPr>
          <w:b/>
          <w:sz w:val="24"/>
          <w:szCs w:val="24"/>
        </w:rPr>
        <w:t xml:space="preserve">Иная охраняемая зона</w:t>
      </w:r>
      <w:r/>
    </w:p>
    <w:p>
      <w:pPr>
        <w:ind w:firstLine="567"/>
        <w:jc w:val="center"/>
        <w:rPr>
          <w:b/>
          <w:sz w:val="24"/>
          <w:szCs w:val="24"/>
        </w:rPr>
      </w:pPr>
      <w:r>
        <w:rPr>
          <w:b/>
          <w:sz w:val="24"/>
          <w:szCs w:val="24"/>
        </w:rPr>
      </w:r>
      <w:r/>
    </w:p>
    <w:p>
      <w:pPr>
        <w:contextualSpacing/>
        <w:ind w:firstLine="567"/>
        <w:jc w:val="both"/>
        <w:shd w:val="clear" w:color="auto" w:fill="ffffff"/>
        <w:widowControl/>
        <w:rPr>
          <w:rFonts w:eastAsia="Calibri"/>
          <w:color w:val="0c0c0c"/>
          <w:sz w:val="24"/>
          <w:szCs w:val="24"/>
          <w:lang w:eastAsia="en-US"/>
        </w:rPr>
      </w:pPr>
      <w:r>
        <w:rPr>
          <w:rFonts w:eastAsia="Calibri"/>
          <w:color w:val="0c0c0c"/>
          <w:sz w:val="24"/>
          <w:szCs w:val="24"/>
          <w:lang w:eastAsia="en-US"/>
        </w:rPr>
        <w:t xml:space="preserve">На территори</w:t>
      </w:r>
      <w:r>
        <w:rPr>
          <w:rFonts w:eastAsia="Calibri"/>
          <w:color w:val="0c0c0c"/>
          <w:sz w:val="24"/>
          <w:szCs w:val="24"/>
          <w:lang w:eastAsia="en-US"/>
        </w:rPr>
        <w:t xml:space="preserve">и Российской Федерации для обеспечения выполнения геодезических и картографических работ создаётся и используется государственная геодезическая сеть, представляющая собой совокупность геодезических пунктов. Государственные геодезические сети рассчитаны на </w:t>
      </w:r>
      <w:r>
        <w:rPr>
          <w:rFonts w:eastAsia="Calibri"/>
          <w:color w:val="0c0c0c"/>
          <w:sz w:val="24"/>
          <w:szCs w:val="24"/>
          <w:lang w:eastAsia="en-US"/>
        </w:rPr>
        <w:t xml:space="preserve">использование в течение длительного времени и охраняются государством. Для обеспечения сохранности геодезических пунктов создаются охранные зоны, представляющие собой квадрат сторонами 4 метра, ориентированными по сторонам света, точкой пересечения диагона</w:t>
      </w:r>
      <w:r>
        <w:rPr>
          <w:rFonts w:eastAsia="Calibri"/>
          <w:color w:val="0c0c0c"/>
          <w:sz w:val="24"/>
          <w:szCs w:val="24"/>
          <w:lang w:eastAsia="en-US"/>
        </w:rPr>
        <w:t xml:space="preserve">лей которого является центр геодезического пункта. Бывают случаи, когда геодезический пункт располагается в конструкции здания, тогда охранная зона устанавливается по контуру здания, в случае отсутствия координат контура, в виде квадрата сторонами 4 метра.</w:t>
      </w:r>
      <w:r/>
    </w:p>
    <w:p>
      <w:pPr>
        <w:contextualSpacing/>
        <w:ind w:firstLine="567"/>
        <w:jc w:val="both"/>
        <w:shd w:val="clear" w:color="auto" w:fill="ffffff"/>
        <w:widowControl/>
        <w:rPr>
          <w:rFonts w:eastAsia="Calibri"/>
          <w:color w:val="0c0c0c"/>
          <w:sz w:val="24"/>
          <w:szCs w:val="24"/>
          <w:lang w:eastAsia="en-US"/>
        </w:rPr>
      </w:pPr>
      <w:r>
        <w:rPr>
          <w:rFonts w:eastAsia="Calibri"/>
          <w:color w:val="0c0c0c"/>
          <w:sz w:val="24"/>
          <w:szCs w:val="24"/>
          <w:lang w:eastAsia="en-US"/>
        </w:rPr>
        <w:t xml:space="preserve">В пределах границ охранных зон пунктов запрещается и</w:t>
      </w:r>
      <w:r>
        <w:rPr>
          <w:rFonts w:eastAsia="Calibri"/>
          <w:color w:val="0c0c0c"/>
          <w:sz w:val="24"/>
          <w:szCs w:val="24"/>
          <w:lang w:eastAsia="en-US"/>
        </w:rPr>
        <w:t xml:space="preserve">спользование земельных участков, пользования зданиями, помещениями для осуществления видов деятельности, приводящих к повреждению или уничтожению наружных опознавательных знаков пунктов, центров, составных частей пунктов, препятствованию доступа к пунктам.</w:t>
      </w:r>
      <w:r/>
    </w:p>
    <w:p>
      <w:pPr>
        <w:contextualSpacing/>
        <w:ind w:firstLine="567"/>
        <w:jc w:val="both"/>
        <w:shd w:val="clear" w:color="auto" w:fill="ffffff"/>
        <w:widowControl/>
        <w:rPr>
          <w:rFonts w:eastAsia="Calibri"/>
          <w:color w:val="0c0c0c"/>
          <w:sz w:val="24"/>
          <w:szCs w:val="24"/>
          <w:lang w:eastAsia="en-US"/>
        </w:rPr>
      </w:pPr>
      <w:r>
        <w:rPr>
          <w:rFonts w:eastAsia="Calibri"/>
          <w:color w:val="0c0c0c"/>
          <w:sz w:val="24"/>
          <w:szCs w:val="24"/>
          <w:lang w:eastAsia="en-US"/>
        </w:rPr>
        <w:t xml:space="preserve">В случае необходимости осуществления видов деятельности и работ, приводящих к повреждению или уничтожению наружных знаков, их центров, других составных частей пун</w:t>
      </w:r>
      <w:r>
        <w:rPr>
          <w:rFonts w:eastAsia="Calibri"/>
          <w:color w:val="0c0c0c"/>
          <w:sz w:val="24"/>
          <w:szCs w:val="24"/>
          <w:lang w:eastAsia="en-US"/>
        </w:rPr>
        <w:t xml:space="preserve">ктов проводится ликвидация пунктов с одновременным созданием новых пунктов лицом, выполняющим указанные работы, на основании решения Росреестра или его территориальных органов об установлении, изменении или о прекращении существования охранных зон пунктов.</w:t>
      </w:r>
      <w:r/>
    </w:p>
    <w:p>
      <w:pPr>
        <w:contextualSpacing/>
        <w:ind w:firstLine="567"/>
        <w:jc w:val="both"/>
        <w:shd w:val="clear" w:color="auto" w:fill="ffffff"/>
        <w:widowControl/>
        <w:rPr>
          <w:rFonts w:eastAsia="Calibri"/>
          <w:color w:val="0c0c0c"/>
          <w:sz w:val="24"/>
          <w:szCs w:val="24"/>
          <w:lang w:eastAsia="en-US"/>
        </w:rPr>
      </w:pPr>
      <w:r>
        <w:rPr>
          <w:rFonts w:eastAsia="Calibri"/>
          <w:color w:val="0c0c0c"/>
          <w:sz w:val="24"/>
          <w:szCs w:val="24"/>
          <w:lang w:eastAsia="en-US"/>
        </w:rPr>
        <w:t xml:space="preserve">Собственники, владельцы и пользователи земельных участков, зданий, помещений, н</w:t>
      </w:r>
      <w:r>
        <w:rPr>
          <w:rFonts w:eastAsia="Calibri"/>
          <w:color w:val="0c0c0c"/>
          <w:sz w:val="24"/>
          <w:szCs w:val="24"/>
          <w:lang w:eastAsia="en-US"/>
        </w:rPr>
        <w:t xml:space="preserve">а которых установлена охранная зона геодезического пункта, а также лица, выполняющие геодезические и картографические работы, обязаны сохранять геодезические пункты и уведомлять Управление обо всех случаях повреждения или уничтожения геодезических пунктов.</w:t>
      </w:r>
      <w:r/>
    </w:p>
    <w:p>
      <w:pPr>
        <w:contextualSpacing/>
        <w:ind w:firstLine="567"/>
        <w:jc w:val="both"/>
        <w:shd w:val="clear" w:color="auto" w:fill="ffffff"/>
        <w:widowControl/>
        <w:rPr>
          <w:rFonts w:eastAsia="Calibri"/>
          <w:color w:val="0c0c0c"/>
          <w:sz w:val="24"/>
          <w:szCs w:val="24"/>
          <w:lang w:eastAsia="en-US"/>
        </w:rPr>
      </w:pPr>
      <w:r>
        <w:rPr>
          <w:rFonts w:eastAsia="Calibri"/>
          <w:color w:val="0c0c0c"/>
          <w:sz w:val="24"/>
          <w:szCs w:val="24"/>
          <w:lang w:eastAsia="en-US"/>
        </w:rPr>
        <w:t xml:space="preserve">Владельцы земельных участков смогут узнать о том, что на их участке установлена охранная зона, запросив сведения из ЕГРН, а также увидеть эти изменения на «Публичной кадастровой карте» на портале Росреестра.</w:t>
      </w:r>
      <w:r/>
    </w:p>
    <w:p>
      <w:pPr>
        <w:contextualSpacing/>
        <w:ind w:firstLine="567"/>
        <w:jc w:val="both"/>
        <w:shd w:val="clear" w:color="auto" w:fill="ffffff"/>
        <w:widowControl/>
        <w:rPr>
          <w:rFonts w:eastAsia="Calibri"/>
          <w:color w:val="0c0c0c"/>
          <w:sz w:val="24"/>
          <w:szCs w:val="24"/>
          <w:lang w:eastAsia="en-US"/>
        </w:rPr>
      </w:pPr>
      <w:r>
        <w:rPr>
          <w:rFonts w:eastAsia="Calibri"/>
          <w:color w:val="0c0c0c"/>
          <w:sz w:val="24"/>
          <w:szCs w:val="24"/>
          <w:lang w:eastAsia="en-US"/>
        </w:rPr>
        <w:t xml:space="preserve">Во избежание неприятных ситуаций при покупке земельного участка Управление рекомендует проверять наличие на нем геодезических пунктов и получать у продавца сведения об имеющихся ограничениях в пользовании данным земельным участком.</w:t>
      </w:r>
      <w:r/>
    </w:p>
    <w:p>
      <w:pPr>
        <w:contextualSpacing/>
        <w:ind w:firstLine="567"/>
        <w:jc w:val="both"/>
        <w:shd w:val="clear" w:color="auto" w:fill="ffffff"/>
        <w:widowControl/>
        <w:rPr>
          <w:rFonts w:eastAsia="Calibri"/>
          <w:color w:val="0c0c0c"/>
          <w:sz w:val="24"/>
          <w:szCs w:val="24"/>
          <w:lang w:eastAsia="en-US"/>
        </w:rPr>
      </w:pPr>
      <w:r>
        <w:rPr>
          <w:rFonts w:eastAsia="Calibri"/>
          <w:color w:val="0c0c0c"/>
          <w:sz w:val="24"/>
          <w:szCs w:val="24"/>
          <w:lang w:eastAsia="en-US"/>
        </w:rPr>
        <w:t xml:space="preserve">В целях защиты информации о режимных и других объектах, геопространственные сведения о которых в соответствии с законодательством Российской Федераци</w:t>
      </w:r>
      <w:r>
        <w:rPr>
          <w:rFonts w:eastAsia="Calibri"/>
          <w:color w:val="0c0c0c"/>
          <w:sz w:val="24"/>
          <w:szCs w:val="24"/>
          <w:lang w:eastAsia="en-US"/>
        </w:rPr>
        <w:t xml:space="preserve">и составляют государственную тайну, существует особый порядок выполнения геодезических и картографических работ на отдельных территориях, перечень которых устанавливается Правительством Российской Федерации, Геодезические и картографические работы на отдел</w:t>
      </w:r>
      <w:r>
        <w:rPr>
          <w:rFonts w:eastAsia="Calibri"/>
          <w:color w:val="0c0c0c"/>
          <w:sz w:val="24"/>
          <w:szCs w:val="24"/>
          <w:lang w:eastAsia="en-US"/>
        </w:rPr>
        <w:t xml:space="preserve">ьных территориях выполняются после получения разрешения, выдаваемого территориальным органом Росреестра, на территории которого выполняются работы и в соответствии с требованиями к выполнению геодезических и картографических работ на отдельных территориях.</w:t>
      </w:r>
      <w:r/>
    </w:p>
    <w:p>
      <w:pPr>
        <w:contextualSpacing/>
        <w:ind w:firstLine="567"/>
        <w:jc w:val="both"/>
        <w:shd w:val="clear" w:color="auto" w:fill="ffffff"/>
        <w:widowControl/>
        <w:rPr>
          <w:rFonts w:eastAsia="Calibri"/>
          <w:color w:val="0c0c0c"/>
          <w:sz w:val="24"/>
          <w:szCs w:val="24"/>
          <w:lang w:eastAsia="en-US"/>
        </w:rPr>
      </w:pPr>
      <w:r>
        <w:rPr>
          <w:rFonts w:eastAsia="Calibri"/>
          <w:color w:val="0c0c0c"/>
          <w:sz w:val="24"/>
          <w:szCs w:val="24"/>
          <w:lang w:eastAsia="en-US"/>
        </w:rPr>
        <w:t xml:space="preserve">Геодезические и картог</w:t>
      </w:r>
      <w:r>
        <w:rPr>
          <w:rFonts w:eastAsia="Calibri"/>
          <w:color w:val="0c0c0c"/>
          <w:sz w:val="24"/>
          <w:szCs w:val="24"/>
          <w:lang w:eastAsia="en-US"/>
        </w:rPr>
        <w:t xml:space="preserve">рафические работы на отдельных территориях выполняются организациями, имеющими лицензию на работу со сведениями, составляющими государственную тайну, а при выполнении лицензионных видов геодезических и картографических работ также соответствующую лицензию.</w:t>
      </w:r>
      <w:r/>
    </w:p>
    <w:p>
      <w:pPr>
        <w:ind w:firstLine="567"/>
        <w:jc w:val="center"/>
        <w:rPr>
          <w:b/>
          <w:sz w:val="24"/>
          <w:szCs w:val="24"/>
        </w:rPr>
      </w:pPr>
      <w:r>
        <w:rPr>
          <w:b/>
          <w:sz w:val="24"/>
          <w:szCs w:val="24"/>
        </w:rPr>
        <w:t xml:space="preserve">Санитарно-защитные зоны предприятий, сооружений и иных объектов</w:t>
      </w:r>
      <w:r/>
    </w:p>
    <w:p>
      <w:pPr>
        <w:ind w:firstLine="567"/>
        <w:jc w:val="center"/>
        <w:rPr>
          <w:b/>
          <w:sz w:val="24"/>
          <w:szCs w:val="24"/>
        </w:rPr>
      </w:pPr>
      <w:r>
        <w:rPr>
          <w:b/>
          <w:sz w:val="24"/>
          <w:szCs w:val="24"/>
        </w:rPr>
      </w:r>
      <w:r/>
    </w:p>
    <w:p>
      <w:pPr>
        <w:ind w:firstLine="567"/>
        <w:jc w:val="both"/>
        <w:widowControl/>
        <w:rPr>
          <w:rFonts w:eastAsia="Calibri"/>
          <w:sz w:val="24"/>
          <w:szCs w:val="24"/>
          <w:lang w:eastAsia="en-US"/>
        </w:rPr>
      </w:pPr>
      <w:r>
        <w:rPr>
          <w:rFonts w:eastAsia="Calibri"/>
          <w:sz w:val="24"/>
          <w:szCs w:val="24"/>
          <w:lang w:eastAsia="en-US"/>
        </w:rPr>
        <w:t xml:space="preserve">В границах санитарно-защитной зоны не допускается размещать: </w:t>
      </w:r>
      <w:r/>
    </w:p>
    <w:p>
      <w:pPr>
        <w:ind w:firstLine="567"/>
        <w:jc w:val="both"/>
        <w:widowControl/>
        <w:rPr>
          <w:rFonts w:eastAsia="Calibri"/>
          <w:sz w:val="24"/>
          <w:szCs w:val="24"/>
          <w:lang w:eastAsia="en-US"/>
        </w:rPr>
      </w:pPr>
      <w:r>
        <w:rPr>
          <w:rFonts w:eastAsia="Calibri"/>
          <w:sz w:val="24"/>
          <w:szCs w:val="24"/>
          <w:lang w:eastAsia="en-US"/>
        </w:rPr>
        <w:t xml:space="preserve">- жилую застройку, включая отдельные жилые дома, </w:t>
      </w:r>
      <w:r/>
    </w:p>
    <w:p>
      <w:pPr>
        <w:ind w:firstLine="567"/>
        <w:jc w:val="both"/>
        <w:widowControl/>
        <w:rPr>
          <w:rFonts w:eastAsia="Calibri"/>
          <w:sz w:val="24"/>
          <w:szCs w:val="24"/>
          <w:lang w:eastAsia="en-US"/>
        </w:rPr>
      </w:pPr>
      <w:r>
        <w:rPr>
          <w:rFonts w:eastAsia="Calibri"/>
          <w:sz w:val="24"/>
          <w:szCs w:val="24"/>
          <w:lang w:eastAsia="en-US"/>
        </w:rPr>
        <w:t xml:space="preserve">- ландшафтно-рекреационные зоны, </w:t>
      </w:r>
      <w:r/>
    </w:p>
    <w:p>
      <w:pPr>
        <w:ind w:firstLine="567"/>
        <w:jc w:val="both"/>
        <w:widowControl/>
        <w:rPr>
          <w:rFonts w:eastAsia="Calibri"/>
          <w:sz w:val="24"/>
          <w:szCs w:val="24"/>
          <w:lang w:eastAsia="en-US"/>
        </w:rPr>
      </w:pPr>
      <w:r>
        <w:rPr>
          <w:rFonts w:eastAsia="Calibri"/>
          <w:sz w:val="24"/>
          <w:szCs w:val="24"/>
          <w:lang w:eastAsia="en-US"/>
        </w:rPr>
        <w:t xml:space="preserve">- зоны отдыха, </w:t>
      </w:r>
      <w:r/>
    </w:p>
    <w:p>
      <w:pPr>
        <w:ind w:firstLine="567"/>
        <w:jc w:val="both"/>
        <w:widowControl/>
        <w:rPr>
          <w:rFonts w:eastAsia="Calibri"/>
          <w:sz w:val="24"/>
          <w:szCs w:val="24"/>
          <w:lang w:eastAsia="en-US"/>
        </w:rPr>
      </w:pPr>
      <w:r>
        <w:rPr>
          <w:rFonts w:eastAsia="Calibri"/>
          <w:sz w:val="24"/>
          <w:szCs w:val="24"/>
          <w:lang w:eastAsia="en-US"/>
        </w:rPr>
        <w:t xml:space="preserve">- территории курортов, санаториев и домов отдыха, </w:t>
      </w:r>
      <w:r/>
    </w:p>
    <w:p>
      <w:pPr>
        <w:ind w:firstLine="567"/>
        <w:jc w:val="both"/>
        <w:widowControl/>
        <w:rPr>
          <w:rFonts w:eastAsia="Calibri"/>
          <w:sz w:val="24"/>
          <w:szCs w:val="24"/>
          <w:lang w:eastAsia="en-US"/>
        </w:rPr>
      </w:pPr>
      <w:r>
        <w:rPr>
          <w:rFonts w:eastAsia="Calibri"/>
          <w:sz w:val="24"/>
          <w:szCs w:val="24"/>
          <w:lang w:eastAsia="en-US"/>
        </w:rPr>
        <w:t xml:space="preserve">- территории садоводческих товариществ и коттеджной застройки, коллективных или индивидуальных дачных и садово-огородных участков, </w:t>
      </w:r>
      <w:r/>
    </w:p>
    <w:p>
      <w:pPr>
        <w:ind w:firstLine="567"/>
        <w:jc w:val="both"/>
        <w:widowControl/>
        <w:rPr>
          <w:rFonts w:eastAsia="Calibri"/>
          <w:sz w:val="24"/>
          <w:szCs w:val="24"/>
          <w:lang w:eastAsia="en-US"/>
        </w:rPr>
      </w:pPr>
      <w:r>
        <w:rPr>
          <w:rFonts w:eastAsia="Calibri"/>
          <w:sz w:val="24"/>
          <w:szCs w:val="24"/>
          <w:lang w:eastAsia="en-US"/>
        </w:rPr>
        <w:t xml:space="preserve">- другие территории с нормируемыми показателями качества среды обитания; </w:t>
      </w:r>
      <w:r/>
    </w:p>
    <w:p>
      <w:pPr>
        <w:ind w:firstLine="567"/>
        <w:jc w:val="both"/>
        <w:widowControl/>
        <w:rPr>
          <w:rFonts w:eastAsia="Calibri"/>
          <w:sz w:val="24"/>
          <w:szCs w:val="24"/>
          <w:lang w:eastAsia="en-US"/>
        </w:rPr>
      </w:pPr>
      <w:r>
        <w:rPr>
          <w:rFonts w:eastAsia="Calibri"/>
          <w:sz w:val="24"/>
          <w:szCs w:val="24"/>
          <w:lang w:eastAsia="en-US"/>
        </w:rPr>
        <w:t xml:space="preserve">- спортивные сооружения, </w:t>
      </w:r>
      <w:r/>
    </w:p>
    <w:p>
      <w:pPr>
        <w:ind w:firstLine="567"/>
        <w:jc w:val="both"/>
        <w:widowControl/>
        <w:rPr>
          <w:rFonts w:eastAsia="Calibri"/>
          <w:sz w:val="24"/>
          <w:szCs w:val="24"/>
          <w:lang w:eastAsia="en-US"/>
        </w:rPr>
      </w:pPr>
      <w:r>
        <w:rPr>
          <w:rFonts w:eastAsia="Calibri"/>
          <w:sz w:val="24"/>
          <w:szCs w:val="24"/>
          <w:lang w:eastAsia="en-US"/>
        </w:rPr>
        <w:t xml:space="preserve">- детские площадки, </w:t>
      </w:r>
      <w:r/>
    </w:p>
    <w:p>
      <w:pPr>
        <w:ind w:firstLine="567"/>
        <w:jc w:val="both"/>
        <w:widowControl/>
        <w:rPr>
          <w:rFonts w:eastAsia="Calibri"/>
          <w:sz w:val="24"/>
          <w:szCs w:val="24"/>
          <w:lang w:eastAsia="en-US"/>
        </w:rPr>
      </w:pPr>
      <w:r>
        <w:rPr>
          <w:rFonts w:eastAsia="Calibri"/>
          <w:sz w:val="24"/>
          <w:szCs w:val="24"/>
          <w:lang w:eastAsia="en-US"/>
        </w:rPr>
        <w:t xml:space="preserve">- образовательные и детские организации, </w:t>
      </w:r>
      <w:r/>
    </w:p>
    <w:p>
      <w:pPr>
        <w:ind w:firstLine="567"/>
        <w:jc w:val="both"/>
        <w:widowControl/>
        <w:rPr>
          <w:rFonts w:eastAsia="Calibri"/>
          <w:sz w:val="24"/>
          <w:szCs w:val="24"/>
          <w:lang w:eastAsia="en-US"/>
        </w:rPr>
      </w:pPr>
      <w:r>
        <w:rPr>
          <w:rFonts w:eastAsia="Calibri"/>
          <w:sz w:val="24"/>
          <w:szCs w:val="24"/>
          <w:lang w:eastAsia="en-US"/>
        </w:rPr>
        <w:t xml:space="preserve">- лечебно-профилактические и оздоровительные организации общего пользования. </w:t>
      </w:r>
      <w:r/>
    </w:p>
    <w:p>
      <w:pPr>
        <w:ind w:firstLine="567"/>
        <w:jc w:val="both"/>
        <w:widowControl/>
        <w:rPr>
          <w:rFonts w:eastAsia="Calibri"/>
          <w:sz w:val="24"/>
          <w:szCs w:val="24"/>
          <w:lang w:eastAsia="en-US"/>
        </w:rPr>
      </w:pPr>
      <w:r>
        <w:rPr>
          <w:rFonts w:eastAsia="Calibri"/>
          <w:sz w:val="24"/>
          <w:szCs w:val="24"/>
          <w:lang w:eastAsia="en-US"/>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w:t>
      </w:r>
      <w:r>
        <w:rPr>
          <w:rFonts w:eastAsia="Calibri"/>
          <w:sz w:val="24"/>
          <w:szCs w:val="24"/>
          <w:lang w:eastAsia="en-US"/>
        </w:rPr>
        <w:t xml:space="preserve">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r/>
    </w:p>
    <w:p>
      <w:pPr>
        <w:ind w:firstLine="567"/>
        <w:jc w:val="both"/>
        <w:widowControl/>
        <w:rPr>
          <w:rFonts w:eastAsia="Calibri"/>
          <w:sz w:val="24"/>
          <w:szCs w:val="24"/>
          <w:lang w:eastAsia="en-US"/>
        </w:rPr>
      </w:pPr>
      <w:r>
        <w:rPr>
          <w:rFonts w:eastAsia="Calibri"/>
          <w:sz w:val="24"/>
          <w:szCs w:val="24"/>
          <w:lang w:eastAsia="en-US"/>
        </w:rPr>
        <w:t xml:space="preserve">Также на те</w:t>
      </w:r>
      <w:r>
        <w:rPr>
          <w:rFonts w:eastAsia="Calibri"/>
          <w:sz w:val="24"/>
          <w:szCs w:val="24"/>
          <w:lang w:eastAsia="en-US"/>
        </w:rPr>
        <w:t xml:space="preserve">рритории поселения располагаются объекты нефтедобычи, предприятие пищевой промышленности (пекарня), площадка коммунально-складской зоны (склады, цеха, пекарня, стоянки для автомобилей), кладбище, для которых должны устанавливаться санитарно-защитные зоны. </w:t>
      </w:r>
      <w:r/>
    </w:p>
    <w:p>
      <w:pPr>
        <w:ind w:firstLine="567"/>
        <w:jc w:val="both"/>
        <w:widowControl/>
        <w:rPr>
          <w:rFonts w:eastAsia="Calibri"/>
          <w:sz w:val="24"/>
          <w:szCs w:val="24"/>
          <w:lang w:eastAsia="en-US"/>
        </w:rPr>
      </w:pPr>
      <w:r>
        <w:rPr>
          <w:rFonts w:eastAsia="Calibri"/>
          <w:sz w:val="24"/>
          <w:szCs w:val="24"/>
          <w:lang w:eastAsia="en-US"/>
        </w:rPr>
        <w:t xml:space="preserve">Для указанных объектов размеры и границы санитарно-защитных зон не установлены. Поэтому на карте градостроительного зонирования границы санитарно-защитных зон этих объектов не показаны.</w:t>
      </w:r>
      <w:r/>
    </w:p>
    <w:p>
      <w:pPr>
        <w:ind w:firstLine="567"/>
        <w:jc w:val="both"/>
        <w:widowControl/>
        <w:rPr>
          <w:rFonts w:eastAsia="Calibri"/>
          <w:sz w:val="24"/>
          <w:szCs w:val="24"/>
          <w:lang w:eastAsia="en-US"/>
        </w:rPr>
      </w:pPr>
      <w:r>
        <w:rPr>
          <w:rFonts w:eastAsia="Calibri"/>
          <w:sz w:val="24"/>
          <w:szCs w:val="24"/>
          <w:lang w:eastAsia="en-US"/>
        </w:rPr>
        <w:t xml:space="preserve">В соответствии с Постановлением Правительства Российской Федерации от 3 марта 2018 года №222 «Об утверждении правил установления с</w:t>
      </w:r>
      <w:r>
        <w:rPr>
          <w:rFonts w:eastAsia="Calibri"/>
          <w:sz w:val="24"/>
          <w:szCs w:val="24"/>
          <w:lang w:eastAsia="en-US"/>
        </w:rPr>
        <w:t xml:space="preserve">анитарно-защитных зон и использования земельных участков, расположенных в границах санитарно-защитных зон», санитарно-защитные зоны устанавливаются в отношении действующих, планируемых к строительству, реконструируемых объектов капитального строительства, </w:t>
      </w:r>
      <w:r>
        <w:rPr>
          <w:rFonts w:eastAsia="Calibri"/>
          <w:sz w:val="24"/>
          <w:szCs w:val="24"/>
          <w:lang w:eastAsia="en-US"/>
        </w:rPr>
        <w:t xml:space="preserve">являющихся источниками х</w:t>
      </w:r>
      <w:r>
        <w:rPr>
          <w:rFonts w:eastAsia="Calibri"/>
          <w:sz w:val="24"/>
          <w:szCs w:val="24"/>
          <w:lang w:eastAsia="en-US"/>
        </w:rPr>
        <w:t xml:space="preserve">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r/>
    </w:p>
    <w:p>
      <w:pPr>
        <w:ind w:firstLine="567"/>
        <w:jc w:val="both"/>
        <w:widowControl/>
        <w:rPr>
          <w:rFonts w:eastAsia="Calibri"/>
          <w:sz w:val="24"/>
          <w:szCs w:val="24"/>
          <w:lang w:eastAsia="en-US"/>
        </w:rPr>
      </w:pPr>
      <w:r>
        <w:rPr>
          <w:rFonts w:eastAsia="Calibri"/>
          <w:sz w:val="24"/>
          <w:szCs w:val="24"/>
          <w:lang w:eastAsia="en-US"/>
        </w:rPr>
        <w:t xml:space="preserve">Правообладатели объектов капитального строительства, в отношении которых подлежат установлению санитарно-защитные зоны, обязаны провести исследования (измерения) атмосферного воздуха, уровней физического и (или) биологического воздействия на атмосфер</w:t>
      </w:r>
      <w:r>
        <w:rPr>
          <w:rFonts w:eastAsia="Calibri"/>
          <w:sz w:val="24"/>
          <w:szCs w:val="24"/>
          <w:lang w:eastAsia="en-US"/>
        </w:rPr>
        <w:t xml:space="preserve">ный воздух за контуром объекта и представить в Федеральную службу по надзору в сфере защиты прав потребителей и благополучия человека (ее территориальные органы) заявление об установлении санитарно-защитной зоны с приложением к нему необходимых документов.</w:t>
      </w:r>
      <w:r/>
    </w:p>
    <w:p>
      <w:pPr>
        <w:ind w:firstLine="567"/>
        <w:jc w:val="both"/>
        <w:widowControl/>
        <w:rPr>
          <w:rFonts w:eastAsia="Calibri"/>
          <w:sz w:val="24"/>
          <w:szCs w:val="24"/>
          <w:lang w:eastAsia="en-US"/>
        </w:rPr>
      </w:pPr>
      <w:r>
        <w:rPr>
          <w:rFonts w:eastAsia="Calibri"/>
          <w:sz w:val="24"/>
          <w:szCs w:val="24"/>
          <w:lang w:eastAsia="en-US"/>
        </w:rPr>
        <w:t xml:space="preserve">Решение об установлении, изменении или о прекращении существования санитарно-защитной зоны принимают: </w:t>
      </w:r>
      <w:r/>
    </w:p>
    <w:p>
      <w:pPr>
        <w:ind w:firstLine="567"/>
        <w:jc w:val="both"/>
        <w:widowControl/>
        <w:rPr>
          <w:rFonts w:eastAsia="Calibri"/>
          <w:sz w:val="24"/>
          <w:szCs w:val="24"/>
          <w:lang w:eastAsia="en-US"/>
        </w:rPr>
      </w:pPr>
      <w:r>
        <w:rPr>
          <w:rFonts w:eastAsia="Calibri"/>
          <w:sz w:val="24"/>
          <w:szCs w:val="24"/>
          <w:lang w:eastAsia="en-US"/>
        </w:rPr>
        <w:t xml:space="preserve">- Федеральная служба по надзору в сфере защиты прав потребителей и благополучия человека - в отношении объектов I и II класса опасности в соответствии с санитарной классификацией, а также в отношении объектов, не включенных в санитарную классификацию;</w:t>
      </w:r>
      <w:r/>
    </w:p>
    <w:p>
      <w:pPr>
        <w:ind w:firstLine="567"/>
        <w:jc w:val="both"/>
        <w:widowControl/>
        <w:rPr>
          <w:rFonts w:eastAsia="Calibri"/>
          <w:sz w:val="24"/>
          <w:szCs w:val="24"/>
          <w:lang w:eastAsia="en-US"/>
        </w:rPr>
      </w:pPr>
      <w:r>
        <w:rPr>
          <w:rFonts w:eastAsia="Calibri"/>
          <w:sz w:val="24"/>
          <w:szCs w:val="24"/>
          <w:lang w:eastAsia="en-US"/>
        </w:rPr>
        <w:t xml:space="preserve">-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w:t>
      </w:r>
      <w:r/>
    </w:p>
    <w:p>
      <w:pPr>
        <w:ind w:firstLine="567"/>
        <w:jc w:val="both"/>
        <w:widowControl/>
        <w:rPr>
          <w:rFonts w:eastAsia="Calibri"/>
          <w:sz w:val="24"/>
          <w:szCs w:val="24"/>
          <w:highlight w:val="none"/>
          <w:lang w:eastAsia="en-US"/>
        </w:rPr>
      </w:pPr>
      <w:r>
        <w:rPr>
          <w:rFonts w:eastAsia="Calibri"/>
          <w:sz w:val="24"/>
          <w:szCs w:val="24"/>
          <w:lang w:eastAsia="en-US"/>
        </w:rPr>
        <w:t xml:space="preserve">Санитарно-защитная зона и ограничения использования земельных участков, расположенных в ее границах, считаются установленными со дня внесения сведений о такой зоне в Единый государственный реестр недвижимости.</w:t>
      </w:r>
      <w:r/>
    </w:p>
    <w:p>
      <w:pPr>
        <w:ind w:firstLine="567"/>
        <w:jc w:val="both"/>
        <w:widowControl/>
        <w:rPr>
          <w:rFonts w:eastAsia="Calibri"/>
          <w:sz w:val="24"/>
          <w:szCs w:val="24"/>
          <w:lang w:eastAsia="en-US"/>
        </w:rPr>
      </w:pPr>
      <w:r>
        <w:rPr>
          <w:rFonts w:eastAsia="Calibri"/>
          <w:sz w:val="24"/>
          <w:szCs w:val="24"/>
          <w:lang w:eastAsia="en-US"/>
        </w:rPr>
      </w:r>
      <w:r>
        <w:rPr>
          <w:rFonts w:eastAsia="Calibri"/>
          <w:sz w:val="24"/>
          <w:szCs w:val="24"/>
          <w:lang w:eastAsia="en-US"/>
        </w:rPr>
      </w:r>
      <w:r/>
    </w:p>
    <w:p>
      <w:pPr>
        <w:ind w:firstLine="567"/>
        <w:jc w:val="center"/>
        <w:widowControl/>
        <w:rPr>
          <w:rFonts w:eastAsia="Calibri"/>
        </w:rPr>
      </w:pPr>
      <w:r>
        <w:rPr>
          <w:rFonts w:eastAsia="Calibri"/>
          <w:b/>
          <w:bCs/>
          <w:sz w:val="24"/>
          <w:szCs w:val="24"/>
          <w:highlight w:val="none"/>
          <w:lang w:eastAsia="en-US"/>
        </w:rPr>
        <w:t xml:space="preserve">Объекты культурного наследия</w:t>
      </w:r>
      <w:r>
        <w:rPr>
          <w:rFonts w:eastAsia="Calibri"/>
          <w:b/>
          <w:bCs/>
          <w:sz w:val="24"/>
          <w:szCs w:val="24"/>
        </w:rPr>
      </w:r>
      <w:r/>
    </w:p>
    <w:p>
      <w:pPr>
        <w:jc w:val="right"/>
        <w:spacing w:before="0" w:after="0" w:line="240" w:lineRule="auto"/>
        <w:tabs>
          <w:tab w:val="left" w:pos="5760" w:leader="none"/>
        </w:tabs>
        <w:rPr>
          <w:rFonts w:ascii="Times New Roman" w:hAnsi="Times New Roman" w:cs="Times New Roman"/>
          <w:bCs w:val="0"/>
        </w:rPr>
      </w:pPr>
      <w:r>
        <w:rPr>
          <w:rFonts w:ascii="Times New Roman" w:hAnsi="Times New Roman" w:eastAsia="Times New Roman" w:cs="Times New Roman"/>
          <w:b/>
          <w:i w:val="0"/>
          <w:iCs w:val="0"/>
          <w:sz w:val="24"/>
          <w:szCs w:val="24"/>
        </w:rPr>
        <w:t xml:space="preserve">Перечень объектов культурного наследия </w:t>
      </w:r>
      <w:r>
        <w:rPr>
          <w:rFonts w:ascii="Times New Roman" w:hAnsi="Times New Roman" w:eastAsia="Times New Roman" w:cs="Times New Roman"/>
          <w:b/>
          <w:i w:val="0"/>
          <w:iCs w:val="0"/>
          <w:sz w:val="24"/>
          <w:szCs w:val="24"/>
        </w:rPr>
        <w:t xml:space="preserve">региона</w:t>
      </w:r>
      <w:r>
        <w:rPr>
          <w:rFonts w:ascii="Times New Roman" w:hAnsi="Times New Roman" w:eastAsia="Times New Roman" w:cs="Times New Roman"/>
          <w:b/>
          <w:i w:val="0"/>
          <w:iCs w:val="0"/>
          <w:sz w:val="24"/>
          <w:szCs w:val="24"/>
        </w:rPr>
        <w:t xml:space="preserve">льного значения, расположенных на территории </w:t>
      </w:r>
      <w:r>
        <w:rPr>
          <w:rFonts w:ascii="Times New Roman" w:hAnsi="Times New Roman" w:eastAsia="Times New Roman" w:cs="Times New Roman"/>
          <w:b/>
          <w:i w:val="0"/>
          <w:iCs w:val="0"/>
          <w:sz w:val="24"/>
          <w:szCs w:val="24"/>
        </w:rPr>
        <w:t xml:space="preserve">Дмитриев</w:t>
      </w:r>
      <w:r>
        <w:rPr>
          <w:rFonts w:ascii="Times New Roman" w:hAnsi="Times New Roman" w:eastAsia="Times New Roman" w:cs="Times New Roman"/>
          <w:b/>
          <w:i w:val="0"/>
          <w:iCs w:val="0"/>
          <w:sz w:val="24"/>
          <w:szCs w:val="24"/>
        </w:rPr>
        <w:t xml:space="preserve">ского </w:t>
      </w:r>
      <w:r>
        <w:rPr>
          <w:rFonts w:ascii="Times New Roman" w:hAnsi="Times New Roman" w:eastAsia="Times New Roman" w:cs="Times New Roman"/>
          <w:b/>
          <w:i w:val="0"/>
          <w:iCs w:val="0"/>
          <w:sz w:val="24"/>
          <w:szCs w:val="24"/>
        </w:rPr>
        <w:t xml:space="preserve">сель</w:t>
      </w:r>
      <w:r>
        <w:rPr>
          <w:rFonts w:ascii="Times New Roman" w:hAnsi="Times New Roman" w:eastAsia="Times New Roman" w:cs="Times New Roman"/>
          <w:b/>
          <w:i w:val="0"/>
          <w:iCs w:val="0"/>
          <w:sz w:val="24"/>
          <w:szCs w:val="24"/>
        </w:rPr>
        <w:t xml:space="preserve">ского поселения Кавказского района.</w:t>
      </w:r>
      <w:r>
        <w:rPr>
          <w:rFonts w:ascii="Times New Roman" w:hAnsi="Times New Roman" w:cs="Times New Roman"/>
          <w:bCs w:val="0"/>
          <w:i w:val="0"/>
          <w:sz w:val="24"/>
          <w:szCs w:val="24"/>
        </w:rPr>
      </w:r>
      <w:r/>
    </w:p>
    <w:p>
      <w:pPr>
        <w:ind w:firstLine="567"/>
        <w:jc w:val="center"/>
        <w:widowControl/>
        <w:rPr>
          <w:rFonts w:eastAsia="Calibri"/>
          <w:b/>
          <w:bCs/>
          <w:sz w:val="24"/>
          <w:szCs w:val="24"/>
          <w:highlight w:val="none"/>
          <w:lang w:eastAsia="en-US"/>
          <w14:ligatures w14:val="none"/>
        </w:rPr>
      </w:pPr>
      <w:r>
        <w:rPr>
          <w:rFonts w:eastAsia="Calibri"/>
          <w:b/>
          <w:bCs/>
          <w:sz w:val="24"/>
          <w:szCs w:val="24"/>
          <w:highlight w:val="none"/>
          <w:lang w:eastAsia="en-US"/>
        </w:rPr>
      </w:r>
      <w:r>
        <w:rPr>
          <w:rFonts w:eastAsia="Calibri"/>
          <w:b/>
          <w:bCs/>
          <w:sz w:val="24"/>
          <w:szCs w:val="24"/>
          <w:highlight w:val="none"/>
          <w:lang w:eastAsia="en-US"/>
        </w:rPr>
      </w:r>
      <w:r/>
    </w:p>
    <w:tbl>
      <w:tblPr>
        <w:tblW w:w="13870" w:type="dxa"/>
        <w:jc w:val="center"/>
        <w:tblInd w:w="-2342" w:type="dxa"/>
        <w:tblLayout w:type="fixed"/>
        <w:tblCellMar>
          <w:left w:w="0" w:type="dxa"/>
          <w:right w:w="0" w:type="dxa"/>
        </w:tblCellMar>
        <w:tblLook w:val="0000" w:firstRow="0" w:lastRow="0" w:firstColumn="0" w:lastColumn="0" w:noHBand="0" w:noVBand="0"/>
      </w:tblPr>
      <w:tblGrid>
        <w:gridCol w:w="972"/>
        <w:gridCol w:w="3543"/>
        <w:gridCol w:w="2976"/>
        <w:gridCol w:w="1778"/>
        <w:gridCol w:w="726"/>
        <w:gridCol w:w="841"/>
        <w:gridCol w:w="709"/>
        <w:gridCol w:w="2324"/>
      </w:tblGrid>
      <w:tr>
        <w:trPr>
          <w:jc w:val="center"/>
          <w:tblHeader/>
        </w:trPr>
        <w:tc>
          <w:tcPr>
            <w:tcBorders>
              <w:top w:val="single" w:color="000000" w:sz="4" w:space="0"/>
              <w:left w:val="single" w:color="000000" w:sz="4" w:space="0"/>
              <w:bottom w:val="single" w:color="000000" w:sz="4" w:space="0"/>
              <w:right w:val="none" w:color="000000" w:sz="4" w:space="0"/>
            </w:tcBorders>
            <w:tcW w:w="972" w:type="dxa"/>
            <w:vAlign w:val="center"/>
            <w:textDirection w:val="lrTb"/>
            <w:noWrap w:val="false"/>
          </w:tcPr>
          <w:p>
            <w:pPr>
              <w:jc w:val="center"/>
              <w:widowControl w:val="off"/>
              <w:rPr>
                <w:bCs/>
                <w:color w:val="000000"/>
              </w:rPr>
            </w:pPr>
            <w:r>
              <w:rPr>
                <w:b/>
                <w:color w:val="000000"/>
                <w:sz w:val="24"/>
                <w:szCs w:val="24"/>
              </w:rPr>
              <w:t xml:space="preserve">№ п/п</w:t>
            </w:r>
            <w:r>
              <w:rPr>
                <w:b/>
                <w:color w:val="000000"/>
                <w:sz w:val="24"/>
                <w:szCs w:val="24"/>
              </w:rPr>
            </w:r>
            <w:r/>
          </w:p>
        </w:tc>
        <w:tc>
          <w:tcPr>
            <w:tcBorders>
              <w:top w:val="single" w:color="000000" w:sz="4" w:space="0"/>
              <w:left w:val="single" w:color="000000" w:sz="4" w:space="0"/>
              <w:bottom w:val="single" w:color="000000" w:sz="4" w:space="0"/>
              <w:right w:val="none" w:color="000000" w:sz="4" w:space="0"/>
            </w:tcBorders>
            <w:tcW w:w="3543" w:type="dxa"/>
            <w:vAlign w:val="center"/>
            <w:textDirection w:val="lrTb"/>
            <w:noWrap w:val="false"/>
          </w:tcPr>
          <w:p>
            <w:pPr>
              <w:jc w:val="center"/>
              <w:widowControl w:val="off"/>
              <w:rPr>
                <w:bCs/>
                <w:color w:val="000000"/>
              </w:rPr>
            </w:pPr>
            <w:r>
              <w:rPr>
                <w:b/>
                <w:color w:val="000000"/>
                <w:sz w:val="24"/>
                <w:szCs w:val="24"/>
              </w:rPr>
              <w:t xml:space="preserve">Наименование объекта</w:t>
            </w:r>
            <w:r>
              <w:rPr>
                <w:b/>
                <w:color w:val="000000"/>
                <w:sz w:val="24"/>
                <w:szCs w:val="24"/>
              </w:rPr>
            </w:r>
            <w:r/>
          </w:p>
        </w:tc>
        <w:tc>
          <w:tcPr>
            <w:tcBorders>
              <w:top w:val="single" w:color="000000" w:sz="4" w:space="0"/>
              <w:left w:val="single" w:color="000000" w:sz="4" w:space="0"/>
              <w:bottom w:val="single" w:color="000000" w:sz="4" w:space="0"/>
              <w:right w:val="none" w:color="000000" w:sz="4" w:space="0"/>
            </w:tcBorders>
            <w:tcW w:w="2976" w:type="dxa"/>
            <w:vAlign w:val="center"/>
            <w:textDirection w:val="lrTb"/>
            <w:noWrap w:val="false"/>
          </w:tcPr>
          <w:p>
            <w:pPr>
              <w:jc w:val="center"/>
              <w:rPr>
                <w:bCs/>
              </w:rPr>
            </w:pPr>
            <w:r>
              <w:rPr>
                <w:b/>
                <w:sz w:val="24"/>
                <w:szCs w:val="24"/>
              </w:rPr>
              <w:t xml:space="preserve">Местонахождение объекта</w:t>
            </w:r>
            <w:r>
              <w:rPr>
                <w:b/>
                <w:sz w:val="24"/>
                <w:szCs w:val="24"/>
              </w:rPr>
            </w:r>
            <w:r/>
          </w:p>
        </w:tc>
        <w:tc>
          <w:tcPr>
            <w:tcBorders>
              <w:top w:val="single" w:color="000000" w:sz="4" w:space="0"/>
              <w:left w:val="single" w:color="000000" w:sz="4" w:space="0"/>
              <w:bottom w:val="single" w:color="000000" w:sz="4" w:space="0"/>
              <w:right w:val="none" w:color="000000" w:sz="4" w:space="0"/>
            </w:tcBorders>
            <w:tcW w:w="1778" w:type="dxa"/>
            <w:vAlign w:val="center"/>
            <w:textDirection w:val="lrTb"/>
            <w:noWrap w:val="false"/>
          </w:tcPr>
          <w:p>
            <w:pPr>
              <w:jc w:val="center"/>
              <w:widowControl w:val="off"/>
              <w:rPr>
                <w:bCs/>
                <w:color w:val="000000"/>
              </w:rPr>
            </w:pPr>
            <w:r>
              <w:rPr>
                <w:b/>
                <w:color w:val="000000"/>
                <w:sz w:val="24"/>
                <w:szCs w:val="24"/>
              </w:rPr>
              <w:t xml:space="preserve">Документ о постановке на госохрану</w:t>
            </w:r>
            <w:r>
              <w:rPr>
                <w:b/>
                <w:color w:val="000000"/>
                <w:sz w:val="24"/>
                <w:szCs w:val="24"/>
              </w:rPr>
            </w:r>
            <w:r/>
          </w:p>
        </w:tc>
        <w:tc>
          <w:tcPr>
            <w:tcBorders>
              <w:top w:val="single" w:color="000000" w:sz="4" w:space="0"/>
              <w:left w:val="single" w:color="000000" w:sz="4" w:space="0"/>
              <w:bottom w:val="single" w:color="000000" w:sz="4" w:space="0"/>
              <w:right w:val="single" w:color="000000" w:sz="4" w:space="0"/>
            </w:tcBorders>
            <w:tcW w:w="726" w:type="dxa"/>
            <w:vAlign w:val="center"/>
            <w:textDirection w:val="lrTb"/>
            <w:noWrap w:val="false"/>
          </w:tcPr>
          <w:p>
            <w:pPr>
              <w:jc w:val="center"/>
              <w:widowControl w:val="off"/>
              <w:rPr>
                <w:bCs/>
                <w:color w:val="000000"/>
              </w:rPr>
            </w:pPr>
            <w:r>
              <w:rPr>
                <w:b/>
                <w:color w:val="000000"/>
                <w:sz w:val="24"/>
                <w:szCs w:val="24"/>
              </w:rPr>
              <w:t xml:space="preserve">Номер по госсписку</w:t>
            </w:r>
            <w:r>
              <w:rPr>
                <w:b/>
                <w:color w:val="000000"/>
                <w:sz w:val="24"/>
                <w:szCs w:val="24"/>
              </w:rPr>
            </w:r>
            <w:r/>
          </w:p>
        </w:tc>
        <w:tc>
          <w:tcPr>
            <w:tcBorders>
              <w:top w:val="single" w:color="000000" w:sz="4" w:space="0"/>
              <w:left w:val="single" w:color="000000" w:sz="4" w:space="0"/>
              <w:bottom w:val="single" w:color="000000" w:sz="4" w:space="0"/>
              <w:right w:val="single" w:color="000000" w:sz="4" w:space="0"/>
            </w:tcBorders>
            <w:tcW w:w="841" w:type="dxa"/>
            <w:vAlign w:val="center"/>
            <w:textDirection w:val="lrTb"/>
            <w:noWrap w:val="false"/>
          </w:tcPr>
          <w:p>
            <w:pPr>
              <w:jc w:val="center"/>
              <w:widowControl w:val="off"/>
              <w:rPr>
                <w:bCs/>
                <w:color w:val="000000"/>
              </w:rPr>
            </w:pPr>
            <w:r>
              <w:rPr>
                <w:b/>
                <w:color w:val="000000"/>
                <w:sz w:val="24"/>
                <w:szCs w:val="24"/>
              </w:rPr>
              <w:t xml:space="preserve">Вид памятника</w:t>
            </w:r>
            <w:r>
              <w:rPr>
                <w:b/>
                <w:color w:val="000000"/>
                <w:sz w:val="24"/>
                <w:szCs w:val="24"/>
              </w:rPr>
            </w:r>
            <w:r/>
          </w:p>
        </w:tc>
        <w:tc>
          <w:tcPr>
            <w:tcBorders>
              <w:top w:val="single" w:color="000000" w:sz="4" w:space="0"/>
              <w:left w:val="single" w:color="000000" w:sz="4" w:space="0"/>
              <w:bottom w:val="single" w:color="000000" w:sz="4" w:space="0"/>
              <w:right w:val="single" w:color="000000" w:sz="4" w:space="0"/>
            </w:tcBorders>
            <w:tcW w:w="709" w:type="dxa"/>
            <w:vAlign w:val="center"/>
            <w:textDirection w:val="lrTb"/>
            <w:noWrap w:val="false"/>
          </w:tcPr>
          <w:p>
            <w:pPr>
              <w:jc w:val="center"/>
              <w:widowControl w:val="off"/>
              <w:rPr>
                <w:bCs/>
                <w:color w:val="000000"/>
              </w:rPr>
            </w:pPr>
            <w:r>
              <w:rPr>
                <w:b/>
                <w:color w:val="000000"/>
                <w:sz w:val="24"/>
                <w:szCs w:val="24"/>
              </w:rPr>
              <w:t xml:space="preserve">Категория охраны</w:t>
            </w:r>
            <w:r>
              <w:rPr>
                <w:b/>
                <w:color w:val="000000"/>
                <w:sz w:val="24"/>
                <w:szCs w:val="24"/>
              </w:rPr>
            </w:r>
            <w:r/>
          </w:p>
        </w:tc>
        <w:tc>
          <w:tcPr>
            <w:tcBorders>
              <w:top w:val="single" w:color="000000" w:sz="4" w:space="0"/>
              <w:left w:val="single" w:color="000000" w:sz="4" w:space="0"/>
              <w:bottom w:val="single" w:color="000000" w:sz="4" w:space="0"/>
              <w:right w:val="single" w:color="000000" w:sz="4" w:space="0"/>
            </w:tcBorders>
            <w:tcW w:w="2324" w:type="dxa"/>
            <w:vAlign w:val="center"/>
            <w:textDirection w:val="lrTb"/>
            <w:noWrap w:val="false"/>
          </w:tcPr>
          <w:p>
            <w:pPr>
              <w:jc w:val="center"/>
              <w:widowControl w:val="off"/>
              <w:rPr>
                <w:bCs/>
                <w:color w:val="000000"/>
              </w:rPr>
            </w:pPr>
            <w:r>
              <w:rPr>
                <w:b/>
                <w:color w:val="000000"/>
                <w:sz w:val="24"/>
                <w:szCs w:val="24"/>
              </w:rPr>
              <w:t xml:space="preserve">Уч. № в АИС ЕГРОКН</w:t>
            </w:r>
            <w:r>
              <w:rPr>
                <w:b/>
                <w:color w:val="000000"/>
                <w:sz w:val="24"/>
                <w:szCs w:val="24"/>
              </w:rPr>
            </w:r>
            <w:r/>
          </w:p>
        </w:tc>
      </w:tr>
      <w:tr>
        <w:trPr>
          <w:jc w:val="center"/>
        </w:trPr>
        <w:tc>
          <w:tcPr>
            <w:tcBorders>
              <w:top w:val="single" w:color="000000" w:sz="4" w:space="0"/>
              <w:left w:val="single" w:color="000000" w:sz="4" w:space="0"/>
              <w:bottom w:val="single" w:color="000000" w:sz="4" w:space="0"/>
              <w:right w:val="none" w:color="000000" w:sz="4" w:space="0"/>
            </w:tcBorders>
            <w:tcW w:w="972" w:type="dxa"/>
            <w:vAlign w:val="center"/>
            <w:textDirection w:val="lrTb"/>
            <w:noWrap w:val="false"/>
          </w:tcPr>
          <w:p>
            <w:pPr>
              <w:ind w:left="284"/>
              <w:rPr>
                <w:bCs/>
              </w:rPr>
            </w:pPr>
            <w:r>
              <w:rPr>
                <w:b/>
                <w:sz w:val="24"/>
                <w:szCs w:val="24"/>
              </w:rPr>
            </w:r>
            <w:r>
              <w:rPr>
                <w:b/>
                <w:sz w:val="24"/>
                <w:szCs w:val="24"/>
              </w:rPr>
            </w:r>
            <w:r/>
          </w:p>
        </w:tc>
        <w:tc>
          <w:tcPr>
            <w:gridSpan w:val="7"/>
            <w:tcBorders>
              <w:top w:val="single" w:color="000000" w:sz="4" w:space="0"/>
              <w:left w:val="single" w:color="000000" w:sz="4" w:space="0"/>
              <w:bottom w:val="single" w:color="000000" w:sz="4" w:space="0"/>
              <w:right w:val="single" w:color="000000" w:sz="4" w:space="0"/>
            </w:tcBorders>
            <w:tcW w:w="12898" w:type="dxa"/>
            <w:vAlign w:val="center"/>
            <w:textDirection w:val="lrTb"/>
            <w:noWrap w:val="false"/>
          </w:tcPr>
          <w:p>
            <w:pPr>
              <w:jc w:val="center"/>
              <w:rPr>
                <w:bCs/>
              </w:rPr>
            </w:pPr>
            <w:r>
              <w:rPr>
                <w:b/>
                <w:sz w:val="24"/>
                <w:szCs w:val="24"/>
              </w:rPr>
              <w:t xml:space="preserve">Памятники</w:t>
            </w:r>
            <w:r>
              <w:rPr>
                <w:b/>
                <w:sz w:val="24"/>
                <w:szCs w:val="24"/>
              </w:rPr>
            </w:r>
            <w:r/>
          </w:p>
        </w:tc>
      </w:tr>
      <w:tr>
        <w:trPr>
          <w:jc w:val="center"/>
        </w:trPr>
        <w:tc>
          <w:tcPr>
            <w:tcBorders>
              <w:top w:val="single" w:color="000000" w:sz="4" w:space="0"/>
              <w:left w:val="single" w:color="000000" w:sz="4" w:space="0"/>
              <w:bottom w:val="single" w:color="000000" w:sz="4" w:space="0"/>
              <w:right w:val="none" w:color="000000" w:sz="4" w:space="0"/>
            </w:tcBorders>
            <w:tcW w:w="972" w:type="dxa"/>
            <w:vAlign w:val="center"/>
            <w:textDirection w:val="lrTb"/>
            <w:noWrap w:val="false"/>
          </w:tcPr>
          <w:p>
            <w:pPr>
              <w:numPr>
                <w:ilvl w:val="0"/>
                <w:numId w:val="30"/>
              </w:numPr>
              <w:jc w:val="center"/>
              <w:rPr>
                <w:bCs/>
              </w:rPr>
            </w:pPr>
            <w:r>
              <w:rPr>
                <w:b/>
                <w:sz w:val="24"/>
                <w:szCs w:val="24"/>
              </w:rPr>
            </w:r>
            <w:r>
              <w:rPr>
                <w:b/>
                <w:sz w:val="24"/>
                <w:szCs w:val="24"/>
              </w:rPr>
            </w:r>
            <w:r/>
          </w:p>
        </w:tc>
        <w:tc>
          <w:tcPr>
            <w:tcBorders>
              <w:top w:val="single" w:color="000000" w:sz="4" w:space="0"/>
              <w:left w:val="single" w:color="000000" w:sz="4" w:space="0"/>
              <w:bottom w:val="single" w:color="000000" w:sz="4" w:space="0"/>
              <w:right w:val="none" w:color="000000" w:sz="4" w:space="0"/>
            </w:tcBorders>
            <w:tcW w:w="3543" w:type="dxa"/>
            <w:vAlign w:val="center"/>
            <w:textDirection w:val="lrTb"/>
            <w:noWrap w:val="false"/>
          </w:tcPr>
          <w:p>
            <w:pPr>
              <w:widowControl w:val="off"/>
              <w:rPr>
                <w:color w:val="000000"/>
              </w:rPr>
            </w:pPr>
            <w:r>
              <w:rPr>
                <w:color w:val="000000"/>
                <w:sz w:val="24"/>
                <w:szCs w:val="24"/>
              </w:rPr>
              <w:t xml:space="preserve">Церковь во имя Св. Троицы, 1911 г.</w:t>
            </w:r>
            <w:r>
              <w:rPr>
                <w:color w:val="000000"/>
                <w:sz w:val="24"/>
                <w:szCs w:val="24"/>
              </w:rPr>
            </w:r>
            <w:r/>
          </w:p>
        </w:tc>
        <w:tc>
          <w:tcPr>
            <w:tcBorders>
              <w:top w:val="single" w:color="000000" w:sz="4" w:space="0"/>
              <w:left w:val="single" w:color="000000" w:sz="4" w:space="0"/>
              <w:bottom w:val="single" w:color="000000" w:sz="4" w:space="0"/>
              <w:right w:val="none" w:color="000000" w:sz="4" w:space="0"/>
            </w:tcBorders>
            <w:tcW w:w="2976" w:type="dxa"/>
            <w:vAlign w:val="center"/>
            <w:textDirection w:val="lrTb"/>
            <w:noWrap w:val="false"/>
          </w:tcPr>
          <w:p>
            <w:pPr>
              <w:jc w:val="center"/>
            </w:pPr>
            <w:r>
              <w:rPr>
                <w:sz w:val="24"/>
                <w:szCs w:val="24"/>
              </w:rPr>
              <w:t xml:space="preserve">ст-ца Казанская,</w:t>
            </w:r>
            <w:r>
              <w:rPr>
                <w:sz w:val="24"/>
                <w:szCs w:val="24"/>
              </w:rPr>
            </w:r>
            <w:r/>
          </w:p>
          <w:p>
            <w:pPr>
              <w:jc w:val="center"/>
            </w:pPr>
            <w:r>
              <w:rPr>
                <w:sz w:val="24"/>
                <w:szCs w:val="24"/>
              </w:rPr>
              <w:t xml:space="preserve">ул. Красная, 170</w:t>
            </w:r>
            <w:r>
              <w:rPr>
                <w:sz w:val="24"/>
                <w:szCs w:val="24"/>
              </w:rPr>
            </w:r>
            <w:r/>
          </w:p>
        </w:tc>
        <w:tc>
          <w:tcPr>
            <w:tcBorders>
              <w:top w:val="single" w:color="000000" w:sz="4" w:space="0"/>
              <w:left w:val="single" w:color="000000" w:sz="4" w:space="0"/>
              <w:bottom w:val="single" w:color="000000" w:sz="4" w:space="0"/>
              <w:right w:val="none" w:color="000000" w:sz="4" w:space="0"/>
            </w:tcBorders>
            <w:tcW w:w="1778" w:type="dxa"/>
            <w:vAlign w:val="center"/>
            <w:textDirection w:val="lrTb"/>
            <w:noWrap w:val="false"/>
          </w:tcPr>
          <w:p>
            <w:pPr>
              <w:jc w:val="center"/>
              <w:widowControl w:val="off"/>
            </w:pPr>
            <w:r>
              <w:rPr>
                <w:color w:val="000000"/>
                <w:sz w:val="24"/>
                <w:szCs w:val="24"/>
              </w:rPr>
              <w:t xml:space="preserve">26-п</w:t>
            </w:r>
            <w:r>
              <w:rPr>
                <w:color w:val="000000"/>
                <w:sz w:val="24"/>
                <w:szCs w:val="24"/>
              </w:rPr>
            </w:r>
            <w:r/>
          </w:p>
          <w:p>
            <w:pPr>
              <w:jc w:val="center"/>
              <w:widowControl w:val="off"/>
              <w:rPr>
                <w:color w:val="000000"/>
              </w:rPr>
            </w:pPr>
            <w:r>
              <w:rPr>
                <w:color w:val="000000"/>
                <w:sz w:val="24"/>
                <w:szCs w:val="24"/>
              </w:rPr>
              <w:t xml:space="preserve">313-КЗ</w:t>
            </w:r>
            <w:r>
              <w:rPr>
                <w:color w:val="000000"/>
                <w:sz w:val="24"/>
                <w:szCs w:val="24"/>
              </w:rPr>
            </w:r>
            <w:r/>
          </w:p>
        </w:tc>
        <w:tc>
          <w:tcPr>
            <w:tcBorders>
              <w:top w:val="single" w:color="000000" w:sz="4" w:space="0"/>
              <w:left w:val="single" w:color="000000" w:sz="4" w:space="0"/>
              <w:bottom w:val="single" w:color="000000" w:sz="4" w:space="0"/>
              <w:right w:val="single" w:color="000000" w:sz="4" w:space="0"/>
            </w:tcBorders>
            <w:tcW w:w="726" w:type="dxa"/>
            <w:vAlign w:val="center"/>
            <w:textDirection w:val="lrTb"/>
            <w:noWrap w:val="false"/>
          </w:tcPr>
          <w:p>
            <w:pPr>
              <w:jc w:val="center"/>
              <w:widowControl w:val="off"/>
              <w:rPr>
                <w:color w:val="000000"/>
              </w:rPr>
            </w:pPr>
            <w:r>
              <w:rPr>
                <w:color w:val="000000"/>
                <w:sz w:val="24"/>
                <w:szCs w:val="24"/>
              </w:rPr>
              <w:t xml:space="preserve">8801</w:t>
            </w:r>
            <w:r>
              <w:rPr>
                <w:color w:val="000000"/>
                <w:sz w:val="24"/>
                <w:szCs w:val="24"/>
              </w:rPr>
            </w:r>
            <w:r/>
          </w:p>
        </w:tc>
        <w:tc>
          <w:tcPr>
            <w:tcBorders>
              <w:top w:val="single" w:color="000000" w:sz="4" w:space="0"/>
              <w:left w:val="single" w:color="000000" w:sz="4" w:space="0"/>
              <w:bottom w:val="single" w:color="000000" w:sz="4" w:space="0"/>
              <w:right w:val="single" w:color="000000" w:sz="4" w:space="0"/>
            </w:tcBorders>
            <w:tcW w:w="841" w:type="dxa"/>
            <w:vAlign w:val="center"/>
            <w:textDirection w:val="lrTb"/>
            <w:noWrap w:val="false"/>
          </w:tcPr>
          <w:p>
            <w:pPr>
              <w:jc w:val="center"/>
              <w:widowControl w:val="off"/>
              <w:rPr>
                <w:color w:val="000000"/>
              </w:rPr>
            </w:pPr>
            <w:r>
              <w:rPr>
                <w:color w:val="000000"/>
                <w:sz w:val="24"/>
                <w:szCs w:val="24"/>
              </w:rPr>
              <w:t xml:space="preserve">А</w:t>
            </w:r>
            <w:r>
              <w:rPr>
                <w:color w:val="000000"/>
                <w:sz w:val="24"/>
                <w:szCs w:val="24"/>
              </w:rPr>
            </w:r>
            <w:r/>
          </w:p>
        </w:tc>
        <w:tc>
          <w:tcPr>
            <w:tcBorders>
              <w:top w:val="single" w:color="000000" w:sz="4" w:space="0"/>
              <w:left w:val="single" w:color="000000" w:sz="4" w:space="0"/>
              <w:bottom w:val="single" w:color="000000" w:sz="4" w:space="0"/>
              <w:right w:val="single" w:color="000000" w:sz="4" w:space="0"/>
            </w:tcBorders>
            <w:tcW w:w="709" w:type="dxa"/>
            <w:vAlign w:val="center"/>
            <w:textDirection w:val="lrTb"/>
            <w:noWrap w:val="false"/>
          </w:tcPr>
          <w:p>
            <w:pPr>
              <w:jc w:val="center"/>
              <w:widowControl w:val="off"/>
              <w:rPr>
                <w:color w:val="000000"/>
              </w:rPr>
            </w:pPr>
            <w:r>
              <w:rPr>
                <w:color w:val="000000"/>
                <w:sz w:val="24"/>
                <w:szCs w:val="24"/>
              </w:rPr>
              <w:t xml:space="preserve">Р</w:t>
            </w:r>
            <w:r>
              <w:rPr>
                <w:color w:val="000000"/>
                <w:sz w:val="24"/>
                <w:szCs w:val="24"/>
              </w:rPr>
            </w:r>
            <w:r/>
          </w:p>
        </w:tc>
        <w:tc>
          <w:tcPr>
            <w:tcBorders>
              <w:top w:val="single" w:color="000000" w:sz="4" w:space="0"/>
              <w:left w:val="single" w:color="000000" w:sz="4" w:space="0"/>
              <w:bottom w:val="single" w:color="000000" w:sz="4" w:space="0"/>
              <w:right w:val="single" w:color="000000" w:sz="4" w:space="0"/>
            </w:tcBorders>
            <w:tcW w:w="2324" w:type="dxa"/>
            <w:vAlign w:val="center"/>
            <w:textDirection w:val="lrTb"/>
            <w:noWrap w:val="false"/>
          </w:tcPr>
          <w:p>
            <w:pPr>
              <w:jc w:val="center"/>
            </w:pPr>
            <w:r>
              <w:rPr>
                <w:sz w:val="24"/>
                <w:szCs w:val="24"/>
              </w:rPr>
              <w:t xml:space="preserve">23-84016</w:t>
            </w:r>
            <w:r>
              <w:rPr>
                <w:sz w:val="24"/>
                <w:szCs w:val="24"/>
              </w:rPr>
            </w:r>
            <w:r/>
          </w:p>
        </w:tc>
      </w:tr>
      <w:tr>
        <w:trPr>
          <w:jc w:val="center"/>
        </w:trPr>
        <w:tc>
          <w:tcPr>
            <w:tcBorders>
              <w:top w:val="single" w:color="000000" w:sz="4" w:space="0"/>
              <w:left w:val="single" w:color="000000" w:sz="4" w:space="0"/>
              <w:bottom w:val="single" w:color="000000" w:sz="4" w:space="0"/>
              <w:right w:val="none" w:color="000000" w:sz="4" w:space="0"/>
            </w:tcBorders>
            <w:tcW w:w="972" w:type="dxa"/>
            <w:vAlign w:val="center"/>
            <w:textDirection w:val="lrTb"/>
            <w:noWrap w:val="false"/>
          </w:tcPr>
          <w:p>
            <w:pPr>
              <w:numPr>
                <w:ilvl w:val="0"/>
                <w:numId w:val="30"/>
              </w:numPr>
              <w:jc w:val="center"/>
              <w:rPr>
                <w:bCs/>
              </w:rPr>
            </w:pPr>
            <w:r>
              <w:rPr>
                <w:b/>
                <w:sz w:val="24"/>
                <w:szCs w:val="24"/>
              </w:rPr>
            </w:r>
            <w:r>
              <w:rPr>
                <w:b/>
                <w:sz w:val="24"/>
                <w:szCs w:val="24"/>
              </w:rPr>
            </w:r>
            <w:r/>
          </w:p>
        </w:tc>
        <w:tc>
          <w:tcPr>
            <w:tcBorders>
              <w:top w:val="single" w:color="000000" w:sz="4" w:space="0"/>
              <w:left w:val="single" w:color="000000" w:sz="4" w:space="0"/>
              <w:bottom w:val="single" w:color="000000" w:sz="4" w:space="0"/>
              <w:right w:val="none" w:color="000000" w:sz="4" w:space="0"/>
            </w:tcBorders>
            <w:tcW w:w="3543" w:type="dxa"/>
            <w:vAlign w:val="center"/>
            <w:textDirection w:val="lrTb"/>
            <w:noWrap w:val="false"/>
          </w:tcPr>
          <w:p>
            <w:pPr>
              <w:widowControl w:val="off"/>
              <w:rPr>
                <w:color w:val="000000"/>
              </w:rPr>
            </w:pPr>
            <w:r>
              <w:rPr>
                <w:color w:val="000000"/>
                <w:sz w:val="24"/>
                <w:szCs w:val="24"/>
              </w:rPr>
              <w:t xml:space="preserve">Дом, в котором родился и жил выдающийся русский конструктор, доктор технических наук Николай Гаврилович Чернышев (1906-1953)</w:t>
            </w:r>
            <w:r>
              <w:rPr>
                <w:color w:val="000000"/>
                <w:sz w:val="24"/>
                <w:szCs w:val="24"/>
              </w:rPr>
            </w:r>
            <w:r/>
          </w:p>
        </w:tc>
        <w:tc>
          <w:tcPr>
            <w:tcBorders>
              <w:top w:val="single" w:color="000000" w:sz="4" w:space="0"/>
              <w:left w:val="single" w:color="000000" w:sz="4" w:space="0"/>
              <w:bottom w:val="single" w:color="000000" w:sz="4" w:space="0"/>
              <w:right w:val="none" w:color="000000" w:sz="4" w:space="0"/>
            </w:tcBorders>
            <w:tcW w:w="2976" w:type="dxa"/>
            <w:vAlign w:val="center"/>
            <w:textDirection w:val="lrTb"/>
            <w:noWrap w:val="false"/>
          </w:tcPr>
          <w:p>
            <w:pPr>
              <w:jc w:val="center"/>
            </w:pPr>
            <w:r>
              <w:rPr>
                <w:sz w:val="24"/>
                <w:szCs w:val="24"/>
              </w:rPr>
              <w:t xml:space="preserve">ст-ца Казанская,</w:t>
            </w:r>
            <w:r>
              <w:rPr>
                <w:sz w:val="24"/>
                <w:szCs w:val="24"/>
              </w:rPr>
            </w:r>
            <w:r/>
          </w:p>
          <w:p>
            <w:pPr>
              <w:jc w:val="center"/>
            </w:pPr>
            <w:r>
              <w:rPr>
                <w:sz w:val="24"/>
                <w:szCs w:val="24"/>
              </w:rPr>
              <w:t xml:space="preserve">ул. Чернышева, 72</w:t>
            </w:r>
            <w:r>
              <w:rPr>
                <w:sz w:val="24"/>
                <w:szCs w:val="24"/>
              </w:rPr>
            </w:r>
            <w:r/>
          </w:p>
        </w:tc>
        <w:tc>
          <w:tcPr>
            <w:tcBorders>
              <w:top w:val="single" w:color="000000" w:sz="4" w:space="0"/>
              <w:left w:val="single" w:color="000000" w:sz="4" w:space="0"/>
              <w:bottom w:val="single" w:color="000000" w:sz="4" w:space="0"/>
              <w:right w:val="none" w:color="000000" w:sz="4" w:space="0"/>
            </w:tcBorders>
            <w:tcW w:w="1778" w:type="dxa"/>
            <w:vAlign w:val="center"/>
            <w:textDirection w:val="lrTb"/>
            <w:noWrap w:val="false"/>
          </w:tcPr>
          <w:p>
            <w:pPr>
              <w:jc w:val="center"/>
              <w:widowControl w:val="off"/>
            </w:pPr>
            <w:r>
              <w:rPr>
                <w:color w:val="000000"/>
                <w:sz w:val="24"/>
                <w:szCs w:val="24"/>
              </w:rPr>
              <w:t xml:space="preserve">26-п</w:t>
            </w:r>
            <w:r>
              <w:rPr>
                <w:color w:val="000000"/>
                <w:sz w:val="24"/>
                <w:szCs w:val="24"/>
              </w:rPr>
            </w:r>
            <w:r/>
          </w:p>
          <w:p>
            <w:pPr>
              <w:jc w:val="center"/>
              <w:widowControl w:val="off"/>
              <w:rPr>
                <w:color w:val="000000"/>
              </w:rPr>
            </w:pPr>
            <w:r>
              <w:rPr>
                <w:color w:val="000000"/>
                <w:sz w:val="24"/>
                <w:szCs w:val="24"/>
              </w:rPr>
              <w:t xml:space="preserve">313-КЗ</w:t>
            </w:r>
            <w:r>
              <w:rPr>
                <w:color w:val="000000"/>
                <w:sz w:val="24"/>
                <w:szCs w:val="24"/>
              </w:rPr>
            </w:r>
            <w:r/>
          </w:p>
        </w:tc>
        <w:tc>
          <w:tcPr>
            <w:tcBorders>
              <w:top w:val="single" w:color="000000" w:sz="4" w:space="0"/>
              <w:left w:val="single" w:color="000000" w:sz="4" w:space="0"/>
              <w:bottom w:val="single" w:color="000000" w:sz="4" w:space="0"/>
              <w:right w:val="single" w:color="000000" w:sz="4" w:space="0"/>
            </w:tcBorders>
            <w:tcW w:w="726" w:type="dxa"/>
            <w:vAlign w:val="center"/>
            <w:textDirection w:val="lrTb"/>
            <w:noWrap w:val="false"/>
          </w:tcPr>
          <w:p>
            <w:pPr>
              <w:jc w:val="center"/>
              <w:widowControl w:val="off"/>
              <w:rPr>
                <w:color w:val="000000"/>
              </w:rPr>
            </w:pPr>
            <w:r>
              <w:rPr>
                <w:color w:val="000000"/>
                <w:sz w:val="24"/>
                <w:szCs w:val="24"/>
              </w:rPr>
              <w:t xml:space="preserve">8802</w:t>
            </w:r>
            <w:r>
              <w:rPr>
                <w:color w:val="000000"/>
                <w:sz w:val="24"/>
                <w:szCs w:val="24"/>
              </w:rPr>
            </w:r>
            <w:r/>
          </w:p>
        </w:tc>
        <w:tc>
          <w:tcPr>
            <w:tcBorders>
              <w:top w:val="single" w:color="000000" w:sz="4" w:space="0"/>
              <w:left w:val="single" w:color="000000" w:sz="4" w:space="0"/>
              <w:bottom w:val="single" w:color="000000" w:sz="4" w:space="0"/>
              <w:right w:val="single" w:color="000000" w:sz="4" w:space="0"/>
            </w:tcBorders>
            <w:tcW w:w="841" w:type="dxa"/>
            <w:vAlign w:val="center"/>
            <w:textDirection w:val="lrTb"/>
            <w:noWrap w:val="false"/>
          </w:tcPr>
          <w:p>
            <w:pPr>
              <w:jc w:val="center"/>
              <w:widowControl w:val="off"/>
              <w:rPr>
                <w:color w:val="000000"/>
              </w:rPr>
            </w:pPr>
            <w:r>
              <w:rPr>
                <w:color w:val="000000"/>
                <w:sz w:val="24"/>
                <w:szCs w:val="24"/>
              </w:rPr>
              <w:t xml:space="preserve">И</w:t>
            </w:r>
            <w:r>
              <w:rPr>
                <w:color w:val="000000"/>
                <w:sz w:val="24"/>
                <w:szCs w:val="24"/>
              </w:rPr>
            </w:r>
            <w:r/>
          </w:p>
        </w:tc>
        <w:tc>
          <w:tcPr>
            <w:tcBorders>
              <w:top w:val="single" w:color="000000" w:sz="4" w:space="0"/>
              <w:left w:val="single" w:color="000000" w:sz="4" w:space="0"/>
              <w:bottom w:val="single" w:color="000000" w:sz="4" w:space="0"/>
              <w:right w:val="single" w:color="000000" w:sz="4" w:space="0"/>
            </w:tcBorders>
            <w:tcW w:w="709" w:type="dxa"/>
            <w:vAlign w:val="center"/>
            <w:textDirection w:val="lrTb"/>
            <w:noWrap w:val="false"/>
          </w:tcPr>
          <w:p>
            <w:pPr>
              <w:jc w:val="center"/>
              <w:widowControl w:val="off"/>
              <w:rPr>
                <w:color w:val="000000"/>
              </w:rPr>
            </w:pPr>
            <w:r>
              <w:rPr>
                <w:color w:val="000000"/>
                <w:sz w:val="24"/>
                <w:szCs w:val="24"/>
              </w:rPr>
              <w:t xml:space="preserve">Р</w:t>
            </w:r>
            <w:r>
              <w:rPr>
                <w:color w:val="000000"/>
                <w:sz w:val="24"/>
                <w:szCs w:val="24"/>
              </w:rPr>
            </w:r>
            <w:r/>
          </w:p>
        </w:tc>
        <w:tc>
          <w:tcPr>
            <w:tcBorders>
              <w:top w:val="single" w:color="000000" w:sz="4" w:space="0"/>
              <w:left w:val="single" w:color="000000" w:sz="4" w:space="0"/>
              <w:bottom w:val="single" w:color="000000" w:sz="4" w:space="0"/>
              <w:right w:val="single" w:color="000000" w:sz="4" w:space="0"/>
            </w:tcBorders>
            <w:tcW w:w="2324" w:type="dxa"/>
            <w:vAlign w:val="center"/>
            <w:textDirection w:val="lrTb"/>
            <w:noWrap w:val="false"/>
          </w:tcPr>
          <w:p>
            <w:pPr>
              <w:jc w:val="center"/>
            </w:pPr>
            <w:r>
              <w:rPr>
                <w:sz w:val="24"/>
                <w:szCs w:val="24"/>
              </w:rPr>
              <w:t xml:space="preserve">23-161258</w:t>
            </w:r>
            <w:r>
              <w:rPr>
                <w:sz w:val="24"/>
                <w:szCs w:val="24"/>
              </w:rPr>
            </w:r>
            <w:r/>
          </w:p>
        </w:tc>
      </w:tr>
      <w:tr>
        <w:trPr>
          <w:jc w:val="center"/>
        </w:trPr>
        <w:tc>
          <w:tcPr>
            <w:tcBorders>
              <w:top w:val="single" w:color="000000" w:sz="4" w:space="0"/>
              <w:left w:val="single" w:color="000000" w:sz="4" w:space="0"/>
              <w:bottom w:val="single" w:color="000000" w:sz="4" w:space="0"/>
              <w:right w:val="none" w:color="000000" w:sz="4" w:space="0"/>
            </w:tcBorders>
            <w:tcW w:w="972" w:type="dxa"/>
            <w:vAlign w:val="center"/>
            <w:textDirection w:val="lrTb"/>
            <w:noWrap w:val="false"/>
          </w:tcPr>
          <w:p>
            <w:pPr>
              <w:numPr>
                <w:ilvl w:val="0"/>
                <w:numId w:val="30"/>
              </w:numPr>
              <w:jc w:val="center"/>
              <w:rPr>
                <w:bCs/>
              </w:rPr>
            </w:pPr>
            <w:r>
              <w:rPr>
                <w:b/>
                <w:sz w:val="24"/>
                <w:szCs w:val="24"/>
              </w:rPr>
            </w:r>
            <w:r>
              <w:rPr>
                <w:b/>
                <w:sz w:val="24"/>
                <w:szCs w:val="24"/>
              </w:rPr>
            </w:r>
            <w:r/>
          </w:p>
        </w:tc>
        <w:tc>
          <w:tcPr>
            <w:tcBorders>
              <w:top w:val="single" w:color="000000" w:sz="4" w:space="0"/>
              <w:left w:val="single" w:color="000000" w:sz="4" w:space="0"/>
              <w:bottom w:val="single" w:color="000000" w:sz="4" w:space="0"/>
              <w:right w:val="none" w:color="000000" w:sz="4" w:space="0"/>
            </w:tcBorders>
            <w:tcW w:w="3543" w:type="dxa"/>
            <w:vAlign w:val="center"/>
            <w:textDirection w:val="lrTb"/>
            <w:noWrap w:val="false"/>
          </w:tcPr>
          <w:p>
            <w:pPr>
              <w:widowControl w:val="off"/>
            </w:pPr>
            <w:r>
              <w:rPr>
                <w:color w:val="000000"/>
                <w:sz w:val="24"/>
                <w:szCs w:val="24"/>
              </w:rPr>
              <w:t xml:space="preserve">Братская могила советских воинов, погибших в боях с фашистскими захватчиками,</w:t>
            </w:r>
            <w:r>
              <w:rPr>
                <w:color w:val="000000"/>
                <w:sz w:val="24"/>
                <w:szCs w:val="24"/>
              </w:rPr>
            </w:r>
            <w:r/>
          </w:p>
          <w:p>
            <w:pPr>
              <w:widowControl w:val="off"/>
              <w:rPr>
                <w:color w:val="000000"/>
              </w:rPr>
            </w:pPr>
            <w:r>
              <w:rPr>
                <w:color w:val="000000"/>
                <w:sz w:val="24"/>
                <w:szCs w:val="24"/>
              </w:rPr>
              <w:t xml:space="preserve">1942-1943 гг. </w:t>
            </w:r>
            <w:r>
              <w:rPr>
                <w:color w:val="000000"/>
                <w:sz w:val="24"/>
                <w:szCs w:val="24"/>
              </w:rPr>
            </w:r>
            <w:r/>
          </w:p>
        </w:tc>
        <w:tc>
          <w:tcPr>
            <w:tcBorders>
              <w:top w:val="single" w:color="000000" w:sz="4" w:space="0"/>
              <w:left w:val="single" w:color="000000" w:sz="4" w:space="0"/>
              <w:bottom w:val="single" w:color="000000" w:sz="4" w:space="0"/>
              <w:right w:val="none" w:color="000000" w:sz="4" w:space="0"/>
            </w:tcBorders>
            <w:tcW w:w="2976" w:type="dxa"/>
            <w:vAlign w:val="center"/>
            <w:textDirection w:val="lrTb"/>
            <w:noWrap w:val="false"/>
          </w:tcPr>
          <w:p>
            <w:pPr>
              <w:jc w:val="center"/>
            </w:pPr>
            <w:r>
              <w:rPr>
                <w:sz w:val="24"/>
                <w:szCs w:val="24"/>
              </w:rPr>
              <w:t xml:space="preserve">ст-ца Казанская, кладбище</w:t>
            </w:r>
            <w:r>
              <w:rPr>
                <w:sz w:val="24"/>
                <w:szCs w:val="24"/>
              </w:rPr>
            </w:r>
            <w:r/>
          </w:p>
        </w:tc>
        <w:tc>
          <w:tcPr>
            <w:tcBorders>
              <w:top w:val="single" w:color="000000" w:sz="4" w:space="0"/>
              <w:left w:val="single" w:color="000000" w:sz="4" w:space="0"/>
              <w:bottom w:val="single" w:color="000000" w:sz="4" w:space="0"/>
              <w:right w:val="none" w:color="000000" w:sz="4" w:space="0"/>
            </w:tcBorders>
            <w:tcW w:w="1778" w:type="dxa"/>
            <w:vAlign w:val="center"/>
            <w:textDirection w:val="lrTb"/>
            <w:noWrap w:val="false"/>
          </w:tcPr>
          <w:p>
            <w:pPr>
              <w:jc w:val="center"/>
              <w:widowControl w:val="off"/>
              <w:rPr>
                <w:color w:val="000000"/>
              </w:rPr>
            </w:pPr>
            <w:r>
              <w:rPr>
                <w:color w:val="000000"/>
                <w:sz w:val="24"/>
                <w:szCs w:val="24"/>
              </w:rPr>
              <w:t xml:space="preserve">63</w:t>
            </w:r>
            <w:r>
              <w:rPr>
                <w:color w:val="000000"/>
                <w:sz w:val="24"/>
                <w:szCs w:val="24"/>
              </w:rPr>
            </w:r>
            <w:r/>
          </w:p>
        </w:tc>
        <w:tc>
          <w:tcPr>
            <w:tcBorders>
              <w:top w:val="single" w:color="000000" w:sz="4" w:space="0"/>
              <w:left w:val="single" w:color="000000" w:sz="4" w:space="0"/>
              <w:bottom w:val="single" w:color="000000" w:sz="4" w:space="0"/>
              <w:right w:val="single" w:color="000000" w:sz="4" w:space="0"/>
            </w:tcBorders>
            <w:tcW w:w="726" w:type="dxa"/>
            <w:vAlign w:val="center"/>
            <w:textDirection w:val="lrTb"/>
            <w:noWrap w:val="false"/>
          </w:tcPr>
          <w:p>
            <w:pPr>
              <w:jc w:val="center"/>
              <w:widowControl w:val="off"/>
              <w:rPr>
                <w:color w:val="000000"/>
              </w:rPr>
            </w:pPr>
            <w:r>
              <w:rPr>
                <w:color w:val="000000"/>
                <w:sz w:val="24"/>
                <w:szCs w:val="24"/>
              </w:rPr>
              <w:t xml:space="preserve">1332</w:t>
            </w:r>
            <w:r>
              <w:rPr>
                <w:color w:val="000000"/>
                <w:sz w:val="24"/>
                <w:szCs w:val="24"/>
              </w:rPr>
            </w:r>
            <w:r/>
          </w:p>
        </w:tc>
        <w:tc>
          <w:tcPr>
            <w:tcBorders>
              <w:top w:val="single" w:color="000000" w:sz="4" w:space="0"/>
              <w:left w:val="single" w:color="000000" w:sz="4" w:space="0"/>
              <w:bottom w:val="single" w:color="000000" w:sz="4" w:space="0"/>
              <w:right w:val="single" w:color="000000" w:sz="4" w:space="0"/>
            </w:tcBorders>
            <w:tcW w:w="841" w:type="dxa"/>
            <w:vAlign w:val="center"/>
            <w:textDirection w:val="lrTb"/>
            <w:noWrap w:val="false"/>
          </w:tcPr>
          <w:p>
            <w:pPr>
              <w:jc w:val="center"/>
              <w:widowControl w:val="off"/>
              <w:rPr>
                <w:color w:val="000000"/>
              </w:rPr>
            </w:pPr>
            <w:r>
              <w:rPr>
                <w:color w:val="000000"/>
                <w:sz w:val="24"/>
                <w:szCs w:val="24"/>
              </w:rPr>
              <w:t xml:space="preserve">И</w:t>
            </w:r>
            <w:r>
              <w:rPr>
                <w:color w:val="000000"/>
                <w:sz w:val="24"/>
                <w:szCs w:val="24"/>
              </w:rPr>
            </w:r>
            <w:r/>
          </w:p>
        </w:tc>
        <w:tc>
          <w:tcPr>
            <w:tcBorders>
              <w:top w:val="single" w:color="000000" w:sz="4" w:space="0"/>
              <w:left w:val="single" w:color="000000" w:sz="4" w:space="0"/>
              <w:bottom w:val="single" w:color="000000" w:sz="4" w:space="0"/>
              <w:right w:val="single" w:color="000000" w:sz="4" w:space="0"/>
            </w:tcBorders>
            <w:tcW w:w="709" w:type="dxa"/>
            <w:vAlign w:val="center"/>
            <w:textDirection w:val="lrTb"/>
            <w:noWrap w:val="false"/>
          </w:tcPr>
          <w:p>
            <w:pPr>
              <w:jc w:val="center"/>
              <w:widowControl w:val="off"/>
              <w:rPr>
                <w:color w:val="000000"/>
              </w:rPr>
            </w:pPr>
            <w:r>
              <w:rPr>
                <w:color w:val="000000"/>
                <w:sz w:val="24"/>
                <w:szCs w:val="24"/>
              </w:rPr>
              <w:t xml:space="preserve">Р</w:t>
            </w:r>
            <w:r>
              <w:rPr>
                <w:color w:val="000000"/>
                <w:sz w:val="24"/>
                <w:szCs w:val="24"/>
              </w:rPr>
            </w:r>
            <w:r/>
          </w:p>
        </w:tc>
        <w:tc>
          <w:tcPr>
            <w:tcBorders>
              <w:top w:val="single" w:color="000000" w:sz="4" w:space="0"/>
              <w:left w:val="single" w:color="000000" w:sz="4" w:space="0"/>
              <w:bottom w:val="single" w:color="000000" w:sz="4" w:space="0"/>
              <w:right w:val="single" w:color="000000" w:sz="4" w:space="0"/>
            </w:tcBorders>
            <w:tcW w:w="2324" w:type="dxa"/>
            <w:vAlign w:val="center"/>
            <w:textDirection w:val="lrTb"/>
            <w:noWrap w:val="false"/>
          </w:tcPr>
          <w:p>
            <w:pPr>
              <w:jc w:val="center"/>
            </w:pPr>
            <w:r>
              <w:rPr>
                <w:sz w:val="24"/>
                <w:szCs w:val="24"/>
              </w:rPr>
              <w:t xml:space="preserve">23-161205</w:t>
            </w:r>
            <w:r>
              <w:rPr>
                <w:sz w:val="24"/>
                <w:szCs w:val="24"/>
              </w:rPr>
            </w:r>
            <w:r/>
          </w:p>
        </w:tc>
      </w:tr>
      <w:tr>
        <w:trPr>
          <w:jc w:val="center"/>
        </w:trPr>
        <w:tc>
          <w:tcPr>
            <w:tcBorders>
              <w:top w:val="single" w:color="000000" w:sz="4" w:space="0"/>
              <w:left w:val="single" w:color="000000" w:sz="4" w:space="0"/>
              <w:bottom w:val="single" w:color="000000" w:sz="4" w:space="0"/>
              <w:right w:val="none" w:color="000000" w:sz="4" w:space="0"/>
            </w:tcBorders>
            <w:tcW w:w="972" w:type="dxa"/>
            <w:vAlign w:val="center"/>
            <w:textDirection w:val="lrTb"/>
            <w:noWrap w:val="false"/>
          </w:tcPr>
          <w:p>
            <w:pPr>
              <w:numPr>
                <w:ilvl w:val="0"/>
                <w:numId w:val="30"/>
              </w:numPr>
              <w:jc w:val="center"/>
              <w:rPr>
                <w:bCs/>
              </w:rPr>
            </w:pPr>
            <w:r>
              <w:rPr>
                <w:b/>
                <w:sz w:val="24"/>
                <w:szCs w:val="24"/>
              </w:rPr>
            </w:r>
            <w:r>
              <w:rPr>
                <w:b/>
                <w:sz w:val="24"/>
                <w:szCs w:val="24"/>
              </w:rPr>
            </w:r>
            <w:r/>
          </w:p>
        </w:tc>
        <w:tc>
          <w:tcPr>
            <w:tcBorders>
              <w:top w:val="single" w:color="000000" w:sz="4" w:space="0"/>
              <w:left w:val="single" w:color="000000" w:sz="4" w:space="0"/>
              <w:bottom w:val="single" w:color="000000" w:sz="4" w:space="0"/>
              <w:right w:val="none" w:color="000000" w:sz="4" w:space="0"/>
            </w:tcBorders>
            <w:tcW w:w="3543" w:type="dxa"/>
            <w:vAlign w:val="center"/>
            <w:textDirection w:val="lrTb"/>
            <w:noWrap w:val="false"/>
          </w:tcPr>
          <w:p>
            <w:pPr>
              <w:widowControl w:val="off"/>
            </w:pPr>
            <w:r>
              <w:rPr>
                <w:color w:val="000000"/>
                <w:sz w:val="24"/>
                <w:szCs w:val="24"/>
              </w:rPr>
              <w:t xml:space="preserve">Памятник В.И. Ленину,</w:t>
            </w:r>
            <w:r>
              <w:rPr>
                <w:color w:val="000000"/>
                <w:sz w:val="24"/>
                <w:szCs w:val="24"/>
              </w:rPr>
            </w:r>
            <w:r/>
          </w:p>
          <w:p>
            <w:pPr>
              <w:widowControl w:val="off"/>
              <w:rPr>
                <w:color w:val="000000"/>
              </w:rPr>
            </w:pPr>
            <w:r>
              <w:rPr>
                <w:color w:val="000000"/>
                <w:sz w:val="24"/>
                <w:szCs w:val="24"/>
              </w:rPr>
              <w:t xml:space="preserve">1947 г., перенесен в 1968 г.</w:t>
            </w:r>
            <w:r>
              <w:rPr>
                <w:color w:val="000000"/>
                <w:sz w:val="24"/>
                <w:szCs w:val="24"/>
              </w:rPr>
            </w:r>
            <w:r/>
          </w:p>
        </w:tc>
        <w:tc>
          <w:tcPr>
            <w:tcBorders>
              <w:top w:val="single" w:color="000000" w:sz="4" w:space="0"/>
              <w:left w:val="single" w:color="000000" w:sz="4" w:space="0"/>
              <w:bottom w:val="single" w:color="000000" w:sz="4" w:space="0"/>
              <w:right w:val="none" w:color="000000" w:sz="4" w:space="0"/>
            </w:tcBorders>
            <w:tcW w:w="2976" w:type="dxa"/>
            <w:vAlign w:val="center"/>
            <w:textDirection w:val="lrTb"/>
            <w:noWrap w:val="false"/>
          </w:tcPr>
          <w:p>
            <w:pPr>
              <w:jc w:val="center"/>
            </w:pPr>
            <w:r>
              <w:rPr>
                <w:sz w:val="24"/>
                <w:szCs w:val="24"/>
              </w:rPr>
              <w:t xml:space="preserve">ст-ца Казанская,</w:t>
            </w:r>
            <w:r>
              <w:rPr>
                <w:sz w:val="24"/>
                <w:szCs w:val="24"/>
              </w:rPr>
            </w:r>
            <w:r/>
          </w:p>
          <w:p>
            <w:pPr>
              <w:jc w:val="center"/>
            </w:pPr>
            <w:r>
              <w:rPr>
                <w:sz w:val="24"/>
                <w:szCs w:val="24"/>
              </w:rPr>
              <w:t xml:space="preserve">ул. Ленина, 11</w:t>
            </w:r>
            <w:r>
              <w:rPr>
                <w:sz w:val="24"/>
                <w:szCs w:val="24"/>
              </w:rPr>
            </w:r>
            <w:r/>
          </w:p>
        </w:tc>
        <w:tc>
          <w:tcPr>
            <w:tcBorders>
              <w:top w:val="single" w:color="000000" w:sz="4" w:space="0"/>
              <w:left w:val="single" w:color="000000" w:sz="4" w:space="0"/>
              <w:bottom w:val="single" w:color="000000" w:sz="4" w:space="0"/>
              <w:right w:val="none" w:color="000000" w:sz="4" w:space="0"/>
            </w:tcBorders>
            <w:tcW w:w="1778" w:type="dxa"/>
            <w:vAlign w:val="center"/>
            <w:textDirection w:val="lrTb"/>
            <w:noWrap w:val="false"/>
          </w:tcPr>
          <w:p>
            <w:pPr>
              <w:jc w:val="center"/>
              <w:widowControl w:val="off"/>
              <w:rPr>
                <w:color w:val="000000"/>
              </w:rPr>
            </w:pPr>
            <w:r>
              <w:rPr>
                <w:color w:val="000000"/>
                <w:sz w:val="24"/>
                <w:szCs w:val="24"/>
              </w:rPr>
              <w:t xml:space="preserve">63</w:t>
            </w:r>
            <w:r>
              <w:rPr>
                <w:color w:val="000000"/>
                <w:sz w:val="24"/>
                <w:szCs w:val="24"/>
              </w:rPr>
            </w:r>
            <w:r/>
          </w:p>
        </w:tc>
        <w:tc>
          <w:tcPr>
            <w:tcBorders>
              <w:top w:val="single" w:color="000000" w:sz="4" w:space="0"/>
              <w:left w:val="single" w:color="000000" w:sz="4" w:space="0"/>
              <w:bottom w:val="single" w:color="000000" w:sz="4" w:space="0"/>
              <w:right w:val="single" w:color="000000" w:sz="4" w:space="0"/>
            </w:tcBorders>
            <w:tcW w:w="726" w:type="dxa"/>
            <w:vAlign w:val="center"/>
            <w:textDirection w:val="lrTb"/>
            <w:noWrap w:val="false"/>
          </w:tcPr>
          <w:p>
            <w:pPr>
              <w:jc w:val="center"/>
              <w:widowControl w:val="off"/>
              <w:rPr>
                <w:color w:val="000000"/>
              </w:rPr>
            </w:pPr>
            <w:r>
              <w:rPr>
                <w:color w:val="000000"/>
                <w:sz w:val="24"/>
                <w:szCs w:val="24"/>
              </w:rPr>
              <w:t xml:space="preserve">1347</w:t>
            </w:r>
            <w:r>
              <w:rPr>
                <w:color w:val="000000"/>
                <w:sz w:val="24"/>
                <w:szCs w:val="24"/>
              </w:rPr>
            </w:r>
            <w:r/>
          </w:p>
        </w:tc>
        <w:tc>
          <w:tcPr>
            <w:tcBorders>
              <w:top w:val="single" w:color="000000" w:sz="4" w:space="0"/>
              <w:left w:val="single" w:color="000000" w:sz="4" w:space="0"/>
              <w:bottom w:val="single" w:color="000000" w:sz="4" w:space="0"/>
              <w:right w:val="single" w:color="000000" w:sz="4" w:space="0"/>
            </w:tcBorders>
            <w:tcW w:w="841" w:type="dxa"/>
            <w:vAlign w:val="center"/>
            <w:textDirection w:val="lrTb"/>
            <w:noWrap w:val="false"/>
          </w:tcPr>
          <w:p>
            <w:pPr>
              <w:jc w:val="center"/>
              <w:widowControl w:val="off"/>
              <w:rPr>
                <w:color w:val="000000"/>
              </w:rPr>
            </w:pPr>
            <w:r>
              <w:rPr>
                <w:color w:val="000000"/>
                <w:sz w:val="24"/>
                <w:szCs w:val="24"/>
              </w:rPr>
              <w:t xml:space="preserve">МИ</w:t>
            </w:r>
            <w:r>
              <w:rPr>
                <w:color w:val="000000"/>
                <w:sz w:val="24"/>
                <w:szCs w:val="24"/>
              </w:rPr>
            </w:r>
            <w:r/>
          </w:p>
        </w:tc>
        <w:tc>
          <w:tcPr>
            <w:tcBorders>
              <w:top w:val="single" w:color="000000" w:sz="4" w:space="0"/>
              <w:left w:val="single" w:color="000000" w:sz="4" w:space="0"/>
              <w:bottom w:val="single" w:color="000000" w:sz="4" w:space="0"/>
              <w:right w:val="single" w:color="000000" w:sz="4" w:space="0"/>
            </w:tcBorders>
            <w:tcW w:w="709" w:type="dxa"/>
            <w:vAlign w:val="center"/>
            <w:textDirection w:val="lrTb"/>
            <w:noWrap w:val="false"/>
          </w:tcPr>
          <w:p>
            <w:pPr>
              <w:jc w:val="center"/>
              <w:widowControl w:val="off"/>
              <w:rPr>
                <w:color w:val="000000"/>
              </w:rPr>
            </w:pPr>
            <w:r>
              <w:rPr>
                <w:color w:val="000000"/>
                <w:sz w:val="24"/>
                <w:szCs w:val="24"/>
              </w:rPr>
              <w:t xml:space="preserve">Р</w:t>
            </w:r>
            <w:r>
              <w:rPr>
                <w:color w:val="000000"/>
                <w:sz w:val="24"/>
                <w:szCs w:val="24"/>
              </w:rPr>
            </w:r>
            <w:r/>
          </w:p>
        </w:tc>
        <w:tc>
          <w:tcPr>
            <w:tcBorders>
              <w:top w:val="single" w:color="000000" w:sz="4" w:space="0"/>
              <w:left w:val="single" w:color="000000" w:sz="4" w:space="0"/>
              <w:bottom w:val="single" w:color="000000" w:sz="4" w:space="0"/>
              <w:right w:val="single" w:color="000000" w:sz="4" w:space="0"/>
            </w:tcBorders>
            <w:tcW w:w="2324" w:type="dxa"/>
            <w:vAlign w:val="center"/>
            <w:textDirection w:val="lrTb"/>
            <w:noWrap w:val="false"/>
          </w:tcPr>
          <w:p>
            <w:pPr>
              <w:jc w:val="center"/>
            </w:pPr>
            <w:r>
              <w:rPr>
                <w:sz w:val="24"/>
                <w:szCs w:val="24"/>
              </w:rPr>
              <w:t xml:space="preserve">23-161235</w:t>
            </w:r>
            <w:r>
              <w:rPr>
                <w:sz w:val="24"/>
                <w:szCs w:val="24"/>
              </w:rPr>
            </w:r>
            <w:r/>
          </w:p>
        </w:tc>
      </w:tr>
      <w:tr>
        <w:trPr>
          <w:jc w:val="center"/>
        </w:trPr>
        <w:tc>
          <w:tcPr>
            <w:tcBorders>
              <w:top w:val="single" w:color="000000" w:sz="4" w:space="0"/>
              <w:left w:val="single" w:color="000000" w:sz="4" w:space="0"/>
              <w:bottom w:val="single" w:color="000000" w:sz="4" w:space="0"/>
              <w:right w:val="none" w:color="000000" w:sz="4" w:space="0"/>
            </w:tcBorders>
            <w:tcW w:w="972" w:type="dxa"/>
            <w:vAlign w:val="center"/>
            <w:textDirection w:val="lrTb"/>
            <w:noWrap w:val="false"/>
          </w:tcPr>
          <w:p>
            <w:pPr>
              <w:numPr>
                <w:ilvl w:val="0"/>
                <w:numId w:val="30"/>
              </w:numPr>
              <w:jc w:val="center"/>
              <w:rPr>
                <w:bCs/>
              </w:rPr>
            </w:pPr>
            <w:r>
              <w:rPr>
                <w:b/>
                <w:sz w:val="24"/>
                <w:szCs w:val="24"/>
              </w:rPr>
            </w:r>
            <w:r>
              <w:rPr>
                <w:b/>
                <w:sz w:val="24"/>
                <w:szCs w:val="24"/>
              </w:rPr>
            </w:r>
            <w:r/>
          </w:p>
        </w:tc>
        <w:tc>
          <w:tcPr>
            <w:tcBorders>
              <w:top w:val="single" w:color="000000" w:sz="4" w:space="0"/>
              <w:left w:val="single" w:color="000000" w:sz="4" w:space="0"/>
              <w:bottom w:val="single" w:color="000000" w:sz="4" w:space="0"/>
              <w:right w:val="none" w:color="000000" w:sz="4" w:space="0"/>
            </w:tcBorders>
            <w:tcW w:w="3543" w:type="dxa"/>
            <w:vAlign w:val="center"/>
            <w:textDirection w:val="lrTb"/>
            <w:noWrap w:val="false"/>
          </w:tcPr>
          <w:p>
            <w:pPr>
              <w:widowControl w:val="off"/>
            </w:pPr>
            <w:r>
              <w:rPr>
                <w:color w:val="000000"/>
                <w:sz w:val="24"/>
                <w:szCs w:val="24"/>
              </w:rPr>
              <w:t xml:space="preserve">Мемориал в честь односельчан, погибших на фронтах Великой Отечественной войны,</w:t>
            </w:r>
            <w:r>
              <w:rPr>
                <w:color w:val="000000"/>
                <w:sz w:val="24"/>
                <w:szCs w:val="24"/>
              </w:rPr>
            </w:r>
            <w:r/>
          </w:p>
          <w:p>
            <w:pPr>
              <w:widowControl w:val="off"/>
              <w:rPr>
                <w:color w:val="000000"/>
              </w:rPr>
            </w:pPr>
            <w:r>
              <w:rPr>
                <w:color w:val="000000"/>
                <w:sz w:val="24"/>
                <w:szCs w:val="24"/>
              </w:rPr>
              <w:t xml:space="preserve">1970 г.</w:t>
            </w:r>
            <w:r>
              <w:rPr>
                <w:color w:val="000000"/>
                <w:sz w:val="24"/>
                <w:szCs w:val="24"/>
              </w:rPr>
            </w:r>
            <w:r/>
          </w:p>
        </w:tc>
        <w:tc>
          <w:tcPr>
            <w:tcBorders>
              <w:top w:val="single" w:color="000000" w:sz="4" w:space="0"/>
              <w:left w:val="single" w:color="000000" w:sz="4" w:space="0"/>
              <w:bottom w:val="single" w:color="000000" w:sz="4" w:space="0"/>
              <w:right w:val="none" w:color="000000" w:sz="4" w:space="0"/>
            </w:tcBorders>
            <w:tcW w:w="2976" w:type="dxa"/>
            <w:vAlign w:val="center"/>
            <w:textDirection w:val="lrTb"/>
            <w:noWrap w:val="false"/>
          </w:tcPr>
          <w:p>
            <w:pPr>
              <w:jc w:val="center"/>
            </w:pPr>
            <w:r>
              <w:rPr>
                <w:sz w:val="24"/>
                <w:szCs w:val="24"/>
              </w:rPr>
              <w:t xml:space="preserve">ст-ца Казанская,</w:t>
            </w:r>
            <w:r>
              <w:rPr>
                <w:sz w:val="24"/>
                <w:szCs w:val="24"/>
              </w:rPr>
            </w:r>
            <w:r/>
          </w:p>
          <w:p>
            <w:pPr>
              <w:jc w:val="center"/>
            </w:pPr>
            <w:r>
              <w:rPr>
                <w:sz w:val="24"/>
                <w:szCs w:val="24"/>
              </w:rPr>
              <w:t xml:space="preserve">ул. Красная, 68</w:t>
            </w:r>
            <w:r>
              <w:rPr>
                <w:sz w:val="24"/>
                <w:szCs w:val="24"/>
              </w:rPr>
            </w:r>
            <w:r/>
          </w:p>
        </w:tc>
        <w:tc>
          <w:tcPr>
            <w:tcBorders>
              <w:top w:val="single" w:color="000000" w:sz="4" w:space="0"/>
              <w:left w:val="single" w:color="000000" w:sz="4" w:space="0"/>
              <w:bottom w:val="single" w:color="000000" w:sz="4" w:space="0"/>
              <w:right w:val="none" w:color="000000" w:sz="4" w:space="0"/>
            </w:tcBorders>
            <w:tcW w:w="1778" w:type="dxa"/>
            <w:vAlign w:val="center"/>
            <w:textDirection w:val="lrTb"/>
            <w:noWrap w:val="false"/>
          </w:tcPr>
          <w:p>
            <w:pPr>
              <w:jc w:val="center"/>
              <w:widowControl w:val="off"/>
            </w:pPr>
            <w:r>
              <w:rPr>
                <w:color w:val="000000"/>
                <w:sz w:val="24"/>
                <w:szCs w:val="24"/>
              </w:rPr>
              <w:t xml:space="preserve">26-п</w:t>
            </w:r>
            <w:r>
              <w:rPr>
                <w:color w:val="000000"/>
                <w:sz w:val="24"/>
                <w:szCs w:val="24"/>
              </w:rPr>
            </w:r>
            <w:r/>
          </w:p>
          <w:p>
            <w:pPr>
              <w:jc w:val="center"/>
              <w:widowControl w:val="off"/>
              <w:rPr>
                <w:color w:val="000000"/>
              </w:rPr>
            </w:pPr>
            <w:r>
              <w:rPr>
                <w:color w:val="000000"/>
                <w:sz w:val="24"/>
                <w:szCs w:val="24"/>
              </w:rPr>
              <w:t xml:space="preserve">313-КЗ</w:t>
            </w:r>
            <w:r>
              <w:rPr>
                <w:color w:val="000000"/>
                <w:sz w:val="24"/>
                <w:szCs w:val="24"/>
              </w:rPr>
            </w:r>
            <w:r/>
          </w:p>
        </w:tc>
        <w:tc>
          <w:tcPr>
            <w:tcBorders>
              <w:top w:val="single" w:color="000000" w:sz="4" w:space="0"/>
              <w:left w:val="single" w:color="000000" w:sz="4" w:space="0"/>
              <w:bottom w:val="single" w:color="000000" w:sz="4" w:space="0"/>
              <w:right w:val="single" w:color="000000" w:sz="4" w:space="0"/>
            </w:tcBorders>
            <w:tcW w:w="726" w:type="dxa"/>
            <w:vAlign w:val="center"/>
            <w:textDirection w:val="lrTb"/>
            <w:noWrap w:val="false"/>
          </w:tcPr>
          <w:p>
            <w:pPr>
              <w:jc w:val="center"/>
              <w:widowControl w:val="off"/>
              <w:rPr>
                <w:color w:val="000000"/>
              </w:rPr>
            </w:pPr>
            <w:r>
              <w:rPr>
                <w:color w:val="000000"/>
                <w:sz w:val="24"/>
                <w:szCs w:val="24"/>
              </w:rPr>
              <w:t xml:space="preserve">8590</w:t>
            </w:r>
            <w:r>
              <w:rPr>
                <w:color w:val="000000"/>
                <w:sz w:val="24"/>
                <w:szCs w:val="24"/>
              </w:rPr>
            </w:r>
            <w:r/>
          </w:p>
        </w:tc>
        <w:tc>
          <w:tcPr>
            <w:tcBorders>
              <w:top w:val="single" w:color="000000" w:sz="4" w:space="0"/>
              <w:left w:val="single" w:color="000000" w:sz="4" w:space="0"/>
              <w:bottom w:val="single" w:color="000000" w:sz="4" w:space="0"/>
              <w:right w:val="single" w:color="000000" w:sz="4" w:space="0"/>
            </w:tcBorders>
            <w:tcW w:w="841" w:type="dxa"/>
            <w:vAlign w:val="center"/>
            <w:textDirection w:val="lrTb"/>
            <w:noWrap w:val="false"/>
          </w:tcPr>
          <w:p>
            <w:pPr>
              <w:jc w:val="center"/>
              <w:widowControl w:val="off"/>
              <w:rPr>
                <w:color w:val="000000"/>
              </w:rPr>
            </w:pPr>
            <w:r>
              <w:rPr>
                <w:color w:val="000000"/>
                <w:sz w:val="24"/>
                <w:szCs w:val="24"/>
              </w:rPr>
              <w:t xml:space="preserve">И</w:t>
            </w:r>
            <w:r>
              <w:rPr>
                <w:color w:val="000000"/>
                <w:sz w:val="24"/>
                <w:szCs w:val="24"/>
              </w:rPr>
            </w:r>
            <w:r/>
          </w:p>
        </w:tc>
        <w:tc>
          <w:tcPr>
            <w:tcBorders>
              <w:top w:val="single" w:color="000000" w:sz="4" w:space="0"/>
              <w:left w:val="single" w:color="000000" w:sz="4" w:space="0"/>
              <w:bottom w:val="single" w:color="000000" w:sz="4" w:space="0"/>
              <w:right w:val="single" w:color="000000" w:sz="4" w:space="0"/>
            </w:tcBorders>
            <w:tcW w:w="709" w:type="dxa"/>
            <w:vAlign w:val="center"/>
            <w:textDirection w:val="lrTb"/>
            <w:noWrap w:val="false"/>
          </w:tcPr>
          <w:p>
            <w:pPr>
              <w:jc w:val="center"/>
              <w:widowControl w:val="off"/>
              <w:rPr>
                <w:color w:val="000000"/>
              </w:rPr>
            </w:pPr>
            <w:r>
              <w:rPr>
                <w:color w:val="000000"/>
                <w:sz w:val="24"/>
                <w:szCs w:val="24"/>
              </w:rPr>
              <w:t xml:space="preserve">Р</w:t>
            </w:r>
            <w:r>
              <w:rPr>
                <w:color w:val="000000"/>
                <w:sz w:val="24"/>
                <w:szCs w:val="24"/>
              </w:rPr>
            </w:r>
            <w:r/>
          </w:p>
        </w:tc>
        <w:tc>
          <w:tcPr>
            <w:tcBorders>
              <w:top w:val="single" w:color="000000" w:sz="4" w:space="0"/>
              <w:left w:val="single" w:color="000000" w:sz="4" w:space="0"/>
              <w:bottom w:val="single" w:color="000000" w:sz="4" w:space="0"/>
              <w:right w:val="single" w:color="000000" w:sz="4" w:space="0"/>
            </w:tcBorders>
            <w:tcW w:w="2324" w:type="dxa"/>
            <w:vAlign w:val="center"/>
            <w:textDirection w:val="lrTb"/>
            <w:noWrap w:val="false"/>
          </w:tcPr>
          <w:p>
            <w:pPr>
              <w:jc w:val="center"/>
            </w:pPr>
            <w:r>
              <w:rPr>
                <w:sz w:val="24"/>
                <w:szCs w:val="24"/>
              </w:rPr>
              <w:t xml:space="preserve">23-161245</w:t>
            </w:r>
            <w:r>
              <w:rPr>
                <w:sz w:val="24"/>
                <w:szCs w:val="24"/>
              </w:rPr>
            </w:r>
            <w:r/>
          </w:p>
        </w:tc>
      </w:tr>
    </w:tbl>
    <w:p>
      <w:pPr>
        <w:ind w:firstLine="567"/>
        <w:jc w:val="both"/>
        <w:widowControl/>
        <w:rPr>
          <w:rFonts w:eastAsia="Calibri"/>
          <w:sz w:val="24"/>
          <w:szCs w:val="24"/>
          <w:lang w:eastAsia="en-US"/>
        </w:rPr>
      </w:pPr>
      <w:r>
        <w:rPr>
          <w:rFonts w:eastAsia="Calibri"/>
          <w:sz w:val="24"/>
          <w:szCs w:val="24"/>
          <w:highlight w:val="none"/>
          <w:lang w:eastAsia="en-US"/>
        </w:rPr>
      </w:r>
      <w:r>
        <w:rPr>
          <w:rFonts w:eastAsia="Calibri"/>
          <w:sz w:val="24"/>
          <w:szCs w:val="24"/>
          <w:highlight w:val="none"/>
          <w:lang w:eastAsia="en-US"/>
        </w:rPr>
      </w:r>
      <w:r/>
    </w:p>
    <w:p>
      <w:pPr>
        <w:contextualSpacing w:val="0"/>
        <w:jc w:val="right"/>
        <w:pBdr>
          <w:top w:val="none" w:color="000000" w:sz="4" w:space="0"/>
          <w:left w:val="none" w:color="000000" w:sz="4" w:space="0"/>
          <w:bottom w:val="none" w:color="000000" w:sz="4" w:space="0"/>
          <w:right w:val="none" w:color="000000" w:sz="8" w:space="0"/>
          <w:between w:val="none" w:color="000000" w:sz="4" w:space="0"/>
        </w:pBdr>
        <w:suppressLineNumbers w:val="0"/>
      </w:pPr>
      <w:r>
        <w:rPr>
          <w:b/>
          <w:sz w:val="24"/>
          <w:szCs w:val="24"/>
        </w:rPr>
      </w:r>
      <w:r>
        <w:rPr>
          <w:rFonts w:ascii="Times New Roman" w:hAnsi="Times New Roman" w:eastAsia="Times New Roman" w:cs="Times New Roman"/>
          <w:b/>
          <w:i w:val="0"/>
          <w:iCs w:val="0"/>
          <w:sz w:val="24"/>
          <w:szCs w:val="24"/>
        </w:rPr>
        <w:t xml:space="preserve">Перечень </w:t>
      </w:r>
      <w:r>
        <w:rPr>
          <w:rFonts w:ascii="Times New Roman" w:hAnsi="Times New Roman" w:eastAsia="Times New Roman" w:cs="Times New Roman"/>
          <w:b/>
          <w:i w:val="0"/>
          <w:iCs w:val="0"/>
          <w:sz w:val="24"/>
          <w:szCs w:val="24"/>
        </w:rPr>
        <w:t xml:space="preserve">выявленных </w:t>
      </w:r>
      <w:r>
        <w:rPr>
          <w:rFonts w:ascii="Times New Roman" w:hAnsi="Times New Roman" w:eastAsia="Times New Roman" w:cs="Times New Roman"/>
          <w:b/>
          <w:i w:val="0"/>
          <w:iCs w:val="0"/>
          <w:sz w:val="24"/>
          <w:szCs w:val="24"/>
        </w:rPr>
        <w:t xml:space="preserve">объектов </w:t>
      </w:r>
      <w:r>
        <w:rPr>
          <w:rFonts w:ascii="Times New Roman" w:hAnsi="Times New Roman" w:eastAsia="Times New Roman" w:cs="Times New Roman"/>
          <w:b/>
          <w:i w:val="0"/>
          <w:iCs w:val="0"/>
          <w:sz w:val="24"/>
          <w:szCs w:val="24"/>
        </w:rPr>
        <w:t xml:space="preserve">археологического </w:t>
      </w:r>
      <w:r>
        <w:rPr>
          <w:rFonts w:ascii="Times New Roman" w:hAnsi="Times New Roman" w:eastAsia="Times New Roman" w:cs="Times New Roman"/>
          <w:b/>
          <w:i w:val="0"/>
          <w:iCs w:val="0"/>
          <w:sz w:val="24"/>
          <w:szCs w:val="24"/>
        </w:rPr>
        <w:t xml:space="preserve"> наследия, расположенных на территории </w:t>
      </w:r>
      <w:r>
        <w:rPr>
          <w:rFonts w:ascii="Times New Roman" w:hAnsi="Times New Roman" w:eastAsia="Times New Roman" w:cs="Times New Roman"/>
          <w:b/>
          <w:i w:val="0"/>
          <w:iCs w:val="0"/>
          <w:sz w:val="24"/>
          <w:szCs w:val="24"/>
          <w:lang w:val="ru-RU"/>
        </w:rPr>
        <w:t xml:space="preserve">Казанского</w:t>
      </w:r>
      <w:r>
        <w:rPr>
          <w:rFonts w:ascii="Times New Roman" w:hAnsi="Times New Roman" w:eastAsia="Times New Roman" w:cs="Times New Roman"/>
          <w:b/>
          <w:i w:val="0"/>
          <w:iCs w:val="0"/>
          <w:sz w:val="24"/>
          <w:szCs w:val="24"/>
          <w:lang w:val="en-US"/>
        </w:rPr>
        <w:t xml:space="preserve"> </w:t>
      </w:r>
      <w:r>
        <w:rPr>
          <w:rFonts w:ascii="Times New Roman" w:hAnsi="Times New Roman" w:eastAsia="Times New Roman" w:cs="Times New Roman"/>
          <w:b/>
          <w:i w:val="0"/>
          <w:iCs w:val="0"/>
          <w:sz w:val="24"/>
          <w:szCs w:val="24"/>
        </w:rPr>
        <w:t xml:space="preserve">сельского поселения Кавказского района</w:t>
      </w:r>
      <w:r>
        <w:rPr>
          <w:rFonts w:ascii="Times New Roman" w:hAnsi="Times New Roman" w:eastAsia="Times New Roman" w:cs="Times New Roman"/>
          <w:b/>
          <w:i w:val="0"/>
          <w:iCs w:val="0"/>
          <w:sz w:val="24"/>
          <w:szCs w:val="24"/>
        </w:rPr>
        <w:t xml:space="preserve">.</w:t>
      </w:r>
      <w:r>
        <w:rPr>
          <w:bCs/>
        </w:rPr>
      </w:r>
      <w:r/>
    </w:p>
    <w:p>
      <w:pPr>
        <w:pStyle w:val="910"/>
      </w:pPr>
      <w:r/>
      <w:r/>
    </w:p>
    <w:tbl>
      <w:tblPr>
        <w:tblW w:w="13870" w:type="dxa"/>
        <w:jc w:val="center"/>
        <w:tblInd w:w="-2342" w:type="dxa"/>
        <w:tblLayout w:type="fixed"/>
        <w:tblCellMar>
          <w:left w:w="0" w:type="dxa"/>
          <w:right w:w="0" w:type="dxa"/>
        </w:tblCellMar>
        <w:tblLook w:val="0000" w:firstRow="0" w:lastRow="0" w:firstColumn="0" w:lastColumn="0" w:noHBand="0" w:noVBand="0"/>
      </w:tblPr>
      <w:tblGrid>
        <w:gridCol w:w="2059"/>
        <w:gridCol w:w="5811"/>
        <w:gridCol w:w="6000"/>
      </w:tblGrid>
      <w:tr>
        <w:trPr>
          <w:jc w:val="center"/>
        </w:trPr>
        <w:tc>
          <w:tcPr>
            <w:tcBorders>
              <w:top w:val="single" w:color="000000" w:sz="4" w:space="0"/>
              <w:left w:val="single" w:color="000000" w:sz="4" w:space="0"/>
              <w:bottom w:val="single" w:color="000000" w:sz="4" w:space="0"/>
              <w:right w:val="none" w:color="000000" w:sz="4" w:space="0"/>
            </w:tcBorders>
            <w:tcW w:w="2059" w:type="dxa"/>
            <w:vAlign w:val="center"/>
            <w:textDirection w:val="lrTb"/>
            <w:noWrap w:val="false"/>
          </w:tcPr>
          <w:p>
            <w:pPr>
              <w:ind w:left="284" w:firstLine="0"/>
              <w:jc w:val="center"/>
              <w:rPr>
                <w:rFonts w:ascii="Times New Roman" w:hAnsi="Times New Roman" w:cs="Times New Roman"/>
                <w:highlight w:val="white"/>
              </w:rPr>
            </w:pPr>
            <w:r>
              <w:rPr>
                <w:rFonts w:ascii="Times New Roman" w:hAnsi="Times New Roman" w:cs="Times New Roman"/>
                <w:b/>
                <w:sz w:val="24"/>
                <w:szCs w:val="24"/>
                <w:highlight w:val="white"/>
              </w:rPr>
              <w:t xml:space="preserve">№ п/п</w:t>
            </w:r>
            <w:r>
              <w:rPr>
                <w:rFonts w:ascii="Times New Roman" w:hAnsi="Times New Roman" w:cs="Times New Roman"/>
                <w:bCs/>
                <w:highlight w:val="white"/>
              </w:rPr>
            </w:r>
            <w:r/>
          </w:p>
        </w:tc>
        <w:tc>
          <w:tcPr>
            <w:tcBorders>
              <w:top w:val="single" w:color="000000" w:sz="4" w:space="0"/>
              <w:left w:val="single" w:color="000000" w:sz="4" w:space="0"/>
              <w:bottom w:val="single" w:color="000000" w:sz="4" w:space="0"/>
              <w:right w:val="single" w:color="000000" w:sz="4" w:space="0"/>
            </w:tcBorders>
            <w:tcW w:w="5811" w:type="dxa"/>
            <w:vAlign w:val="center"/>
            <w:textDirection w:val="lrTb"/>
            <w:noWrap w:val="false"/>
          </w:tcPr>
          <w:p>
            <w:pPr>
              <w:jc w:val="center"/>
              <w:spacing w:before="0" w:after="0" w:line="240" w:lineRule="auto"/>
            </w:pPr>
            <w:r>
              <w:rPr>
                <w:rFonts w:ascii="Times New Roman" w:hAnsi="Times New Roman" w:eastAsia="Times New Roman" w:cs="Times New Roman"/>
                <w:b/>
                <w:sz w:val="24"/>
                <w:szCs w:val="24"/>
                <w:highlight w:val="white"/>
                <w:lang w:eastAsia="ru-RU"/>
              </w:rPr>
              <w:t xml:space="preserve">Наименование объекта</w:t>
            </w:r>
            <w:r>
              <w:rPr>
                <w:rFonts w:ascii="Times New Roman" w:hAnsi="Times New Roman" w:cs="Times New Roman"/>
                <w:bCs/>
                <w:sz w:val="24"/>
                <w:szCs w:val="24"/>
                <w:highlight w:val="white"/>
              </w:rPr>
            </w:r>
            <w:r/>
          </w:p>
          <w:p>
            <w:pPr>
              <w:widowControl w:val="off"/>
              <w:rPr>
                <w:rFonts w:ascii="Times New Roman" w:hAnsi="Times New Roman" w:cs="Times New Roman"/>
                <w:color w:val="000000"/>
                <w:sz w:val="24"/>
                <w:szCs w:val="24"/>
                <w:highlight w:val="white"/>
              </w:rPr>
            </w:pPr>
            <w:r>
              <w:rPr>
                <w:rFonts w:ascii="Times New Roman" w:hAnsi="Times New Roman" w:cs="Times New Roman"/>
                <w:color w:val="000000"/>
                <w:highlight w:val="white"/>
              </w:rPr>
            </w:r>
            <w:r>
              <w:rPr>
                <w:rFonts w:ascii="Times New Roman" w:hAnsi="Times New Roman" w:cs="Times New Roman"/>
                <w:color w:val="000000"/>
                <w:highlight w:val="white"/>
              </w:rPr>
            </w:r>
            <w:r/>
          </w:p>
        </w:tc>
        <w:tc>
          <w:tcPr>
            <w:tcBorders>
              <w:top w:val="single" w:color="000000" w:sz="4" w:space="0"/>
              <w:left w:val="single" w:color="000000" w:sz="4" w:space="0"/>
              <w:bottom w:val="single" w:color="000000" w:sz="4" w:space="0"/>
              <w:right w:val="single" w:color="000000" w:sz="4" w:space="0"/>
            </w:tcBorders>
            <w:tcW w:w="6000" w:type="dxa"/>
            <w:vAlign w:val="center"/>
            <w:textDirection w:val="lrTb"/>
            <w:noWrap w:val="false"/>
          </w:tcPr>
          <w:p>
            <w:pPr>
              <w:jc w:val="center"/>
              <w:spacing w:before="0" w:after="0" w:line="240" w:lineRule="auto"/>
            </w:pPr>
            <w:r>
              <w:rPr>
                <w:rFonts w:ascii="Times New Roman" w:hAnsi="Times New Roman" w:eastAsia="Times New Roman" w:cs="Times New Roman"/>
                <w:b/>
                <w:sz w:val="24"/>
                <w:szCs w:val="24"/>
                <w:highlight w:val="white"/>
                <w:lang w:eastAsia="ru-RU"/>
              </w:rPr>
              <w:t xml:space="preserve">Местонахождение *</w:t>
            </w:r>
            <w:r>
              <w:rPr>
                <w:rFonts w:ascii="Times New Roman" w:hAnsi="Times New Roman" w:cs="Times New Roman"/>
                <w:bCs/>
                <w:sz w:val="24"/>
                <w:szCs w:val="24"/>
                <w:highlight w:val="white"/>
              </w:rPr>
            </w:r>
            <w:r/>
          </w:p>
          <w:p>
            <w:pPr>
              <w:jc w:val="center"/>
              <w:rPr>
                <w:rFonts w:ascii="Times New Roman" w:hAnsi="Times New Roman" w:cs="Times New Roman"/>
                <w:sz w:val="24"/>
                <w:szCs w:val="24"/>
                <w:highlight w:val="white"/>
              </w:rPr>
            </w:pPr>
            <w:r>
              <w:rPr>
                <w:rFonts w:ascii="Times New Roman" w:hAnsi="Times New Roman" w:cs="Times New Roman"/>
                <w:highlight w:val="white"/>
              </w:rPr>
            </w:r>
            <w:r>
              <w:rPr>
                <w:rFonts w:ascii="Times New Roman" w:hAnsi="Times New Roman" w:cs="Times New Roman"/>
                <w:highlight w:val="white"/>
              </w:rPr>
            </w:r>
            <w:r/>
          </w:p>
        </w:tc>
      </w:tr>
      <w:tr>
        <w:trPr/>
        <w:tc>
          <w:tcPr>
            <w:tcBorders>
              <w:top w:val="single" w:color="000000" w:sz="4" w:space="0"/>
              <w:left w:val="single" w:color="000000" w:sz="4" w:space="0"/>
              <w:bottom w:val="single" w:color="000000" w:sz="4" w:space="0"/>
              <w:right w:val="none" w:color="000000" w:sz="4" w:space="0"/>
            </w:tcBorders>
            <w:tcW w:w="2059" w:type="dxa"/>
            <w:vAlign w:val="center"/>
            <w:vMerge w:val="restart"/>
            <w:textDirection w:val="lrTb"/>
            <w:noWrap w:val="false"/>
          </w:tcPr>
          <w:p>
            <w:pPr>
              <w:numPr>
                <w:ilvl w:val="0"/>
                <w:numId w:val="32"/>
              </w:numPr>
              <w:jc w:val="center"/>
              <w:rPr>
                <w:rFonts w:ascii="Times New Roman" w:hAnsi="Times New Roman" w:cs="Times New Roman"/>
                <w:bCs/>
                <w:highlight w:val="white"/>
              </w:rPr>
            </w:pPr>
            <w:r>
              <w:rPr>
                <w:rFonts w:ascii="Times New Roman" w:hAnsi="Times New Roman" w:cs="Times New Roman"/>
                <w:b/>
                <w:sz w:val="24"/>
                <w:szCs w:val="24"/>
                <w:highlight w:val="white"/>
              </w:rPr>
            </w:r>
            <w:r>
              <w:rPr>
                <w:rFonts w:ascii="Times New Roman" w:hAnsi="Times New Roman" w:cs="Times New Roman"/>
                <w:b/>
                <w:sz w:val="24"/>
                <w:szCs w:val="24"/>
                <w:highlight w:val="white"/>
              </w:rPr>
            </w:r>
            <w:r/>
          </w:p>
        </w:tc>
        <w:tc>
          <w:tcPr>
            <w:tcBorders>
              <w:top w:val="single" w:color="000000" w:sz="4" w:space="0"/>
              <w:left w:val="single" w:color="000000" w:sz="4" w:space="0"/>
              <w:bottom w:val="single" w:color="000000" w:sz="4" w:space="0"/>
              <w:right w:val="single" w:color="000000" w:sz="4" w:space="0"/>
            </w:tcBorders>
            <w:tcW w:w="5811" w:type="dxa"/>
            <w:vAlign w:val="center"/>
            <w:vMerge w:val="restart"/>
            <w:textDirection w:val="lrTb"/>
            <w:noWrap w:val="false"/>
          </w:tcPr>
          <w:p>
            <w:pPr>
              <w:contextualSpacing w:val="0"/>
              <w:jc w:val="center"/>
              <w:spacing w:line="283" w:lineRule="atLeast"/>
              <w:widowControl w:val="off"/>
              <w:rPr>
                <w:rFonts w:ascii="Times New Roman" w:hAnsi="Times New Roman" w:cs="Times New Roman"/>
                <w:highlight w:val="white"/>
              </w:rPr>
              <w:suppressLineNumbers w:val="0"/>
            </w:pPr>
            <w:r>
              <w:rPr>
                <w:rFonts w:ascii="Times New Roman" w:hAnsi="Times New Roman" w:cs="Times New Roman"/>
                <w:color w:val="000000"/>
                <w:sz w:val="24"/>
                <w:szCs w:val="24"/>
                <w:highlight w:val="white"/>
              </w:rPr>
              <w:t xml:space="preserve">Курганная группа </w:t>
            </w:r>
            <w:r>
              <w:rPr>
                <w:rFonts w:ascii="Times New Roman" w:hAnsi="Times New Roman" w:cs="Times New Roman"/>
                <w:color w:val="000000"/>
                <w:sz w:val="24"/>
                <w:szCs w:val="24"/>
                <w:highlight w:val="white"/>
              </w:rPr>
              <w:t xml:space="preserve">"Казанская 11" </w:t>
            </w:r>
            <w:r>
              <w:rPr>
                <w:rFonts w:ascii="Times New Roman" w:hAnsi="Times New Roman" w:cs="Times New Roman"/>
                <w:color w:val="000000"/>
                <w:sz w:val="24"/>
                <w:szCs w:val="24"/>
                <w:highlight w:val="white"/>
              </w:rPr>
              <w:t xml:space="preserve">(5 насыпей) </w:t>
            </w:r>
            <w:r>
              <w:rPr>
                <w:rFonts w:ascii="Times New Roman" w:hAnsi="Times New Roman" w:cs="Times New Roman"/>
                <w:color w:val="000000"/>
                <w:sz w:val="24"/>
                <w:szCs w:val="24"/>
                <w:highlight w:val="white"/>
              </w:rPr>
              <w:t xml:space="preserve">Курган </w:t>
            </w:r>
            <w:r>
              <w:rPr>
                <w:rFonts w:ascii="Times New Roman" w:hAnsi="Times New Roman" w:cs="Times New Roman"/>
                <w:color w:val="000000"/>
                <w:sz w:val="24"/>
                <w:szCs w:val="24"/>
                <w:highlight w:val="white"/>
              </w:rPr>
              <w:t xml:space="preserve">"Высокий"</w:t>
            </w:r>
            <w:r>
              <w:rPr>
                <w:rFonts w:ascii="Times New Roman" w:hAnsi="Times New Roman" w:cs="Times New Roman"/>
                <w:highlight w:val="white"/>
              </w:rPr>
            </w:r>
            <w:r/>
          </w:p>
        </w:tc>
        <w:tc>
          <w:tcPr>
            <w:tcBorders>
              <w:top w:val="single" w:color="000000" w:sz="4" w:space="0"/>
              <w:left w:val="single" w:color="000000" w:sz="4" w:space="0"/>
              <w:bottom w:val="single" w:color="000000" w:sz="4" w:space="0"/>
              <w:right w:val="single" w:color="000000" w:sz="4" w:space="0"/>
            </w:tcBorders>
            <w:tcW w:w="6000" w:type="dxa"/>
            <w:vAlign w:val="center"/>
            <w:vMerge w:val="restart"/>
            <w:textDirection w:val="lrTb"/>
            <w:noWrap w:val="false"/>
          </w:tcPr>
          <w:p>
            <w:pPr>
              <w:jc w:val="center"/>
              <w:rPr>
                <w:rFonts w:ascii="Times New Roman" w:hAnsi="Times New Roman" w:cs="Times New Roman"/>
                <w:highlight w:val="white"/>
              </w:rPr>
            </w:pPr>
            <w:r>
              <w:rPr>
                <w:rFonts w:ascii="Times New Roman" w:hAnsi="Times New Roman" w:cs="Times New Roman"/>
                <w:highlight w:val="none"/>
              </w:rPr>
              <w:t xml:space="preserve">-</w:t>
            </w:r>
            <w:r>
              <w:rPr>
                <w:rFonts w:ascii="Times New Roman" w:hAnsi="Times New Roman" w:cs="Times New Roman"/>
                <w:highlight w:val="white"/>
              </w:rPr>
            </w:r>
            <w:r/>
          </w:p>
        </w:tc>
      </w:tr>
      <w:tr>
        <w:trPr>
          <w:jc w:val="center"/>
          <w:trHeight w:val="1020"/>
        </w:trPr>
        <w:tc>
          <w:tcPr>
            <w:tcBorders>
              <w:top w:val="single" w:color="000000" w:sz="4" w:space="0"/>
              <w:left w:val="single" w:color="000000" w:sz="4" w:space="0"/>
              <w:bottom w:val="single" w:color="000000" w:sz="4" w:space="0"/>
              <w:right w:val="none" w:color="000000" w:sz="4" w:space="0"/>
            </w:tcBorders>
            <w:tcW w:w="2059" w:type="dxa"/>
            <w:vAlign w:val="center"/>
            <w:textDirection w:val="lrTb"/>
            <w:noWrap w:val="false"/>
          </w:tcPr>
          <w:p>
            <w:pPr>
              <w:numPr>
                <w:ilvl w:val="0"/>
                <w:numId w:val="32"/>
              </w:numPr>
              <w:jc w:val="center"/>
              <w:rPr>
                <w:rFonts w:ascii="Times New Roman" w:hAnsi="Times New Roman" w:cs="Times New Roman"/>
                <w:highlight w:val="white"/>
              </w:rPr>
            </w:pPr>
            <w:r>
              <w:rPr>
                <w:rFonts w:ascii="Times New Roman" w:hAnsi="Times New Roman" w:cs="Times New Roman"/>
                <w:b/>
                <w:sz w:val="24"/>
                <w:szCs w:val="24"/>
                <w:highlight w:val="white"/>
              </w:rPr>
            </w:r>
            <w:r>
              <w:rPr>
                <w:rFonts w:ascii="Times New Roman" w:hAnsi="Times New Roman" w:cs="Times New Roman"/>
                <w:bCs/>
                <w:highlight w:val="white"/>
              </w:rPr>
            </w:r>
            <w:r/>
          </w:p>
        </w:tc>
        <w:tc>
          <w:tcPr>
            <w:tcBorders>
              <w:top w:val="single" w:color="000000" w:sz="4" w:space="0"/>
              <w:left w:val="single" w:color="000000" w:sz="4" w:space="0"/>
              <w:bottom w:val="single" w:color="000000" w:sz="4" w:space="0"/>
              <w:right w:val="single" w:color="000000" w:sz="4" w:space="0"/>
            </w:tcBorders>
            <w:tcW w:w="5811" w:type="dxa"/>
            <w:vAlign w:val="center"/>
            <w:textDirection w:val="lrTb"/>
            <w:noWrap w:val="false"/>
          </w:tcPr>
          <w:p>
            <w:pPr>
              <w:contextualSpacing w:val="0"/>
              <w:jc w:val="center"/>
              <w:spacing w:line="283" w:lineRule="atLeast"/>
              <w:widowControl w:val="off"/>
              <w:rPr>
                <w:rFonts w:ascii="Times New Roman" w:hAnsi="Times New Roman" w:cs="Times New Roman"/>
                <w:color w:val="000000"/>
                <w:highlight w:val="white"/>
              </w:rPr>
              <w:suppressLineNumbers w:val="0"/>
            </w:pPr>
            <w:r>
              <w:rPr>
                <w:rFonts w:ascii="Times New Roman" w:hAnsi="Times New Roman" w:cs="Times New Roman"/>
                <w:color w:val="000000"/>
                <w:sz w:val="24"/>
                <w:szCs w:val="24"/>
                <w:highlight w:val="white"/>
              </w:rPr>
              <w:t xml:space="preserve">Курган</w:t>
            </w:r>
            <w:r>
              <w:rPr>
                <w:rFonts w:ascii="Times New Roman" w:hAnsi="Times New Roman" w:cs="Times New Roman"/>
                <w:color w:val="000000"/>
                <w:highlight w:val="white"/>
              </w:rPr>
            </w:r>
            <w:r/>
          </w:p>
        </w:tc>
        <w:tc>
          <w:tcPr>
            <w:tcBorders>
              <w:top w:val="single" w:color="000000" w:sz="4" w:space="0"/>
              <w:left w:val="single" w:color="000000" w:sz="4" w:space="0"/>
              <w:bottom w:val="single" w:color="000000" w:sz="4" w:space="0"/>
              <w:right w:val="single" w:color="000000" w:sz="4" w:space="0"/>
            </w:tcBorders>
            <w:tcW w:w="6000" w:type="dxa"/>
            <w:vAlign w:val="center"/>
            <w:textDirection w:val="lrTb"/>
            <w:noWrap w:val="false"/>
          </w:tcPr>
          <w:p>
            <w:pPr>
              <w:jc w:val="center"/>
            </w:pPr>
            <w:r>
              <w:rPr>
                <w:rFonts w:ascii="Times New Roman" w:hAnsi="Times New Roman" w:cs="Times New Roman"/>
                <w:highlight w:val="none"/>
              </w:rPr>
              <w:t xml:space="preserve">-</w:t>
            </w:r>
            <w:r>
              <w:rPr>
                <w:rFonts w:ascii="Times New Roman" w:hAnsi="Times New Roman" w:cs="Times New Roman"/>
                <w:highlight w:val="white"/>
              </w:rPr>
            </w:r>
            <w:r/>
          </w:p>
          <w:p>
            <w:pPr>
              <w:jc w:val="center"/>
              <w:rPr>
                <w:rFonts w:ascii="Times New Roman" w:hAnsi="Times New Roman" w:cs="Times New Roman"/>
                <w:highlight w:val="white"/>
              </w:rPr>
            </w:pPr>
            <w:r>
              <w:rPr>
                <w:rFonts w:ascii="Times New Roman" w:hAnsi="Times New Roman" w:cs="Times New Roman"/>
                <w:highlight w:val="white"/>
              </w:rPr>
            </w:r>
            <w:r>
              <w:rPr>
                <w:rFonts w:ascii="Times New Roman" w:hAnsi="Times New Roman" w:cs="Times New Roman"/>
                <w:highlight w:val="white"/>
              </w:rPr>
            </w:r>
            <w:r/>
          </w:p>
        </w:tc>
      </w:tr>
      <w:tr>
        <w:trPr>
          <w:jc w:val="center"/>
        </w:trPr>
        <w:tc>
          <w:tcPr>
            <w:tcBorders>
              <w:top w:val="single" w:color="000000" w:sz="4" w:space="0"/>
              <w:left w:val="single" w:color="000000" w:sz="4" w:space="0"/>
              <w:bottom w:val="single" w:color="000000" w:sz="4" w:space="0"/>
              <w:right w:val="none" w:color="000000" w:sz="4" w:space="0"/>
            </w:tcBorders>
            <w:tcW w:w="2059" w:type="dxa"/>
            <w:vAlign w:val="center"/>
            <w:textDirection w:val="lrTb"/>
            <w:noWrap w:val="false"/>
          </w:tcPr>
          <w:p>
            <w:pPr>
              <w:numPr>
                <w:ilvl w:val="0"/>
                <w:numId w:val="32"/>
              </w:numPr>
              <w:jc w:val="center"/>
              <w:rPr>
                <w:rFonts w:ascii="Times New Roman" w:hAnsi="Times New Roman" w:cs="Times New Roman"/>
                <w:highlight w:val="white"/>
              </w:rPr>
            </w:pPr>
            <w:r>
              <w:rPr>
                <w:rFonts w:ascii="Times New Roman" w:hAnsi="Times New Roman" w:cs="Times New Roman"/>
                <w:b/>
                <w:sz w:val="24"/>
                <w:szCs w:val="24"/>
                <w:highlight w:val="white"/>
              </w:rPr>
            </w:r>
            <w:r>
              <w:rPr>
                <w:rFonts w:ascii="Times New Roman" w:hAnsi="Times New Roman" w:cs="Times New Roman"/>
                <w:bCs/>
                <w:highlight w:val="white"/>
              </w:rPr>
            </w:r>
            <w:r/>
          </w:p>
        </w:tc>
        <w:tc>
          <w:tcPr>
            <w:tcBorders>
              <w:top w:val="single" w:color="000000" w:sz="4" w:space="0"/>
              <w:left w:val="single" w:color="000000" w:sz="4" w:space="0"/>
              <w:bottom w:val="single" w:color="000000" w:sz="4" w:space="0"/>
              <w:right w:val="single" w:color="000000" w:sz="4" w:space="0"/>
            </w:tcBorders>
            <w:tcW w:w="5811" w:type="dxa"/>
            <w:vAlign w:val="center"/>
            <w:textDirection w:val="lrTb"/>
            <w:noWrap w:val="false"/>
          </w:tcPr>
          <w:p>
            <w:pPr>
              <w:contextualSpacing w:val="0"/>
              <w:jc w:val="center"/>
              <w:spacing w:line="283" w:lineRule="atLeast"/>
              <w:widowControl w:val="off"/>
              <w:rPr>
                <w:rFonts w:ascii="Times New Roman" w:hAnsi="Times New Roman" w:cs="Times New Roman"/>
                <w:highlight w:val="white"/>
              </w:rPr>
              <w:suppressLineNumbers w:val="0"/>
            </w:pPr>
            <w:r>
              <w:rPr>
                <w:rFonts w:ascii="Times New Roman" w:hAnsi="Times New Roman" w:cs="Times New Roman"/>
                <w:color w:val="000000"/>
                <w:sz w:val="24"/>
                <w:szCs w:val="24"/>
                <w:highlight w:val="white"/>
              </w:rPr>
              <w:t xml:space="preserve">Курганная группа </w:t>
            </w:r>
            <w:r>
              <w:rPr>
                <w:rFonts w:ascii="Times New Roman" w:hAnsi="Times New Roman" w:cs="Times New Roman"/>
                <w:color w:val="000000"/>
                <w:sz w:val="24"/>
                <w:szCs w:val="24"/>
                <w:highlight w:val="white"/>
              </w:rPr>
              <w:t xml:space="preserve">(3 насыпи)</w:t>
            </w:r>
            <w:r>
              <w:rPr>
                <w:rFonts w:ascii="Times New Roman" w:hAnsi="Times New Roman" w:cs="Times New Roman"/>
                <w:highlight w:val="white"/>
              </w:rPr>
            </w:r>
            <w:r/>
          </w:p>
        </w:tc>
        <w:tc>
          <w:tcPr>
            <w:tcBorders>
              <w:top w:val="single" w:color="000000" w:sz="4" w:space="0"/>
              <w:left w:val="single" w:color="000000" w:sz="4" w:space="0"/>
              <w:bottom w:val="single" w:color="000000" w:sz="4" w:space="0"/>
              <w:right w:val="single" w:color="000000" w:sz="4" w:space="0"/>
            </w:tcBorders>
            <w:tcW w:w="6000" w:type="dxa"/>
            <w:vAlign w:val="center"/>
            <w:textDirection w:val="lrTb"/>
            <w:noWrap w:val="false"/>
          </w:tcPr>
          <w:p>
            <w:pPr>
              <w:jc w:val="center"/>
            </w:pPr>
            <w:r>
              <w:rPr>
                <w:rFonts w:ascii="Times New Roman" w:hAnsi="Times New Roman" w:cs="Times New Roman"/>
                <w:highlight w:val="none"/>
              </w:rPr>
              <w:t xml:space="preserve">-</w:t>
            </w:r>
            <w:r>
              <w:rPr>
                <w:rFonts w:ascii="Times New Roman" w:hAnsi="Times New Roman" w:cs="Times New Roman"/>
                <w:highlight w:val="white"/>
              </w:rPr>
            </w:r>
            <w:r/>
          </w:p>
          <w:p>
            <w:pPr>
              <w:jc w:val="center"/>
              <w:rPr>
                <w:rFonts w:ascii="Times New Roman" w:hAnsi="Times New Roman" w:cs="Times New Roman"/>
                <w:highlight w:val="white"/>
              </w:rPr>
            </w:pPr>
            <w:r>
              <w:rPr>
                <w:rFonts w:ascii="Times New Roman" w:hAnsi="Times New Roman" w:cs="Times New Roman"/>
                <w:highlight w:val="white"/>
              </w:rPr>
            </w:r>
            <w:r>
              <w:rPr>
                <w:rFonts w:ascii="Times New Roman" w:hAnsi="Times New Roman" w:cs="Times New Roman"/>
                <w:highlight w:val="white"/>
              </w:rPr>
            </w:r>
            <w:r/>
          </w:p>
        </w:tc>
      </w:tr>
      <w:tr>
        <w:trPr>
          <w:jc w:val="center"/>
        </w:trPr>
        <w:tc>
          <w:tcPr>
            <w:tcBorders>
              <w:top w:val="single" w:color="000000" w:sz="4" w:space="0"/>
              <w:left w:val="single" w:color="000000" w:sz="4" w:space="0"/>
              <w:bottom w:val="single" w:color="000000" w:sz="4" w:space="0"/>
              <w:right w:val="none" w:color="000000" w:sz="4" w:space="0"/>
            </w:tcBorders>
            <w:tcW w:w="2059" w:type="dxa"/>
            <w:vAlign w:val="center"/>
            <w:textDirection w:val="lrTb"/>
            <w:noWrap w:val="false"/>
          </w:tcPr>
          <w:p>
            <w:pPr>
              <w:numPr>
                <w:ilvl w:val="0"/>
                <w:numId w:val="32"/>
              </w:numPr>
              <w:jc w:val="center"/>
              <w:rPr>
                <w:rFonts w:ascii="Times New Roman" w:hAnsi="Times New Roman" w:cs="Times New Roman"/>
                <w:highlight w:val="white"/>
              </w:rPr>
            </w:pPr>
            <w:r>
              <w:rPr>
                <w:rFonts w:ascii="Times New Roman" w:hAnsi="Times New Roman" w:cs="Times New Roman"/>
                <w:b/>
                <w:sz w:val="24"/>
                <w:szCs w:val="24"/>
                <w:highlight w:val="white"/>
              </w:rPr>
            </w:r>
            <w:r>
              <w:rPr>
                <w:rFonts w:ascii="Times New Roman" w:hAnsi="Times New Roman" w:cs="Times New Roman"/>
                <w:bCs/>
                <w:highlight w:val="white"/>
              </w:rPr>
            </w:r>
            <w:r/>
          </w:p>
        </w:tc>
        <w:tc>
          <w:tcPr>
            <w:tcBorders>
              <w:top w:val="single" w:color="000000" w:sz="4" w:space="0"/>
              <w:left w:val="single" w:color="000000" w:sz="4" w:space="0"/>
              <w:bottom w:val="single" w:color="000000" w:sz="4" w:space="0"/>
              <w:right w:val="single" w:color="000000" w:sz="4" w:space="0"/>
            </w:tcBorders>
            <w:tcW w:w="5811" w:type="dxa"/>
            <w:vAlign w:val="center"/>
            <w:textDirection w:val="lrTb"/>
            <w:noWrap w:val="false"/>
          </w:tcPr>
          <w:p>
            <w:pPr>
              <w:contextualSpacing w:val="0"/>
              <w:jc w:val="center"/>
              <w:spacing w:line="283" w:lineRule="atLeast"/>
              <w:widowControl w:val="off"/>
              <w:rPr>
                <w:rFonts w:ascii="Times New Roman" w:hAnsi="Times New Roman" w:cs="Times New Roman"/>
                <w:highlight w:val="white"/>
              </w:rPr>
              <w:suppressLineNumbers w:val="0"/>
            </w:pPr>
            <w:r>
              <w:rPr>
                <w:rFonts w:ascii="Times New Roman" w:hAnsi="Times New Roman" w:cs="Times New Roman"/>
                <w:color w:val="000000"/>
                <w:sz w:val="24"/>
                <w:szCs w:val="24"/>
                <w:highlight w:val="white"/>
              </w:rPr>
              <w:t xml:space="preserve">Курганная группа (</w:t>
            </w:r>
            <w:r>
              <w:rPr>
                <w:rFonts w:ascii="Times New Roman" w:hAnsi="Times New Roman" w:cs="Times New Roman"/>
                <w:color w:val="000000"/>
                <w:sz w:val="24"/>
                <w:szCs w:val="24"/>
                <w:highlight w:val="white"/>
              </w:rPr>
              <w:t xml:space="preserve">2 насыпи)</w:t>
            </w:r>
            <w:r>
              <w:rPr>
                <w:rFonts w:ascii="Times New Roman" w:hAnsi="Times New Roman" w:cs="Times New Roman"/>
                <w:highlight w:val="white"/>
              </w:rPr>
            </w:r>
            <w:r/>
          </w:p>
        </w:tc>
        <w:tc>
          <w:tcPr>
            <w:tcBorders>
              <w:top w:val="single" w:color="000000" w:sz="4" w:space="0"/>
              <w:left w:val="single" w:color="000000" w:sz="4" w:space="0"/>
              <w:bottom w:val="single" w:color="000000" w:sz="4" w:space="0"/>
              <w:right w:val="single" w:color="000000" w:sz="4" w:space="0"/>
            </w:tcBorders>
            <w:tcW w:w="6000" w:type="dxa"/>
            <w:vAlign w:val="center"/>
            <w:textDirection w:val="lrTb"/>
            <w:noWrap w:val="false"/>
          </w:tcPr>
          <w:p>
            <w:pPr>
              <w:jc w:val="center"/>
            </w:pPr>
            <w:r>
              <w:rPr>
                <w:rFonts w:ascii="Times New Roman" w:hAnsi="Times New Roman" w:cs="Times New Roman"/>
                <w:highlight w:val="none"/>
              </w:rPr>
              <w:t xml:space="preserve">-</w:t>
            </w:r>
            <w:r/>
          </w:p>
        </w:tc>
      </w:tr>
      <w:tr>
        <w:trPr>
          <w:jc w:val="center"/>
        </w:trPr>
        <w:tc>
          <w:tcPr>
            <w:tcBorders>
              <w:top w:val="single" w:color="000000" w:sz="4" w:space="0"/>
              <w:left w:val="single" w:color="000000" w:sz="4" w:space="0"/>
              <w:bottom w:val="single" w:color="000000" w:sz="4" w:space="0"/>
              <w:right w:val="none" w:color="000000" w:sz="4" w:space="0"/>
            </w:tcBorders>
            <w:tcW w:w="2059" w:type="dxa"/>
            <w:vAlign w:val="center"/>
            <w:textDirection w:val="lrTb"/>
            <w:noWrap w:val="false"/>
          </w:tcPr>
          <w:p>
            <w:pPr>
              <w:numPr>
                <w:ilvl w:val="0"/>
                <w:numId w:val="32"/>
              </w:numPr>
              <w:jc w:val="center"/>
              <w:rPr>
                <w:rFonts w:ascii="Times New Roman" w:hAnsi="Times New Roman" w:cs="Times New Roman"/>
                <w:highlight w:val="white"/>
              </w:rPr>
            </w:pPr>
            <w:r>
              <w:rPr>
                <w:rFonts w:ascii="Times New Roman" w:hAnsi="Times New Roman" w:cs="Times New Roman"/>
                <w:b/>
                <w:sz w:val="24"/>
                <w:szCs w:val="24"/>
                <w:highlight w:val="white"/>
              </w:rPr>
            </w:r>
            <w:r>
              <w:rPr>
                <w:rFonts w:ascii="Times New Roman" w:hAnsi="Times New Roman" w:cs="Times New Roman"/>
                <w:bCs/>
                <w:highlight w:val="white"/>
              </w:rPr>
            </w:r>
            <w:r/>
          </w:p>
        </w:tc>
        <w:tc>
          <w:tcPr>
            <w:tcBorders>
              <w:top w:val="single" w:color="000000" w:sz="4" w:space="0"/>
              <w:left w:val="single" w:color="000000" w:sz="4" w:space="0"/>
              <w:bottom w:val="single" w:color="000000" w:sz="4" w:space="0"/>
              <w:right w:val="single" w:color="000000" w:sz="4" w:space="0"/>
            </w:tcBorders>
            <w:tcW w:w="5811" w:type="dxa"/>
            <w:vAlign w:val="center"/>
            <w:textDirection w:val="lrTb"/>
            <w:noWrap w:val="false"/>
          </w:tcPr>
          <w:p>
            <w:pPr>
              <w:contextualSpacing w:val="0"/>
              <w:jc w:val="center"/>
              <w:spacing w:line="283" w:lineRule="atLeast"/>
              <w:widowControl w:val="off"/>
              <w:rPr>
                <w:rFonts w:ascii="Times New Roman" w:hAnsi="Times New Roman" w:cs="Times New Roman"/>
                <w:highlight w:val="white"/>
              </w:rPr>
              <w:suppressLineNumbers w:val="0"/>
            </w:pPr>
            <w:r>
              <w:rPr>
                <w:rFonts w:ascii="Times New Roman" w:hAnsi="Times New Roman" w:cs="Times New Roman"/>
                <w:color w:val="000000"/>
                <w:sz w:val="24"/>
                <w:szCs w:val="24"/>
                <w:highlight w:val="white"/>
              </w:rPr>
              <w:t xml:space="preserve">Курганная группа </w:t>
            </w:r>
            <w:r>
              <w:rPr>
                <w:rFonts w:ascii="Times New Roman" w:hAnsi="Times New Roman" w:cs="Times New Roman"/>
                <w:color w:val="000000"/>
                <w:sz w:val="24"/>
                <w:szCs w:val="24"/>
                <w:highlight w:val="white"/>
              </w:rPr>
              <w:t xml:space="preserve">(8 насыпей)</w:t>
            </w:r>
            <w:r>
              <w:rPr>
                <w:rFonts w:ascii="Times New Roman" w:hAnsi="Times New Roman" w:cs="Times New Roman"/>
                <w:highlight w:val="white"/>
              </w:rPr>
            </w:r>
            <w:r/>
          </w:p>
        </w:tc>
        <w:tc>
          <w:tcPr>
            <w:tcBorders>
              <w:top w:val="single" w:color="000000" w:sz="4" w:space="0"/>
              <w:left w:val="single" w:color="000000" w:sz="4" w:space="0"/>
              <w:bottom w:val="single" w:color="000000" w:sz="4" w:space="0"/>
              <w:right w:val="single" w:color="000000" w:sz="4" w:space="0"/>
            </w:tcBorders>
            <w:tcW w:w="6000" w:type="dxa"/>
            <w:vAlign w:val="center"/>
            <w:textDirection w:val="lrTb"/>
            <w:noWrap w:val="false"/>
          </w:tcPr>
          <w:p>
            <w:pPr>
              <w:jc w:val="center"/>
            </w:pPr>
            <w:r>
              <w:rPr>
                <w:rFonts w:ascii="Times New Roman" w:hAnsi="Times New Roman" w:cs="Times New Roman"/>
                <w:highlight w:val="none"/>
              </w:rPr>
              <w:t xml:space="preserve">-</w:t>
            </w:r>
            <w:r/>
          </w:p>
        </w:tc>
      </w:tr>
      <w:tr>
        <w:trPr>
          <w:jc w:val="center"/>
        </w:trPr>
        <w:tc>
          <w:tcPr>
            <w:tcBorders>
              <w:top w:val="single" w:color="000000" w:sz="4" w:space="0"/>
              <w:left w:val="single" w:color="000000" w:sz="4" w:space="0"/>
              <w:bottom w:val="single" w:color="000000" w:sz="4" w:space="0"/>
              <w:right w:val="none" w:color="000000" w:sz="4" w:space="0"/>
            </w:tcBorders>
            <w:tcW w:w="2059" w:type="dxa"/>
            <w:vAlign w:val="center"/>
            <w:textDirection w:val="lrTb"/>
            <w:noWrap w:val="false"/>
          </w:tcPr>
          <w:p>
            <w:pPr>
              <w:numPr>
                <w:ilvl w:val="0"/>
                <w:numId w:val="32"/>
              </w:numPr>
              <w:jc w:val="center"/>
              <w:rPr>
                <w:rFonts w:ascii="Times New Roman" w:hAnsi="Times New Roman" w:cs="Times New Roman"/>
                <w:highlight w:val="white"/>
              </w:rPr>
            </w:pPr>
            <w:r>
              <w:rPr>
                <w:rFonts w:ascii="Times New Roman" w:hAnsi="Times New Roman" w:cs="Times New Roman"/>
                <w:b/>
                <w:sz w:val="24"/>
                <w:szCs w:val="24"/>
                <w:highlight w:val="white"/>
              </w:rPr>
            </w:r>
            <w:r>
              <w:rPr>
                <w:rFonts w:ascii="Times New Roman" w:hAnsi="Times New Roman" w:cs="Times New Roman"/>
                <w:bCs/>
                <w:highlight w:val="white"/>
              </w:rPr>
            </w:r>
            <w:r/>
          </w:p>
        </w:tc>
        <w:tc>
          <w:tcPr>
            <w:tcBorders>
              <w:top w:val="single" w:color="000000" w:sz="4" w:space="0"/>
              <w:left w:val="single" w:color="000000" w:sz="4" w:space="0"/>
              <w:bottom w:val="single" w:color="000000" w:sz="4" w:space="0"/>
              <w:right w:val="single" w:color="000000" w:sz="4" w:space="0"/>
            </w:tcBorders>
            <w:tcW w:w="5811" w:type="dxa"/>
            <w:vAlign w:val="center"/>
            <w:textDirection w:val="lrTb"/>
            <w:noWrap w:val="false"/>
          </w:tcPr>
          <w:p>
            <w:pPr>
              <w:contextualSpacing w:val="0"/>
              <w:jc w:val="center"/>
              <w:spacing w:line="283" w:lineRule="atLeast"/>
              <w:widowControl w:val="off"/>
              <w:rPr>
                <w:rFonts w:ascii="Times New Roman" w:hAnsi="Times New Roman" w:cs="Times New Roman"/>
                <w:color w:val="000000"/>
                <w:highlight w:val="white"/>
              </w:rPr>
              <w:suppressLineNumbers w:val="0"/>
            </w:pPr>
            <w:r>
              <w:rPr>
                <w:rFonts w:ascii="Times New Roman" w:hAnsi="Times New Roman" w:cs="Times New Roman"/>
                <w:color w:val="000000"/>
                <w:sz w:val="24"/>
                <w:szCs w:val="24"/>
                <w:highlight w:val="white"/>
              </w:rPr>
              <w:t xml:space="preserve">Курган</w:t>
            </w:r>
            <w:r>
              <w:rPr>
                <w:rFonts w:ascii="Times New Roman" w:hAnsi="Times New Roman" w:cs="Times New Roman"/>
                <w:color w:val="000000"/>
                <w:highlight w:val="white"/>
              </w:rPr>
            </w:r>
            <w:r/>
          </w:p>
        </w:tc>
        <w:tc>
          <w:tcPr>
            <w:tcBorders>
              <w:top w:val="single" w:color="000000" w:sz="4" w:space="0"/>
              <w:left w:val="single" w:color="000000" w:sz="4" w:space="0"/>
              <w:bottom w:val="single" w:color="000000" w:sz="4" w:space="0"/>
              <w:right w:val="single" w:color="000000" w:sz="4" w:space="0"/>
            </w:tcBorders>
            <w:tcW w:w="6000" w:type="dxa"/>
            <w:vAlign w:val="center"/>
            <w:textDirection w:val="lrTb"/>
            <w:noWrap w:val="false"/>
          </w:tcPr>
          <w:p>
            <w:pPr>
              <w:jc w:val="center"/>
            </w:pPr>
            <w:r>
              <w:rPr>
                <w:rFonts w:ascii="Times New Roman" w:hAnsi="Times New Roman" w:cs="Times New Roman"/>
                <w:highlight w:val="none"/>
              </w:rPr>
              <w:t xml:space="preserve">-</w:t>
            </w:r>
            <w:r/>
          </w:p>
        </w:tc>
      </w:tr>
      <w:tr>
        <w:trPr>
          <w:jc w:val="center"/>
        </w:trPr>
        <w:tc>
          <w:tcPr>
            <w:tcBorders>
              <w:top w:val="single" w:color="000000" w:sz="4" w:space="0"/>
              <w:left w:val="single" w:color="000000" w:sz="4" w:space="0"/>
              <w:bottom w:val="single" w:color="000000" w:sz="4" w:space="0"/>
              <w:right w:val="none" w:color="000000" w:sz="4" w:space="0"/>
            </w:tcBorders>
            <w:tcW w:w="2059" w:type="dxa"/>
            <w:vAlign w:val="center"/>
            <w:textDirection w:val="lrTb"/>
            <w:noWrap w:val="false"/>
          </w:tcPr>
          <w:p>
            <w:pPr>
              <w:numPr>
                <w:ilvl w:val="0"/>
                <w:numId w:val="32"/>
              </w:numPr>
              <w:jc w:val="center"/>
              <w:rPr>
                <w:rFonts w:ascii="Times New Roman" w:hAnsi="Times New Roman" w:cs="Times New Roman"/>
                <w:highlight w:val="white"/>
              </w:rPr>
            </w:pPr>
            <w:r>
              <w:rPr>
                <w:rFonts w:ascii="Times New Roman" w:hAnsi="Times New Roman" w:cs="Times New Roman"/>
                <w:b/>
                <w:sz w:val="24"/>
                <w:szCs w:val="24"/>
                <w:highlight w:val="white"/>
              </w:rPr>
            </w:r>
            <w:r>
              <w:rPr>
                <w:rFonts w:ascii="Times New Roman" w:hAnsi="Times New Roman" w:cs="Times New Roman"/>
                <w:bCs/>
                <w:highlight w:val="white"/>
              </w:rPr>
            </w:r>
            <w:r/>
          </w:p>
        </w:tc>
        <w:tc>
          <w:tcPr>
            <w:tcBorders>
              <w:top w:val="single" w:color="000000" w:sz="4" w:space="0"/>
              <w:left w:val="single" w:color="000000" w:sz="4" w:space="0"/>
              <w:bottom w:val="single" w:color="000000" w:sz="4" w:space="0"/>
              <w:right w:val="single" w:color="000000" w:sz="4" w:space="0"/>
            </w:tcBorders>
            <w:tcW w:w="5811" w:type="dxa"/>
            <w:vAlign w:val="center"/>
            <w:textDirection w:val="lrTb"/>
            <w:noWrap w:val="false"/>
          </w:tcPr>
          <w:p>
            <w:pPr>
              <w:contextualSpacing w:val="0"/>
              <w:jc w:val="center"/>
              <w:spacing w:line="283" w:lineRule="atLeast"/>
              <w:widowControl w:val="off"/>
              <w:rPr>
                <w:rFonts w:ascii="Times New Roman" w:hAnsi="Times New Roman" w:cs="Times New Roman"/>
                <w:color w:val="000000"/>
                <w:highlight w:val="white"/>
              </w:rPr>
              <w:suppressLineNumbers w:val="0"/>
            </w:pPr>
            <w:r>
              <w:rPr>
                <w:rFonts w:ascii="Times New Roman" w:hAnsi="Times New Roman" w:cs="Times New Roman"/>
                <w:color w:val="000000"/>
                <w:sz w:val="24"/>
                <w:szCs w:val="24"/>
                <w:highlight w:val="white"/>
              </w:rPr>
              <w:t xml:space="preserve">Курган</w:t>
            </w:r>
            <w:r>
              <w:rPr>
                <w:rFonts w:ascii="Times New Roman" w:hAnsi="Times New Roman" w:cs="Times New Roman"/>
                <w:color w:val="000000"/>
                <w:highlight w:val="white"/>
              </w:rPr>
            </w:r>
            <w:r/>
          </w:p>
        </w:tc>
        <w:tc>
          <w:tcPr>
            <w:tcBorders>
              <w:top w:val="single" w:color="000000" w:sz="4" w:space="0"/>
              <w:left w:val="single" w:color="000000" w:sz="4" w:space="0"/>
              <w:bottom w:val="single" w:color="000000" w:sz="4" w:space="0"/>
              <w:right w:val="single" w:color="000000" w:sz="4" w:space="0"/>
            </w:tcBorders>
            <w:tcW w:w="6000" w:type="dxa"/>
            <w:vAlign w:val="center"/>
            <w:textDirection w:val="lrTb"/>
            <w:noWrap w:val="false"/>
          </w:tcPr>
          <w:p>
            <w:pPr>
              <w:jc w:val="center"/>
            </w:pPr>
            <w:r>
              <w:rPr>
                <w:rFonts w:ascii="Times New Roman" w:hAnsi="Times New Roman" w:cs="Times New Roman"/>
                <w:highlight w:val="none"/>
              </w:rPr>
              <w:t xml:space="preserve">-</w:t>
            </w:r>
            <w:r/>
          </w:p>
        </w:tc>
      </w:tr>
      <w:tr>
        <w:trPr>
          <w:jc w:val="center"/>
        </w:trPr>
        <w:tc>
          <w:tcPr>
            <w:tcBorders>
              <w:top w:val="single" w:color="000000" w:sz="4" w:space="0"/>
              <w:left w:val="single" w:color="000000" w:sz="4" w:space="0"/>
              <w:bottom w:val="single" w:color="000000" w:sz="4" w:space="0"/>
              <w:right w:val="none" w:color="000000" w:sz="4" w:space="0"/>
            </w:tcBorders>
            <w:tcW w:w="2059" w:type="dxa"/>
            <w:vAlign w:val="center"/>
            <w:textDirection w:val="lrTb"/>
            <w:noWrap w:val="false"/>
          </w:tcPr>
          <w:p>
            <w:pPr>
              <w:numPr>
                <w:ilvl w:val="0"/>
                <w:numId w:val="32"/>
              </w:numPr>
              <w:jc w:val="center"/>
              <w:rPr>
                <w:rFonts w:ascii="Times New Roman" w:hAnsi="Times New Roman" w:cs="Times New Roman"/>
                <w:highlight w:val="white"/>
              </w:rPr>
            </w:pPr>
            <w:r>
              <w:rPr>
                <w:rFonts w:ascii="Times New Roman" w:hAnsi="Times New Roman" w:cs="Times New Roman"/>
                <w:b/>
                <w:sz w:val="24"/>
                <w:szCs w:val="24"/>
                <w:highlight w:val="white"/>
              </w:rPr>
            </w:r>
            <w:r>
              <w:rPr>
                <w:rFonts w:ascii="Times New Roman" w:hAnsi="Times New Roman" w:cs="Times New Roman"/>
                <w:bCs/>
                <w:highlight w:val="white"/>
              </w:rPr>
            </w:r>
            <w:r/>
          </w:p>
        </w:tc>
        <w:tc>
          <w:tcPr>
            <w:tcBorders>
              <w:top w:val="single" w:color="000000" w:sz="4" w:space="0"/>
              <w:left w:val="single" w:color="000000" w:sz="4" w:space="0"/>
              <w:bottom w:val="single" w:color="000000" w:sz="4" w:space="0"/>
              <w:right w:val="single" w:color="000000" w:sz="4" w:space="0"/>
            </w:tcBorders>
            <w:tcW w:w="5811" w:type="dxa"/>
            <w:vAlign w:val="center"/>
            <w:textDirection w:val="lrTb"/>
            <w:noWrap w:val="false"/>
          </w:tcPr>
          <w:p>
            <w:pPr>
              <w:contextualSpacing w:val="0"/>
              <w:jc w:val="center"/>
              <w:spacing w:line="283" w:lineRule="atLeast"/>
              <w:widowControl w:val="off"/>
              <w:rPr>
                <w:rFonts w:ascii="Times New Roman" w:hAnsi="Times New Roman" w:cs="Times New Roman"/>
                <w:highlight w:val="white"/>
              </w:rPr>
              <w:suppressLineNumbers w:val="0"/>
            </w:pPr>
            <w:r>
              <w:rPr>
                <w:rFonts w:ascii="Times New Roman" w:hAnsi="Times New Roman" w:cs="Times New Roman"/>
                <w:color w:val="000000"/>
                <w:sz w:val="24"/>
                <w:szCs w:val="24"/>
                <w:highlight w:val="white"/>
              </w:rPr>
              <w:t xml:space="preserve">Курганная группа </w:t>
            </w:r>
            <w:r>
              <w:rPr>
                <w:rFonts w:ascii="Times New Roman" w:hAnsi="Times New Roman" w:cs="Times New Roman"/>
                <w:color w:val="000000"/>
                <w:sz w:val="24"/>
                <w:szCs w:val="24"/>
                <w:highlight w:val="white"/>
              </w:rPr>
              <w:t xml:space="preserve">"Казанская 12"</w:t>
            </w:r>
            <w:r>
              <w:rPr>
                <w:rFonts w:ascii="Times New Roman" w:hAnsi="Times New Roman" w:cs="Times New Roman"/>
                <w:highlight w:val="white"/>
              </w:rPr>
            </w:r>
            <w:r/>
          </w:p>
        </w:tc>
        <w:tc>
          <w:tcPr>
            <w:tcBorders>
              <w:top w:val="single" w:color="000000" w:sz="4" w:space="0"/>
              <w:left w:val="single" w:color="000000" w:sz="4" w:space="0"/>
              <w:bottom w:val="single" w:color="000000" w:sz="4" w:space="0"/>
              <w:right w:val="single" w:color="000000" w:sz="4" w:space="0"/>
            </w:tcBorders>
            <w:tcW w:w="6000" w:type="dxa"/>
            <w:vAlign w:val="center"/>
            <w:textDirection w:val="lrTb"/>
            <w:noWrap w:val="false"/>
          </w:tcPr>
          <w:p>
            <w:pPr>
              <w:jc w:val="center"/>
            </w:pPr>
            <w:r>
              <w:rPr>
                <w:rFonts w:ascii="Times New Roman" w:hAnsi="Times New Roman" w:cs="Times New Roman"/>
                <w:highlight w:val="none"/>
              </w:rPr>
              <w:t xml:space="preserve">-</w:t>
            </w:r>
            <w:r/>
          </w:p>
        </w:tc>
      </w:tr>
      <w:tr>
        <w:trPr>
          <w:jc w:val="center"/>
        </w:trPr>
        <w:tc>
          <w:tcPr>
            <w:tcBorders>
              <w:top w:val="single" w:color="000000" w:sz="4" w:space="0"/>
              <w:left w:val="single" w:color="000000" w:sz="4" w:space="0"/>
              <w:bottom w:val="single" w:color="000000" w:sz="4" w:space="0"/>
              <w:right w:val="none" w:color="000000" w:sz="4" w:space="0"/>
            </w:tcBorders>
            <w:tcW w:w="2059" w:type="dxa"/>
            <w:vAlign w:val="center"/>
            <w:textDirection w:val="lrTb"/>
            <w:noWrap w:val="false"/>
          </w:tcPr>
          <w:p>
            <w:pPr>
              <w:numPr>
                <w:ilvl w:val="0"/>
                <w:numId w:val="32"/>
              </w:numPr>
              <w:jc w:val="center"/>
              <w:rPr>
                <w:rFonts w:ascii="Times New Roman" w:hAnsi="Times New Roman" w:cs="Times New Roman"/>
                <w:highlight w:val="white"/>
              </w:rPr>
            </w:pPr>
            <w:r>
              <w:rPr>
                <w:rFonts w:ascii="Times New Roman" w:hAnsi="Times New Roman" w:cs="Times New Roman"/>
                <w:b/>
                <w:sz w:val="24"/>
                <w:szCs w:val="24"/>
                <w:highlight w:val="white"/>
              </w:rPr>
            </w:r>
            <w:r>
              <w:rPr>
                <w:rFonts w:ascii="Times New Roman" w:hAnsi="Times New Roman" w:cs="Times New Roman"/>
                <w:bCs/>
                <w:highlight w:val="white"/>
              </w:rPr>
            </w:r>
            <w:r/>
          </w:p>
        </w:tc>
        <w:tc>
          <w:tcPr>
            <w:tcBorders>
              <w:top w:val="single" w:color="000000" w:sz="4" w:space="0"/>
              <w:left w:val="single" w:color="000000" w:sz="4" w:space="0"/>
              <w:bottom w:val="single" w:color="000000" w:sz="4" w:space="0"/>
              <w:right w:val="single" w:color="000000" w:sz="4" w:space="0"/>
            </w:tcBorders>
            <w:tcW w:w="5811" w:type="dxa"/>
            <w:vAlign w:val="center"/>
            <w:textDirection w:val="lrTb"/>
            <w:noWrap w:val="false"/>
          </w:tcPr>
          <w:p>
            <w:pPr>
              <w:contextualSpacing w:val="0"/>
              <w:jc w:val="center"/>
              <w:spacing w:line="283" w:lineRule="atLeast"/>
              <w:widowControl w:val="off"/>
              <w:rPr>
                <w:rFonts w:ascii="Times New Roman" w:hAnsi="Times New Roman" w:cs="Times New Roman"/>
                <w:color w:val="000000"/>
                <w:highlight w:val="white"/>
              </w:rPr>
              <w:suppressLineNumbers w:val="0"/>
            </w:pPr>
            <w:r>
              <w:rPr>
                <w:rFonts w:ascii="Times New Roman" w:hAnsi="Times New Roman" w:cs="Times New Roman"/>
                <w:color w:val="000000"/>
                <w:sz w:val="24"/>
                <w:szCs w:val="24"/>
                <w:highlight w:val="white"/>
              </w:rPr>
              <w:t xml:space="preserve">Курган</w:t>
            </w:r>
            <w:r>
              <w:rPr>
                <w:rFonts w:ascii="Times New Roman" w:hAnsi="Times New Roman" w:cs="Times New Roman"/>
                <w:color w:val="000000"/>
                <w:highlight w:val="white"/>
              </w:rPr>
            </w:r>
            <w:r/>
          </w:p>
        </w:tc>
        <w:tc>
          <w:tcPr>
            <w:tcBorders>
              <w:top w:val="single" w:color="000000" w:sz="4" w:space="0"/>
              <w:left w:val="single" w:color="000000" w:sz="4" w:space="0"/>
              <w:bottom w:val="single" w:color="000000" w:sz="4" w:space="0"/>
              <w:right w:val="single" w:color="000000" w:sz="4" w:space="0"/>
            </w:tcBorders>
            <w:tcW w:w="6000" w:type="dxa"/>
            <w:vAlign w:val="center"/>
            <w:textDirection w:val="lrTb"/>
            <w:noWrap w:val="false"/>
          </w:tcPr>
          <w:p>
            <w:pPr>
              <w:jc w:val="center"/>
            </w:pPr>
            <w:r>
              <w:rPr>
                <w:rFonts w:ascii="Times New Roman" w:hAnsi="Times New Roman" w:cs="Times New Roman"/>
                <w:highlight w:val="none"/>
              </w:rPr>
              <w:t xml:space="preserve">-</w:t>
            </w:r>
            <w:r/>
          </w:p>
        </w:tc>
      </w:tr>
      <w:tr>
        <w:trPr>
          <w:jc w:val="center"/>
        </w:trPr>
        <w:tc>
          <w:tcPr>
            <w:tcBorders>
              <w:top w:val="single" w:color="000000" w:sz="4" w:space="0"/>
              <w:left w:val="single" w:color="000000" w:sz="4" w:space="0"/>
              <w:bottom w:val="single" w:color="000000" w:sz="4" w:space="0"/>
              <w:right w:val="none" w:color="000000" w:sz="4" w:space="0"/>
            </w:tcBorders>
            <w:tcW w:w="2059" w:type="dxa"/>
            <w:vAlign w:val="center"/>
            <w:textDirection w:val="lrTb"/>
            <w:noWrap w:val="false"/>
          </w:tcPr>
          <w:p>
            <w:pPr>
              <w:numPr>
                <w:ilvl w:val="0"/>
                <w:numId w:val="32"/>
              </w:numPr>
              <w:jc w:val="center"/>
              <w:rPr>
                <w:rFonts w:ascii="Times New Roman" w:hAnsi="Times New Roman" w:cs="Times New Roman"/>
                <w:highlight w:val="white"/>
              </w:rPr>
            </w:pPr>
            <w:r>
              <w:rPr>
                <w:rFonts w:ascii="Times New Roman" w:hAnsi="Times New Roman" w:cs="Times New Roman"/>
                <w:b/>
                <w:sz w:val="24"/>
                <w:szCs w:val="24"/>
                <w:highlight w:val="white"/>
              </w:rPr>
            </w:r>
            <w:r>
              <w:rPr>
                <w:rFonts w:ascii="Times New Roman" w:hAnsi="Times New Roman" w:cs="Times New Roman"/>
                <w:bCs/>
                <w:highlight w:val="white"/>
              </w:rPr>
            </w:r>
            <w:r/>
          </w:p>
        </w:tc>
        <w:tc>
          <w:tcPr>
            <w:tcBorders>
              <w:top w:val="single" w:color="000000" w:sz="4" w:space="0"/>
              <w:left w:val="single" w:color="000000" w:sz="4" w:space="0"/>
              <w:bottom w:val="single" w:color="000000" w:sz="4" w:space="0"/>
              <w:right w:val="single" w:color="000000" w:sz="4" w:space="0"/>
            </w:tcBorders>
            <w:tcW w:w="5811" w:type="dxa"/>
            <w:vAlign w:val="center"/>
            <w:textDirection w:val="lrTb"/>
            <w:noWrap w:val="false"/>
          </w:tcPr>
          <w:p>
            <w:pPr>
              <w:contextualSpacing w:val="0"/>
              <w:jc w:val="center"/>
              <w:spacing w:line="283" w:lineRule="atLeast"/>
              <w:widowControl w:val="off"/>
              <w:rPr>
                <w:rFonts w:ascii="Times New Roman" w:hAnsi="Times New Roman" w:cs="Times New Roman"/>
                <w:highlight w:val="white"/>
              </w:rPr>
              <w:suppressLineNumbers w:val="0"/>
            </w:pPr>
            <w:r>
              <w:rPr>
                <w:rFonts w:ascii="Times New Roman" w:hAnsi="Times New Roman" w:cs="Times New Roman"/>
                <w:color w:val="000000"/>
                <w:sz w:val="24"/>
                <w:szCs w:val="24"/>
                <w:highlight w:val="white"/>
              </w:rPr>
              <w:t xml:space="preserve">Курганная группа </w:t>
            </w:r>
            <w:r>
              <w:rPr>
                <w:rFonts w:ascii="Times New Roman" w:hAnsi="Times New Roman" w:cs="Times New Roman"/>
                <w:color w:val="000000"/>
                <w:sz w:val="24"/>
                <w:szCs w:val="24"/>
                <w:highlight w:val="white"/>
              </w:rPr>
              <w:t xml:space="preserve">(4 насыпи)</w:t>
            </w:r>
            <w:r>
              <w:rPr>
                <w:rFonts w:ascii="Times New Roman" w:hAnsi="Times New Roman" w:cs="Times New Roman"/>
                <w:highlight w:val="white"/>
              </w:rPr>
            </w:r>
            <w:r/>
          </w:p>
        </w:tc>
        <w:tc>
          <w:tcPr>
            <w:tcBorders>
              <w:top w:val="single" w:color="000000" w:sz="4" w:space="0"/>
              <w:left w:val="single" w:color="000000" w:sz="4" w:space="0"/>
              <w:bottom w:val="single" w:color="000000" w:sz="4" w:space="0"/>
              <w:right w:val="single" w:color="000000" w:sz="4" w:space="0"/>
            </w:tcBorders>
            <w:tcW w:w="6000" w:type="dxa"/>
            <w:vAlign w:val="center"/>
            <w:textDirection w:val="lrTb"/>
            <w:noWrap w:val="false"/>
          </w:tcPr>
          <w:p>
            <w:pPr>
              <w:jc w:val="center"/>
            </w:pPr>
            <w:r>
              <w:rPr>
                <w:rFonts w:ascii="Times New Roman" w:hAnsi="Times New Roman" w:cs="Times New Roman"/>
                <w:highlight w:val="none"/>
              </w:rPr>
              <w:t xml:space="preserve">-</w:t>
            </w:r>
            <w:r/>
          </w:p>
        </w:tc>
      </w:tr>
      <w:tr>
        <w:trPr>
          <w:jc w:val="center"/>
        </w:trPr>
        <w:tc>
          <w:tcPr>
            <w:tcBorders>
              <w:top w:val="single" w:color="000000" w:sz="4" w:space="0"/>
              <w:left w:val="single" w:color="000000" w:sz="4" w:space="0"/>
              <w:bottom w:val="single" w:color="000000" w:sz="4" w:space="0"/>
              <w:right w:val="none" w:color="000000" w:sz="4" w:space="0"/>
            </w:tcBorders>
            <w:tcW w:w="2059" w:type="dxa"/>
            <w:vAlign w:val="center"/>
            <w:textDirection w:val="lrTb"/>
            <w:noWrap w:val="false"/>
          </w:tcPr>
          <w:p>
            <w:pPr>
              <w:numPr>
                <w:ilvl w:val="0"/>
                <w:numId w:val="32"/>
              </w:numPr>
              <w:jc w:val="center"/>
              <w:rPr>
                <w:rFonts w:ascii="Times New Roman" w:hAnsi="Times New Roman" w:cs="Times New Roman"/>
                <w:highlight w:val="white"/>
              </w:rPr>
            </w:pPr>
            <w:r>
              <w:rPr>
                <w:rFonts w:ascii="Times New Roman" w:hAnsi="Times New Roman" w:cs="Times New Roman"/>
                <w:b/>
                <w:sz w:val="24"/>
                <w:szCs w:val="24"/>
                <w:highlight w:val="white"/>
              </w:rPr>
            </w:r>
            <w:r>
              <w:rPr>
                <w:rFonts w:ascii="Times New Roman" w:hAnsi="Times New Roman" w:cs="Times New Roman"/>
                <w:bCs/>
                <w:highlight w:val="white"/>
              </w:rPr>
            </w:r>
            <w:r/>
          </w:p>
        </w:tc>
        <w:tc>
          <w:tcPr>
            <w:tcBorders>
              <w:top w:val="single" w:color="000000" w:sz="4" w:space="0"/>
              <w:left w:val="single" w:color="000000" w:sz="4" w:space="0"/>
              <w:bottom w:val="single" w:color="000000" w:sz="4" w:space="0"/>
              <w:right w:val="single" w:color="000000" w:sz="4" w:space="0"/>
            </w:tcBorders>
            <w:tcW w:w="5811" w:type="dxa"/>
            <w:vAlign w:val="center"/>
            <w:textDirection w:val="lrTb"/>
            <w:noWrap w:val="false"/>
          </w:tcPr>
          <w:p>
            <w:pPr>
              <w:contextualSpacing w:val="0"/>
              <w:jc w:val="center"/>
              <w:spacing w:line="283" w:lineRule="atLeast"/>
              <w:widowControl w:val="off"/>
              <w:rPr>
                <w:rFonts w:ascii="Times New Roman" w:hAnsi="Times New Roman" w:cs="Times New Roman"/>
                <w:color w:val="000000"/>
                <w:highlight w:val="white"/>
              </w:rPr>
              <w:suppressLineNumbers w:val="0"/>
            </w:pPr>
            <w:r>
              <w:rPr>
                <w:rFonts w:ascii="Times New Roman" w:hAnsi="Times New Roman" w:cs="Times New Roman"/>
                <w:color w:val="000000"/>
                <w:sz w:val="24"/>
                <w:szCs w:val="24"/>
                <w:highlight w:val="white"/>
              </w:rPr>
              <w:t xml:space="preserve">Курган</w:t>
            </w:r>
            <w:r>
              <w:rPr>
                <w:rFonts w:ascii="Times New Roman" w:hAnsi="Times New Roman" w:cs="Times New Roman"/>
                <w:color w:val="000000"/>
                <w:highlight w:val="white"/>
              </w:rPr>
            </w:r>
            <w:r/>
          </w:p>
        </w:tc>
        <w:tc>
          <w:tcPr>
            <w:tcBorders>
              <w:top w:val="single" w:color="000000" w:sz="4" w:space="0"/>
              <w:left w:val="single" w:color="000000" w:sz="4" w:space="0"/>
              <w:bottom w:val="single" w:color="000000" w:sz="4" w:space="0"/>
              <w:right w:val="single" w:color="000000" w:sz="4" w:space="0"/>
            </w:tcBorders>
            <w:tcW w:w="6000" w:type="dxa"/>
            <w:vAlign w:val="center"/>
            <w:textDirection w:val="lrTb"/>
            <w:noWrap w:val="false"/>
          </w:tcPr>
          <w:p>
            <w:pPr>
              <w:jc w:val="center"/>
            </w:pPr>
            <w:r>
              <w:rPr>
                <w:rFonts w:ascii="Times New Roman" w:hAnsi="Times New Roman" w:cs="Times New Roman"/>
                <w:highlight w:val="none"/>
              </w:rPr>
              <w:t xml:space="preserve">-</w:t>
            </w:r>
            <w:r/>
          </w:p>
        </w:tc>
      </w:tr>
      <w:tr>
        <w:trPr>
          <w:jc w:val="center"/>
        </w:trPr>
        <w:tc>
          <w:tcPr>
            <w:tcBorders>
              <w:top w:val="single" w:color="000000" w:sz="4" w:space="0"/>
              <w:left w:val="single" w:color="000000" w:sz="4" w:space="0"/>
              <w:bottom w:val="single" w:color="000000" w:sz="4" w:space="0"/>
              <w:right w:val="none" w:color="000000" w:sz="4" w:space="0"/>
            </w:tcBorders>
            <w:tcW w:w="2059" w:type="dxa"/>
            <w:vAlign w:val="center"/>
            <w:textDirection w:val="lrTb"/>
            <w:noWrap w:val="false"/>
          </w:tcPr>
          <w:p>
            <w:pPr>
              <w:numPr>
                <w:ilvl w:val="0"/>
                <w:numId w:val="32"/>
              </w:numPr>
              <w:jc w:val="center"/>
              <w:rPr>
                <w:rFonts w:ascii="Times New Roman" w:hAnsi="Times New Roman" w:cs="Times New Roman"/>
                <w:highlight w:val="white"/>
              </w:rPr>
            </w:pPr>
            <w:r>
              <w:rPr>
                <w:rFonts w:ascii="Times New Roman" w:hAnsi="Times New Roman" w:cs="Times New Roman"/>
                <w:b/>
                <w:sz w:val="24"/>
                <w:szCs w:val="24"/>
                <w:highlight w:val="white"/>
              </w:rPr>
            </w:r>
            <w:r>
              <w:rPr>
                <w:rFonts w:ascii="Times New Roman" w:hAnsi="Times New Roman" w:cs="Times New Roman"/>
                <w:bCs/>
                <w:highlight w:val="white"/>
              </w:rPr>
            </w:r>
            <w:r/>
          </w:p>
        </w:tc>
        <w:tc>
          <w:tcPr>
            <w:tcBorders>
              <w:top w:val="single" w:color="000000" w:sz="4" w:space="0"/>
              <w:left w:val="single" w:color="000000" w:sz="4" w:space="0"/>
              <w:bottom w:val="single" w:color="000000" w:sz="4" w:space="0"/>
              <w:right w:val="single" w:color="000000" w:sz="4" w:space="0"/>
            </w:tcBorders>
            <w:tcW w:w="5811" w:type="dxa"/>
            <w:vAlign w:val="center"/>
            <w:textDirection w:val="lrTb"/>
            <w:noWrap w:val="false"/>
          </w:tcPr>
          <w:p>
            <w:pPr>
              <w:contextualSpacing w:val="0"/>
              <w:jc w:val="center"/>
              <w:spacing w:line="283" w:lineRule="atLeast"/>
              <w:widowControl w:val="off"/>
              <w:rPr>
                <w:rFonts w:ascii="Times New Roman" w:hAnsi="Times New Roman" w:cs="Times New Roman"/>
                <w:highlight w:val="white"/>
              </w:rPr>
              <w:suppressLineNumbers w:val="0"/>
            </w:pPr>
            <w:r>
              <w:rPr>
                <w:rFonts w:ascii="Times New Roman" w:hAnsi="Times New Roman" w:cs="Times New Roman"/>
                <w:color w:val="000000"/>
                <w:sz w:val="24"/>
                <w:szCs w:val="24"/>
                <w:highlight w:val="white"/>
              </w:rPr>
              <w:t xml:space="preserve">Курганная группа </w:t>
            </w:r>
            <w:r>
              <w:rPr>
                <w:rFonts w:ascii="Times New Roman" w:hAnsi="Times New Roman" w:cs="Times New Roman"/>
                <w:color w:val="000000"/>
                <w:sz w:val="24"/>
                <w:szCs w:val="24"/>
                <w:highlight w:val="white"/>
              </w:rPr>
              <w:t xml:space="preserve">"Казанская 13" </w:t>
            </w:r>
            <w:r>
              <w:rPr>
                <w:rFonts w:ascii="Times New Roman" w:hAnsi="Times New Roman" w:cs="Times New Roman"/>
                <w:color w:val="000000"/>
                <w:sz w:val="24"/>
                <w:szCs w:val="24"/>
                <w:highlight w:val="white"/>
              </w:rPr>
              <w:t xml:space="preserve">(22 насыпи)</w:t>
            </w:r>
            <w:r>
              <w:rPr>
                <w:rFonts w:ascii="Times New Roman" w:hAnsi="Times New Roman" w:cs="Times New Roman"/>
                <w:highlight w:val="white"/>
              </w:rPr>
            </w:r>
            <w:r/>
          </w:p>
        </w:tc>
        <w:tc>
          <w:tcPr>
            <w:tcBorders>
              <w:top w:val="single" w:color="000000" w:sz="4" w:space="0"/>
              <w:left w:val="single" w:color="000000" w:sz="4" w:space="0"/>
              <w:bottom w:val="single" w:color="000000" w:sz="4" w:space="0"/>
              <w:right w:val="single" w:color="000000" w:sz="4" w:space="0"/>
            </w:tcBorders>
            <w:tcW w:w="6000" w:type="dxa"/>
            <w:vAlign w:val="center"/>
            <w:textDirection w:val="lrTb"/>
            <w:noWrap w:val="false"/>
          </w:tcPr>
          <w:p>
            <w:pPr>
              <w:jc w:val="center"/>
            </w:pPr>
            <w:r>
              <w:rPr>
                <w:rFonts w:ascii="Times New Roman" w:hAnsi="Times New Roman" w:cs="Times New Roman"/>
                <w:highlight w:val="none"/>
              </w:rPr>
              <w:t xml:space="preserve">-</w:t>
            </w:r>
            <w:r/>
          </w:p>
        </w:tc>
      </w:tr>
      <w:tr>
        <w:trPr>
          <w:jc w:val="center"/>
        </w:trPr>
        <w:tc>
          <w:tcPr>
            <w:tcBorders>
              <w:top w:val="single" w:color="000000" w:sz="4" w:space="0"/>
              <w:left w:val="single" w:color="000000" w:sz="4" w:space="0"/>
              <w:bottom w:val="single" w:color="000000" w:sz="4" w:space="0"/>
              <w:right w:val="none" w:color="000000" w:sz="4" w:space="0"/>
            </w:tcBorders>
            <w:tcW w:w="2059" w:type="dxa"/>
            <w:vAlign w:val="center"/>
            <w:textDirection w:val="lrTb"/>
            <w:noWrap w:val="false"/>
          </w:tcPr>
          <w:p>
            <w:pPr>
              <w:numPr>
                <w:ilvl w:val="0"/>
                <w:numId w:val="32"/>
              </w:numPr>
              <w:jc w:val="center"/>
              <w:rPr>
                <w:rFonts w:ascii="Times New Roman" w:hAnsi="Times New Roman" w:cs="Times New Roman"/>
                <w:highlight w:val="white"/>
              </w:rPr>
            </w:pPr>
            <w:r>
              <w:rPr>
                <w:rFonts w:ascii="Times New Roman" w:hAnsi="Times New Roman" w:cs="Times New Roman"/>
                <w:b/>
                <w:sz w:val="24"/>
                <w:szCs w:val="24"/>
                <w:highlight w:val="white"/>
              </w:rPr>
            </w:r>
            <w:r>
              <w:rPr>
                <w:rFonts w:ascii="Times New Roman" w:hAnsi="Times New Roman" w:cs="Times New Roman"/>
                <w:bCs/>
                <w:highlight w:val="white"/>
              </w:rPr>
            </w:r>
            <w:r/>
          </w:p>
        </w:tc>
        <w:tc>
          <w:tcPr>
            <w:tcBorders>
              <w:top w:val="single" w:color="000000" w:sz="4" w:space="0"/>
              <w:left w:val="single" w:color="000000" w:sz="4" w:space="0"/>
              <w:bottom w:val="single" w:color="000000" w:sz="4" w:space="0"/>
              <w:right w:val="single" w:color="000000" w:sz="4" w:space="0"/>
            </w:tcBorders>
            <w:tcW w:w="5811" w:type="dxa"/>
            <w:vAlign w:val="center"/>
            <w:textDirection w:val="lrTb"/>
            <w:noWrap w:val="false"/>
          </w:tcPr>
          <w:p>
            <w:pPr>
              <w:contextualSpacing w:val="0"/>
              <w:jc w:val="center"/>
              <w:spacing w:line="283" w:lineRule="atLeast"/>
              <w:widowControl w:val="off"/>
              <w:rPr>
                <w:rFonts w:ascii="Times New Roman" w:hAnsi="Times New Roman" w:cs="Times New Roman"/>
                <w:color w:val="000000"/>
                <w:highlight w:val="white"/>
              </w:rPr>
              <w:suppressLineNumbers w:val="0"/>
            </w:pPr>
            <w:r>
              <w:rPr>
                <w:rFonts w:ascii="Times New Roman" w:hAnsi="Times New Roman" w:cs="Times New Roman"/>
                <w:color w:val="000000"/>
                <w:sz w:val="24"/>
                <w:szCs w:val="24"/>
                <w:highlight w:val="white"/>
              </w:rPr>
              <w:t xml:space="preserve">Курган</w:t>
            </w:r>
            <w:r>
              <w:rPr>
                <w:rFonts w:ascii="Times New Roman" w:hAnsi="Times New Roman" w:cs="Times New Roman"/>
                <w:color w:val="000000"/>
                <w:highlight w:val="white"/>
              </w:rPr>
            </w:r>
            <w:r/>
          </w:p>
        </w:tc>
        <w:tc>
          <w:tcPr>
            <w:tcBorders>
              <w:top w:val="single" w:color="000000" w:sz="4" w:space="0"/>
              <w:left w:val="single" w:color="000000" w:sz="4" w:space="0"/>
              <w:bottom w:val="single" w:color="000000" w:sz="4" w:space="0"/>
              <w:right w:val="single" w:color="000000" w:sz="4" w:space="0"/>
            </w:tcBorders>
            <w:tcW w:w="6000" w:type="dxa"/>
            <w:vAlign w:val="center"/>
            <w:textDirection w:val="lrTb"/>
            <w:noWrap w:val="false"/>
          </w:tcPr>
          <w:p>
            <w:pPr>
              <w:jc w:val="center"/>
            </w:pPr>
            <w:r>
              <w:rPr>
                <w:rFonts w:ascii="Times New Roman" w:hAnsi="Times New Roman" w:cs="Times New Roman"/>
                <w:highlight w:val="none"/>
              </w:rPr>
              <w:t xml:space="preserve">-</w:t>
            </w:r>
            <w:r/>
          </w:p>
        </w:tc>
      </w:tr>
      <w:tr>
        <w:trPr>
          <w:jc w:val="center"/>
        </w:trPr>
        <w:tc>
          <w:tcPr>
            <w:tcBorders>
              <w:top w:val="single" w:color="000000" w:sz="4" w:space="0"/>
              <w:left w:val="single" w:color="000000" w:sz="4" w:space="0"/>
              <w:bottom w:val="single" w:color="000000" w:sz="4" w:space="0"/>
              <w:right w:val="none" w:color="000000" w:sz="4" w:space="0"/>
            </w:tcBorders>
            <w:tcW w:w="2059" w:type="dxa"/>
            <w:vAlign w:val="center"/>
            <w:textDirection w:val="lrTb"/>
            <w:noWrap w:val="false"/>
          </w:tcPr>
          <w:p>
            <w:pPr>
              <w:numPr>
                <w:ilvl w:val="0"/>
                <w:numId w:val="32"/>
              </w:numPr>
              <w:jc w:val="center"/>
              <w:rPr>
                <w:rFonts w:ascii="Times New Roman" w:hAnsi="Times New Roman" w:cs="Times New Roman"/>
                <w:highlight w:val="white"/>
              </w:rPr>
            </w:pPr>
            <w:r>
              <w:rPr>
                <w:rFonts w:ascii="Times New Roman" w:hAnsi="Times New Roman" w:cs="Times New Roman"/>
                <w:b/>
                <w:sz w:val="24"/>
                <w:szCs w:val="24"/>
                <w:highlight w:val="white"/>
              </w:rPr>
            </w:r>
            <w:r>
              <w:rPr>
                <w:rFonts w:ascii="Times New Roman" w:hAnsi="Times New Roman" w:cs="Times New Roman"/>
                <w:bCs/>
                <w:highlight w:val="white"/>
              </w:rPr>
            </w:r>
            <w:r/>
          </w:p>
        </w:tc>
        <w:tc>
          <w:tcPr>
            <w:tcBorders>
              <w:top w:val="single" w:color="000000" w:sz="4" w:space="0"/>
              <w:left w:val="single" w:color="000000" w:sz="4" w:space="0"/>
              <w:bottom w:val="single" w:color="000000" w:sz="4" w:space="0"/>
              <w:right w:val="single" w:color="000000" w:sz="4" w:space="0"/>
            </w:tcBorders>
            <w:tcW w:w="5811" w:type="dxa"/>
            <w:vAlign w:val="center"/>
            <w:textDirection w:val="lrTb"/>
            <w:noWrap w:val="false"/>
          </w:tcPr>
          <w:p>
            <w:pPr>
              <w:contextualSpacing w:val="0"/>
              <w:jc w:val="center"/>
              <w:spacing w:line="283" w:lineRule="atLeast"/>
              <w:widowControl w:val="off"/>
              <w:rPr>
                <w:rFonts w:ascii="Times New Roman" w:hAnsi="Times New Roman" w:cs="Times New Roman"/>
                <w:color w:val="000000"/>
                <w:highlight w:val="white"/>
              </w:rPr>
              <w:suppressLineNumbers w:val="0"/>
            </w:pPr>
            <w:r>
              <w:rPr>
                <w:rFonts w:ascii="Times New Roman" w:hAnsi="Times New Roman" w:cs="Times New Roman"/>
                <w:color w:val="000000"/>
                <w:sz w:val="24"/>
                <w:szCs w:val="24"/>
                <w:highlight w:val="white"/>
              </w:rPr>
              <w:t xml:space="preserve">Курган</w:t>
            </w:r>
            <w:r>
              <w:rPr>
                <w:rFonts w:ascii="Times New Roman" w:hAnsi="Times New Roman" w:cs="Times New Roman"/>
                <w:color w:val="000000"/>
                <w:highlight w:val="white"/>
              </w:rPr>
            </w:r>
            <w:r/>
          </w:p>
        </w:tc>
        <w:tc>
          <w:tcPr>
            <w:tcBorders>
              <w:top w:val="single" w:color="000000" w:sz="4" w:space="0"/>
              <w:left w:val="single" w:color="000000" w:sz="4" w:space="0"/>
              <w:bottom w:val="single" w:color="000000" w:sz="4" w:space="0"/>
              <w:right w:val="single" w:color="000000" w:sz="4" w:space="0"/>
            </w:tcBorders>
            <w:tcW w:w="6000" w:type="dxa"/>
            <w:vAlign w:val="center"/>
            <w:textDirection w:val="lrTb"/>
            <w:noWrap w:val="false"/>
          </w:tcPr>
          <w:p>
            <w:pPr>
              <w:jc w:val="center"/>
            </w:pPr>
            <w:r>
              <w:rPr>
                <w:rFonts w:ascii="Times New Roman" w:hAnsi="Times New Roman" w:cs="Times New Roman"/>
                <w:highlight w:val="none"/>
              </w:rPr>
              <w:t xml:space="preserve">-</w:t>
            </w:r>
            <w:r/>
          </w:p>
        </w:tc>
      </w:tr>
      <w:tr>
        <w:trPr>
          <w:jc w:val="center"/>
        </w:trPr>
        <w:tc>
          <w:tcPr>
            <w:tcBorders>
              <w:top w:val="single" w:color="000000" w:sz="4" w:space="0"/>
              <w:left w:val="single" w:color="000000" w:sz="4" w:space="0"/>
              <w:bottom w:val="single" w:color="000000" w:sz="4" w:space="0"/>
              <w:right w:val="none" w:color="000000" w:sz="4" w:space="0"/>
            </w:tcBorders>
            <w:tcW w:w="2059" w:type="dxa"/>
            <w:vAlign w:val="center"/>
            <w:textDirection w:val="lrTb"/>
            <w:noWrap w:val="false"/>
          </w:tcPr>
          <w:p>
            <w:pPr>
              <w:numPr>
                <w:ilvl w:val="0"/>
                <w:numId w:val="32"/>
              </w:numPr>
              <w:jc w:val="center"/>
              <w:rPr>
                <w:rFonts w:ascii="Times New Roman" w:hAnsi="Times New Roman" w:cs="Times New Roman"/>
                <w:highlight w:val="white"/>
              </w:rPr>
            </w:pPr>
            <w:r>
              <w:rPr>
                <w:rFonts w:ascii="Times New Roman" w:hAnsi="Times New Roman" w:cs="Times New Roman"/>
                <w:b/>
                <w:sz w:val="24"/>
                <w:szCs w:val="24"/>
                <w:highlight w:val="white"/>
              </w:rPr>
            </w:r>
            <w:r>
              <w:rPr>
                <w:rFonts w:ascii="Times New Roman" w:hAnsi="Times New Roman" w:cs="Times New Roman"/>
                <w:bCs/>
                <w:highlight w:val="white"/>
              </w:rPr>
            </w:r>
            <w:r/>
          </w:p>
        </w:tc>
        <w:tc>
          <w:tcPr>
            <w:tcBorders>
              <w:top w:val="single" w:color="000000" w:sz="4" w:space="0"/>
              <w:left w:val="single" w:color="000000" w:sz="4" w:space="0"/>
              <w:bottom w:val="single" w:color="000000" w:sz="4" w:space="0"/>
              <w:right w:val="single" w:color="000000" w:sz="4" w:space="0"/>
            </w:tcBorders>
            <w:tcW w:w="5811" w:type="dxa"/>
            <w:vAlign w:val="center"/>
            <w:textDirection w:val="lrTb"/>
            <w:noWrap w:val="false"/>
          </w:tcPr>
          <w:p>
            <w:pPr>
              <w:contextualSpacing w:val="0"/>
              <w:jc w:val="center"/>
              <w:spacing w:line="283" w:lineRule="atLeast"/>
              <w:widowControl w:val="off"/>
              <w:rPr>
                <w:rFonts w:ascii="Times New Roman" w:hAnsi="Times New Roman" w:cs="Times New Roman"/>
                <w:highlight w:val="white"/>
              </w:rPr>
              <w:suppressLineNumbers w:val="0"/>
            </w:pPr>
            <w:r>
              <w:rPr>
                <w:rFonts w:ascii="Times New Roman" w:hAnsi="Times New Roman" w:cs="Times New Roman"/>
                <w:color w:val="000000"/>
                <w:sz w:val="24"/>
                <w:szCs w:val="24"/>
                <w:highlight w:val="white"/>
              </w:rPr>
              <w:t xml:space="preserve">Курганная группа </w:t>
            </w:r>
            <w:r>
              <w:rPr>
                <w:rFonts w:ascii="Times New Roman" w:hAnsi="Times New Roman" w:cs="Times New Roman"/>
                <w:color w:val="000000"/>
                <w:sz w:val="24"/>
                <w:szCs w:val="24"/>
                <w:highlight w:val="white"/>
              </w:rPr>
              <w:t xml:space="preserve">(3 насыпи)</w:t>
            </w:r>
            <w:r>
              <w:rPr>
                <w:rFonts w:ascii="Times New Roman" w:hAnsi="Times New Roman" w:cs="Times New Roman"/>
                <w:highlight w:val="white"/>
              </w:rPr>
            </w:r>
            <w:r/>
          </w:p>
        </w:tc>
        <w:tc>
          <w:tcPr>
            <w:tcBorders>
              <w:top w:val="single" w:color="000000" w:sz="4" w:space="0"/>
              <w:left w:val="single" w:color="000000" w:sz="4" w:space="0"/>
              <w:bottom w:val="single" w:color="000000" w:sz="4" w:space="0"/>
              <w:right w:val="single" w:color="000000" w:sz="4" w:space="0"/>
            </w:tcBorders>
            <w:tcW w:w="6000" w:type="dxa"/>
            <w:vAlign w:val="center"/>
            <w:textDirection w:val="lrTb"/>
            <w:noWrap w:val="false"/>
          </w:tcPr>
          <w:p>
            <w:pPr>
              <w:jc w:val="center"/>
            </w:pPr>
            <w:r>
              <w:rPr>
                <w:rFonts w:ascii="Times New Roman" w:hAnsi="Times New Roman" w:cs="Times New Roman"/>
                <w:highlight w:val="none"/>
              </w:rPr>
              <w:t xml:space="preserve">-</w:t>
            </w:r>
            <w:r/>
          </w:p>
        </w:tc>
      </w:tr>
      <w:tr>
        <w:trPr>
          <w:jc w:val="center"/>
        </w:trPr>
        <w:tc>
          <w:tcPr>
            <w:tcBorders>
              <w:top w:val="single" w:color="000000" w:sz="4" w:space="0"/>
              <w:left w:val="single" w:color="000000" w:sz="4" w:space="0"/>
              <w:bottom w:val="single" w:color="000000" w:sz="4" w:space="0"/>
              <w:right w:val="none" w:color="000000" w:sz="4" w:space="0"/>
            </w:tcBorders>
            <w:tcW w:w="2059" w:type="dxa"/>
            <w:vAlign w:val="center"/>
            <w:textDirection w:val="lrTb"/>
            <w:noWrap w:val="false"/>
          </w:tcPr>
          <w:p>
            <w:pPr>
              <w:numPr>
                <w:ilvl w:val="0"/>
                <w:numId w:val="32"/>
              </w:numPr>
              <w:jc w:val="center"/>
              <w:rPr>
                <w:rFonts w:ascii="Times New Roman" w:hAnsi="Times New Roman" w:cs="Times New Roman"/>
                <w:highlight w:val="white"/>
              </w:rPr>
            </w:pPr>
            <w:r>
              <w:rPr>
                <w:rFonts w:ascii="Times New Roman" w:hAnsi="Times New Roman" w:cs="Times New Roman"/>
                <w:b/>
                <w:sz w:val="24"/>
                <w:szCs w:val="24"/>
                <w:highlight w:val="white"/>
              </w:rPr>
            </w:r>
            <w:r>
              <w:rPr>
                <w:rFonts w:ascii="Times New Roman" w:hAnsi="Times New Roman" w:cs="Times New Roman"/>
                <w:bCs/>
                <w:highlight w:val="white"/>
              </w:rPr>
            </w:r>
            <w:r/>
          </w:p>
        </w:tc>
        <w:tc>
          <w:tcPr>
            <w:tcBorders>
              <w:top w:val="single" w:color="000000" w:sz="4" w:space="0"/>
              <w:left w:val="single" w:color="000000" w:sz="4" w:space="0"/>
              <w:bottom w:val="single" w:color="000000" w:sz="4" w:space="0"/>
              <w:right w:val="single" w:color="000000" w:sz="4" w:space="0"/>
            </w:tcBorders>
            <w:tcW w:w="5811" w:type="dxa"/>
            <w:vAlign w:val="center"/>
            <w:textDirection w:val="lrTb"/>
            <w:noWrap w:val="false"/>
          </w:tcPr>
          <w:p>
            <w:pPr>
              <w:contextualSpacing w:val="0"/>
              <w:jc w:val="center"/>
              <w:spacing w:line="283" w:lineRule="atLeast"/>
              <w:widowControl w:val="off"/>
              <w:rPr>
                <w:rFonts w:ascii="Times New Roman" w:hAnsi="Times New Roman" w:cs="Times New Roman"/>
                <w:highlight w:val="white"/>
              </w:rPr>
              <w:suppressLineNumbers w:val="0"/>
            </w:pPr>
            <w:r>
              <w:rPr>
                <w:rFonts w:ascii="Times New Roman" w:hAnsi="Times New Roman" w:cs="Times New Roman"/>
                <w:color w:val="000000"/>
                <w:sz w:val="24"/>
                <w:szCs w:val="24"/>
                <w:highlight w:val="white"/>
              </w:rPr>
              <w:t xml:space="preserve">Курганная группа (</w:t>
            </w:r>
            <w:r>
              <w:rPr>
                <w:rFonts w:ascii="Times New Roman" w:hAnsi="Times New Roman" w:cs="Times New Roman"/>
                <w:color w:val="000000"/>
                <w:sz w:val="24"/>
                <w:szCs w:val="24"/>
                <w:highlight w:val="white"/>
              </w:rPr>
              <w:t xml:space="preserve">3 насыпи)</w:t>
            </w:r>
            <w:r>
              <w:rPr>
                <w:rFonts w:ascii="Times New Roman" w:hAnsi="Times New Roman" w:cs="Times New Roman"/>
                <w:highlight w:val="white"/>
              </w:rPr>
            </w:r>
            <w:r/>
          </w:p>
        </w:tc>
        <w:tc>
          <w:tcPr>
            <w:tcBorders>
              <w:top w:val="single" w:color="000000" w:sz="4" w:space="0"/>
              <w:left w:val="single" w:color="000000" w:sz="4" w:space="0"/>
              <w:bottom w:val="single" w:color="000000" w:sz="4" w:space="0"/>
              <w:right w:val="single" w:color="000000" w:sz="4" w:space="0"/>
            </w:tcBorders>
            <w:tcW w:w="6000" w:type="dxa"/>
            <w:vAlign w:val="center"/>
            <w:textDirection w:val="lrTb"/>
            <w:noWrap w:val="false"/>
          </w:tcPr>
          <w:p>
            <w:pPr>
              <w:jc w:val="center"/>
            </w:pPr>
            <w:r>
              <w:rPr>
                <w:rFonts w:ascii="Times New Roman" w:hAnsi="Times New Roman" w:cs="Times New Roman"/>
                <w:highlight w:val="none"/>
              </w:rPr>
              <w:t xml:space="preserve">-</w:t>
            </w:r>
            <w:r/>
          </w:p>
        </w:tc>
      </w:tr>
      <w:tr>
        <w:trPr>
          <w:jc w:val="center"/>
        </w:trPr>
        <w:tc>
          <w:tcPr>
            <w:tcBorders>
              <w:top w:val="single" w:color="000000" w:sz="4" w:space="0"/>
              <w:left w:val="single" w:color="000000" w:sz="4" w:space="0"/>
              <w:bottom w:val="single" w:color="000000" w:sz="4" w:space="0"/>
              <w:right w:val="none" w:color="000000" w:sz="4" w:space="0"/>
            </w:tcBorders>
            <w:tcW w:w="2059" w:type="dxa"/>
            <w:vAlign w:val="center"/>
            <w:textDirection w:val="lrTb"/>
            <w:noWrap w:val="false"/>
          </w:tcPr>
          <w:p>
            <w:pPr>
              <w:numPr>
                <w:ilvl w:val="0"/>
                <w:numId w:val="32"/>
              </w:numPr>
              <w:jc w:val="center"/>
              <w:rPr>
                <w:rFonts w:ascii="Times New Roman" w:hAnsi="Times New Roman" w:cs="Times New Roman"/>
                <w:highlight w:val="white"/>
              </w:rPr>
            </w:pPr>
            <w:r>
              <w:rPr>
                <w:rFonts w:ascii="Times New Roman" w:hAnsi="Times New Roman" w:cs="Times New Roman"/>
                <w:b/>
                <w:sz w:val="24"/>
                <w:szCs w:val="24"/>
                <w:highlight w:val="white"/>
              </w:rPr>
            </w:r>
            <w:r>
              <w:rPr>
                <w:rFonts w:ascii="Times New Roman" w:hAnsi="Times New Roman" w:cs="Times New Roman"/>
                <w:bCs/>
                <w:highlight w:val="white"/>
              </w:rPr>
            </w:r>
            <w:r/>
          </w:p>
        </w:tc>
        <w:tc>
          <w:tcPr>
            <w:tcBorders>
              <w:top w:val="single" w:color="000000" w:sz="4" w:space="0"/>
              <w:left w:val="single" w:color="000000" w:sz="4" w:space="0"/>
              <w:bottom w:val="single" w:color="000000" w:sz="4" w:space="0"/>
              <w:right w:val="single" w:color="000000" w:sz="4" w:space="0"/>
            </w:tcBorders>
            <w:tcW w:w="5811" w:type="dxa"/>
            <w:vAlign w:val="center"/>
            <w:textDirection w:val="lrTb"/>
            <w:noWrap w:val="false"/>
          </w:tcPr>
          <w:p>
            <w:pPr>
              <w:contextualSpacing w:val="0"/>
              <w:jc w:val="center"/>
              <w:spacing w:line="283" w:lineRule="atLeast"/>
              <w:widowControl w:val="off"/>
              <w:rPr>
                <w:rFonts w:ascii="Times New Roman" w:hAnsi="Times New Roman" w:cs="Times New Roman"/>
                <w:highlight w:val="white"/>
              </w:rPr>
              <w:suppressLineNumbers w:val="0"/>
            </w:pPr>
            <w:r>
              <w:rPr>
                <w:rFonts w:ascii="Times New Roman" w:hAnsi="Times New Roman" w:cs="Times New Roman"/>
                <w:color w:val="000000"/>
                <w:sz w:val="24"/>
                <w:szCs w:val="24"/>
                <w:highlight w:val="white"/>
              </w:rPr>
              <w:t xml:space="preserve">Курганная группа </w:t>
            </w:r>
            <w:r>
              <w:rPr>
                <w:rFonts w:ascii="Times New Roman" w:hAnsi="Times New Roman" w:cs="Times New Roman"/>
                <w:color w:val="000000"/>
                <w:sz w:val="24"/>
                <w:szCs w:val="24"/>
                <w:highlight w:val="white"/>
              </w:rPr>
              <w:t xml:space="preserve">(2 насыпи)</w:t>
            </w:r>
            <w:r>
              <w:rPr>
                <w:rFonts w:ascii="Times New Roman" w:hAnsi="Times New Roman" w:cs="Times New Roman"/>
                <w:highlight w:val="white"/>
              </w:rPr>
            </w:r>
            <w:r/>
          </w:p>
        </w:tc>
        <w:tc>
          <w:tcPr>
            <w:tcBorders>
              <w:top w:val="single" w:color="000000" w:sz="4" w:space="0"/>
              <w:left w:val="single" w:color="000000" w:sz="4" w:space="0"/>
              <w:bottom w:val="single" w:color="000000" w:sz="4" w:space="0"/>
              <w:right w:val="single" w:color="000000" w:sz="4" w:space="0"/>
            </w:tcBorders>
            <w:tcW w:w="6000" w:type="dxa"/>
            <w:vAlign w:val="center"/>
            <w:textDirection w:val="lrTb"/>
            <w:noWrap w:val="false"/>
          </w:tcPr>
          <w:p>
            <w:pPr>
              <w:jc w:val="center"/>
            </w:pPr>
            <w:r>
              <w:rPr>
                <w:rFonts w:ascii="Times New Roman" w:hAnsi="Times New Roman" w:cs="Times New Roman"/>
                <w:highlight w:val="none"/>
              </w:rPr>
              <w:t xml:space="preserve">-</w:t>
            </w:r>
            <w:r/>
          </w:p>
        </w:tc>
      </w:tr>
      <w:tr>
        <w:trPr>
          <w:jc w:val="center"/>
        </w:trPr>
        <w:tc>
          <w:tcPr>
            <w:tcBorders>
              <w:top w:val="single" w:color="000000" w:sz="4" w:space="0"/>
              <w:left w:val="single" w:color="000000" w:sz="4" w:space="0"/>
              <w:bottom w:val="single" w:color="000000" w:sz="4" w:space="0"/>
              <w:right w:val="none" w:color="000000" w:sz="4" w:space="0"/>
            </w:tcBorders>
            <w:tcW w:w="2059" w:type="dxa"/>
            <w:vAlign w:val="center"/>
            <w:textDirection w:val="lrTb"/>
            <w:noWrap w:val="false"/>
          </w:tcPr>
          <w:p>
            <w:pPr>
              <w:numPr>
                <w:ilvl w:val="0"/>
                <w:numId w:val="32"/>
              </w:numPr>
              <w:jc w:val="center"/>
              <w:rPr>
                <w:rFonts w:ascii="Times New Roman" w:hAnsi="Times New Roman" w:cs="Times New Roman"/>
                <w:highlight w:val="white"/>
              </w:rPr>
            </w:pPr>
            <w:r>
              <w:rPr>
                <w:rFonts w:ascii="Times New Roman" w:hAnsi="Times New Roman" w:cs="Times New Roman"/>
                <w:b/>
                <w:sz w:val="24"/>
                <w:szCs w:val="24"/>
                <w:highlight w:val="white"/>
              </w:rPr>
            </w:r>
            <w:r>
              <w:rPr>
                <w:rFonts w:ascii="Times New Roman" w:hAnsi="Times New Roman" w:cs="Times New Roman"/>
                <w:bCs/>
                <w:highlight w:val="white"/>
              </w:rPr>
            </w:r>
            <w:r/>
          </w:p>
        </w:tc>
        <w:tc>
          <w:tcPr>
            <w:tcBorders>
              <w:top w:val="single" w:color="000000" w:sz="4" w:space="0"/>
              <w:left w:val="single" w:color="000000" w:sz="4" w:space="0"/>
              <w:bottom w:val="single" w:color="000000" w:sz="4" w:space="0"/>
              <w:right w:val="single" w:color="000000" w:sz="4" w:space="0"/>
            </w:tcBorders>
            <w:tcW w:w="5811" w:type="dxa"/>
            <w:vAlign w:val="center"/>
            <w:textDirection w:val="lrTb"/>
            <w:noWrap w:val="false"/>
          </w:tcPr>
          <w:p>
            <w:pPr>
              <w:contextualSpacing w:val="0"/>
              <w:jc w:val="center"/>
              <w:spacing w:line="283" w:lineRule="atLeast"/>
              <w:widowControl w:val="off"/>
              <w:rPr>
                <w:rFonts w:ascii="Times New Roman" w:hAnsi="Times New Roman" w:cs="Times New Roman"/>
                <w:highlight w:val="white"/>
              </w:rPr>
              <w:suppressLineNumbers w:val="0"/>
            </w:pPr>
            <w:r>
              <w:rPr>
                <w:rFonts w:ascii="Times New Roman" w:hAnsi="Times New Roman" w:cs="Times New Roman"/>
                <w:color w:val="000000"/>
                <w:sz w:val="24"/>
                <w:szCs w:val="24"/>
                <w:highlight w:val="white"/>
              </w:rPr>
              <w:t xml:space="preserve">Курганная группа </w:t>
            </w:r>
            <w:r>
              <w:rPr>
                <w:rFonts w:ascii="Times New Roman" w:hAnsi="Times New Roman" w:cs="Times New Roman"/>
                <w:color w:val="000000"/>
                <w:sz w:val="24"/>
                <w:szCs w:val="24"/>
                <w:highlight w:val="white"/>
              </w:rPr>
              <w:t xml:space="preserve">(2 насыпи)</w:t>
            </w:r>
            <w:r>
              <w:rPr>
                <w:rFonts w:ascii="Times New Roman" w:hAnsi="Times New Roman" w:cs="Times New Roman"/>
                <w:highlight w:val="white"/>
              </w:rPr>
            </w:r>
            <w:r/>
          </w:p>
        </w:tc>
        <w:tc>
          <w:tcPr>
            <w:tcBorders>
              <w:top w:val="single" w:color="000000" w:sz="4" w:space="0"/>
              <w:left w:val="single" w:color="000000" w:sz="4" w:space="0"/>
              <w:bottom w:val="single" w:color="000000" w:sz="4" w:space="0"/>
              <w:right w:val="single" w:color="000000" w:sz="4" w:space="0"/>
            </w:tcBorders>
            <w:tcW w:w="6000" w:type="dxa"/>
            <w:vAlign w:val="center"/>
            <w:textDirection w:val="lrTb"/>
            <w:noWrap w:val="false"/>
          </w:tcPr>
          <w:p>
            <w:pPr>
              <w:jc w:val="center"/>
            </w:pPr>
            <w:r>
              <w:rPr>
                <w:rFonts w:ascii="Times New Roman" w:hAnsi="Times New Roman" w:cs="Times New Roman"/>
                <w:highlight w:val="none"/>
              </w:rPr>
              <w:t xml:space="preserve">-</w:t>
            </w:r>
            <w:r/>
          </w:p>
        </w:tc>
      </w:tr>
      <w:tr>
        <w:trPr>
          <w:jc w:val="center"/>
        </w:trPr>
        <w:tc>
          <w:tcPr>
            <w:tcBorders>
              <w:top w:val="single" w:color="000000" w:sz="4" w:space="0"/>
              <w:left w:val="single" w:color="000000" w:sz="4" w:space="0"/>
              <w:bottom w:val="single" w:color="000000" w:sz="4" w:space="0"/>
              <w:right w:val="none" w:color="000000" w:sz="4" w:space="0"/>
            </w:tcBorders>
            <w:tcW w:w="2059" w:type="dxa"/>
            <w:vAlign w:val="center"/>
            <w:textDirection w:val="lrTb"/>
            <w:noWrap w:val="false"/>
          </w:tcPr>
          <w:p>
            <w:pPr>
              <w:numPr>
                <w:ilvl w:val="0"/>
                <w:numId w:val="32"/>
              </w:numPr>
              <w:jc w:val="center"/>
              <w:rPr>
                <w:rFonts w:ascii="Times New Roman" w:hAnsi="Times New Roman" w:cs="Times New Roman"/>
                <w:highlight w:val="white"/>
              </w:rPr>
            </w:pPr>
            <w:r>
              <w:rPr>
                <w:rFonts w:ascii="Times New Roman" w:hAnsi="Times New Roman" w:cs="Times New Roman"/>
                <w:b/>
                <w:sz w:val="24"/>
                <w:szCs w:val="24"/>
                <w:highlight w:val="white"/>
              </w:rPr>
            </w:r>
            <w:r>
              <w:rPr>
                <w:rFonts w:ascii="Times New Roman" w:hAnsi="Times New Roman" w:cs="Times New Roman"/>
                <w:bCs/>
                <w:highlight w:val="white"/>
              </w:rPr>
            </w:r>
            <w:r/>
          </w:p>
        </w:tc>
        <w:tc>
          <w:tcPr>
            <w:tcBorders>
              <w:top w:val="single" w:color="000000" w:sz="4" w:space="0"/>
              <w:left w:val="single" w:color="000000" w:sz="4" w:space="0"/>
              <w:bottom w:val="single" w:color="000000" w:sz="4" w:space="0"/>
              <w:right w:val="single" w:color="000000" w:sz="4" w:space="0"/>
            </w:tcBorders>
            <w:tcW w:w="5811" w:type="dxa"/>
            <w:vAlign w:val="center"/>
            <w:textDirection w:val="lrTb"/>
            <w:noWrap w:val="false"/>
          </w:tcPr>
          <w:p>
            <w:pPr>
              <w:contextualSpacing w:val="0"/>
              <w:jc w:val="center"/>
              <w:spacing w:line="283" w:lineRule="atLeast"/>
              <w:widowControl w:val="off"/>
              <w:rPr>
                <w:rFonts w:ascii="Times New Roman" w:hAnsi="Times New Roman" w:cs="Times New Roman"/>
                <w:color w:val="000000"/>
                <w:highlight w:val="white"/>
              </w:rPr>
              <w:suppressLineNumbers w:val="0"/>
            </w:pPr>
            <w:r>
              <w:rPr>
                <w:rFonts w:ascii="Times New Roman" w:hAnsi="Times New Roman" w:cs="Times New Roman"/>
                <w:color w:val="000000"/>
                <w:sz w:val="24"/>
                <w:szCs w:val="24"/>
                <w:highlight w:val="white"/>
              </w:rPr>
              <w:t xml:space="preserve">Курган</w:t>
            </w:r>
            <w:r>
              <w:rPr>
                <w:rFonts w:ascii="Times New Roman" w:hAnsi="Times New Roman" w:cs="Times New Roman"/>
                <w:color w:val="000000"/>
                <w:highlight w:val="white"/>
              </w:rPr>
            </w:r>
            <w:r/>
          </w:p>
        </w:tc>
        <w:tc>
          <w:tcPr>
            <w:tcBorders>
              <w:top w:val="single" w:color="000000" w:sz="4" w:space="0"/>
              <w:left w:val="single" w:color="000000" w:sz="4" w:space="0"/>
              <w:bottom w:val="single" w:color="000000" w:sz="4" w:space="0"/>
              <w:right w:val="single" w:color="000000" w:sz="4" w:space="0"/>
            </w:tcBorders>
            <w:tcW w:w="6000" w:type="dxa"/>
            <w:vAlign w:val="center"/>
            <w:textDirection w:val="lrTb"/>
            <w:noWrap w:val="false"/>
          </w:tcPr>
          <w:p>
            <w:pPr>
              <w:jc w:val="center"/>
            </w:pPr>
            <w:r>
              <w:rPr>
                <w:rFonts w:ascii="Times New Roman" w:hAnsi="Times New Roman" w:cs="Times New Roman"/>
                <w:highlight w:val="none"/>
              </w:rPr>
              <w:t xml:space="preserve">-</w:t>
            </w:r>
            <w:r/>
          </w:p>
        </w:tc>
      </w:tr>
      <w:tr>
        <w:trPr>
          <w:jc w:val="center"/>
        </w:trPr>
        <w:tc>
          <w:tcPr>
            <w:tcBorders>
              <w:top w:val="single" w:color="000000" w:sz="4" w:space="0"/>
              <w:left w:val="single" w:color="000000" w:sz="4" w:space="0"/>
              <w:bottom w:val="single" w:color="000000" w:sz="4" w:space="0"/>
              <w:right w:val="none" w:color="000000" w:sz="4" w:space="0"/>
            </w:tcBorders>
            <w:tcW w:w="2059" w:type="dxa"/>
            <w:vAlign w:val="center"/>
            <w:textDirection w:val="lrTb"/>
            <w:noWrap w:val="false"/>
          </w:tcPr>
          <w:p>
            <w:pPr>
              <w:numPr>
                <w:ilvl w:val="0"/>
                <w:numId w:val="32"/>
              </w:numPr>
              <w:jc w:val="center"/>
              <w:rPr>
                <w:rFonts w:ascii="Times New Roman" w:hAnsi="Times New Roman" w:cs="Times New Roman"/>
                <w:highlight w:val="white"/>
              </w:rPr>
            </w:pPr>
            <w:r>
              <w:rPr>
                <w:rFonts w:ascii="Times New Roman" w:hAnsi="Times New Roman" w:cs="Times New Roman"/>
                <w:b/>
                <w:sz w:val="24"/>
                <w:szCs w:val="24"/>
                <w:highlight w:val="white"/>
              </w:rPr>
            </w:r>
            <w:r>
              <w:rPr>
                <w:rFonts w:ascii="Times New Roman" w:hAnsi="Times New Roman" w:cs="Times New Roman"/>
                <w:bCs/>
                <w:highlight w:val="white"/>
              </w:rPr>
            </w:r>
            <w:r/>
          </w:p>
        </w:tc>
        <w:tc>
          <w:tcPr>
            <w:tcBorders>
              <w:top w:val="single" w:color="000000" w:sz="4" w:space="0"/>
              <w:left w:val="single" w:color="000000" w:sz="4" w:space="0"/>
              <w:bottom w:val="single" w:color="000000" w:sz="4" w:space="0"/>
              <w:right w:val="single" w:color="000000" w:sz="4" w:space="0"/>
            </w:tcBorders>
            <w:tcW w:w="5811" w:type="dxa"/>
            <w:vAlign w:val="center"/>
            <w:textDirection w:val="lrTb"/>
            <w:noWrap w:val="false"/>
          </w:tcPr>
          <w:p>
            <w:pPr>
              <w:contextualSpacing w:val="0"/>
              <w:jc w:val="center"/>
              <w:spacing w:line="283" w:lineRule="atLeast"/>
              <w:widowControl w:val="off"/>
              <w:rPr>
                <w:rFonts w:ascii="Times New Roman" w:hAnsi="Times New Roman" w:cs="Times New Roman"/>
                <w:color w:val="000000"/>
                <w:highlight w:val="white"/>
              </w:rPr>
              <w:suppressLineNumbers w:val="0"/>
            </w:pPr>
            <w:r>
              <w:rPr>
                <w:rFonts w:ascii="Times New Roman" w:hAnsi="Times New Roman" w:cs="Times New Roman"/>
                <w:color w:val="000000"/>
                <w:sz w:val="24"/>
                <w:szCs w:val="24"/>
                <w:highlight w:val="white"/>
              </w:rPr>
              <w:t xml:space="preserve">Курган</w:t>
            </w:r>
            <w:r>
              <w:rPr>
                <w:rFonts w:ascii="Times New Roman" w:hAnsi="Times New Roman" w:cs="Times New Roman"/>
                <w:color w:val="000000"/>
                <w:highlight w:val="white"/>
              </w:rPr>
            </w:r>
            <w:r/>
          </w:p>
        </w:tc>
        <w:tc>
          <w:tcPr>
            <w:tcBorders>
              <w:top w:val="single" w:color="000000" w:sz="4" w:space="0"/>
              <w:left w:val="single" w:color="000000" w:sz="4" w:space="0"/>
              <w:bottom w:val="single" w:color="000000" w:sz="4" w:space="0"/>
              <w:right w:val="single" w:color="000000" w:sz="4" w:space="0"/>
            </w:tcBorders>
            <w:tcW w:w="6000" w:type="dxa"/>
            <w:vAlign w:val="center"/>
            <w:textDirection w:val="lrTb"/>
            <w:noWrap w:val="false"/>
          </w:tcPr>
          <w:p>
            <w:pPr>
              <w:jc w:val="center"/>
            </w:pPr>
            <w:r>
              <w:rPr>
                <w:rFonts w:ascii="Times New Roman" w:hAnsi="Times New Roman" w:cs="Times New Roman"/>
                <w:highlight w:val="none"/>
              </w:rPr>
              <w:t xml:space="preserve">-</w:t>
            </w:r>
            <w:r/>
          </w:p>
        </w:tc>
      </w:tr>
      <w:tr>
        <w:trPr>
          <w:jc w:val="center"/>
        </w:trPr>
        <w:tc>
          <w:tcPr>
            <w:tcBorders>
              <w:top w:val="single" w:color="000000" w:sz="4" w:space="0"/>
              <w:left w:val="single" w:color="000000" w:sz="4" w:space="0"/>
              <w:bottom w:val="single" w:color="000000" w:sz="4" w:space="0"/>
              <w:right w:val="none" w:color="000000" w:sz="4" w:space="0"/>
            </w:tcBorders>
            <w:tcW w:w="2059" w:type="dxa"/>
            <w:vAlign w:val="center"/>
            <w:textDirection w:val="lrTb"/>
            <w:noWrap w:val="false"/>
          </w:tcPr>
          <w:p>
            <w:pPr>
              <w:numPr>
                <w:ilvl w:val="0"/>
                <w:numId w:val="32"/>
              </w:numPr>
              <w:jc w:val="center"/>
              <w:rPr>
                <w:rFonts w:ascii="Times New Roman" w:hAnsi="Times New Roman" w:cs="Times New Roman"/>
                <w:highlight w:val="white"/>
              </w:rPr>
            </w:pPr>
            <w:r>
              <w:rPr>
                <w:rFonts w:ascii="Times New Roman" w:hAnsi="Times New Roman" w:cs="Times New Roman"/>
                <w:b/>
                <w:sz w:val="24"/>
                <w:szCs w:val="24"/>
                <w:highlight w:val="white"/>
              </w:rPr>
            </w:r>
            <w:r>
              <w:rPr>
                <w:rFonts w:ascii="Times New Roman" w:hAnsi="Times New Roman" w:cs="Times New Roman"/>
                <w:bCs/>
                <w:highlight w:val="white"/>
              </w:rPr>
            </w:r>
            <w:r/>
          </w:p>
        </w:tc>
        <w:tc>
          <w:tcPr>
            <w:tcBorders>
              <w:top w:val="single" w:color="000000" w:sz="4" w:space="0"/>
              <w:left w:val="single" w:color="000000" w:sz="4" w:space="0"/>
              <w:bottom w:val="single" w:color="000000" w:sz="4" w:space="0"/>
              <w:right w:val="single" w:color="000000" w:sz="4" w:space="0"/>
            </w:tcBorders>
            <w:tcW w:w="5811" w:type="dxa"/>
            <w:vAlign w:val="center"/>
            <w:textDirection w:val="lrTb"/>
            <w:noWrap w:val="false"/>
          </w:tcPr>
          <w:p>
            <w:pPr>
              <w:contextualSpacing w:val="0"/>
              <w:jc w:val="center"/>
              <w:spacing w:line="283" w:lineRule="atLeast"/>
              <w:widowControl w:val="off"/>
              <w:rPr>
                <w:rFonts w:ascii="Times New Roman" w:hAnsi="Times New Roman" w:cs="Times New Roman"/>
                <w:color w:val="000000"/>
                <w:highlight w:val="white"/>
              </w:rPr>
              <w:suppressLineNumbers w:val="0"/>
            </w:pPr>
            <w:r>
              <w:rPr>
                <w:rFonts w:ascii="Times New Roman" w:hAnsi="Times New Roman" w:cs="Times New Roman"/>
                <w:color w:val="000000"/>
                <w:sz w:val="24"/>
                <w:szCs w:val="24"/>
                <w:highlight w:val="white"/>
              </w:rPr>
              <w:t xml:space="preserve">Курган</w:t>
            </w:r>
            <w:r>
              <w:rPr>
                <w:rFonts w:ascii="Times New Roman" w:hAnsi="Times New Roman" w:cs="Times New Roman"/>
                <w:color w:val="000000"/>
                <w:highlight w:val="white"/>
              </w:rPr>
            </w:r>
            <w:r/>
          </w:p>
        </w:tc>
        <w:tc>
          <w:tcPr>
            <w:tcBorders>
              <w:top w:val="single" w:color="000000" w:sz="4" w:space="0"/>
              <w:left w:val="single" w:color="000000" w:sz="4" w:space="0"/>
              <w:bottom w:val="single" w:color="000000" w:sz="4" w:space="0"/>
              <w:right w:val="single" w:color="000000" w:sz="4" w:space="0"/>
            </w:tcBorders>
            <w:tcW w:w="6000" w:type="dxa"/>
            <w:vAlign w:val="center"/>
            <w:textDirection w:val="lrTb"/>
            <w:noWrap w:val="false"/>
          </w:tcPr>
          <w:p>
            <w:pPr>
              <w:jc w:val="center"/>
            </w:pPr>
            <w:r>
              <w:rPr>
                <w:rFonts w:ascii="Times New Roman" w:hAnsi="Times New Roman" w:cs="Times New Roman"/>
                <w:highlight w:val="none"/>
              </w:rPr>
              <w:t xml:space="preserve">-</w:t>
            </w:r>
            <w:r/>
          </w:p>
        </w:tc>
      </w:tr>
      <w:tr>
        <w:trPr>
          <w:jc w:val="center"/>
        </w:trPr>
        <w:tc>
          <w:tcPr>
            <w:tcBorders>
              <w:top w:val="single" w:color="000000" w:sz="4" w:space="0"/>
              <w:left w:val="single" w:color="000000" w:sz="4" w:space="0"/>
              <w:bottom w:val="single" w:color="000000" w:sz="4" w:space="0"/>
              <w:right w:val="none" w:color="000000" w:sz="4" w:space="0"/>
            </w:tcBorders>
            <w:tcW w:w="2059" w:type="dxa"/>
            <w:vAlign w:val="center"/>
            <w:textDirection w:val="lrTb"/>
            <w:noWrap w:val="false"/>
          </w:tcPr>
          <w:p>
            <w:pPr>
              <w:numPr>
                <w:ilvl w:val="0"/>
                <w:numId w:val="32"/>
              </w:numPr>
              <w:jc w:val="center"/>
              <w:rPr>
                <w:rFonts w:ascii="Times New Roman" w:hAnsi="Times New Roman" w:cs="Times New Roman"/>
                <w:highlight w:val="white"/>
              </w:rPr>
            </w:pPr>
            <w:r>
              <w:rPr>
                <w:rFonts w:ascii="Times New Roman" w:hAnsi="Times New Roman" w:cs="Times New Roman"/>
                <w:b/>
                <w:sz w:val="24"/>
                <w:szCs w:val="24"/>
                <w:highlight w:val="white"/>
              </w:rPr>
            </w:r>
            <w:r>
              <w:rPr>
                <w:rFonts w:ascii="Times New Roman" w:hAnsi="Times New Roman" w:cs="Times New Roman"/>
                <w:bCs/>
                <w:highlight w:val="white"/>
              </w:rPr>
            </w:r>
            <w:r/>
          </w:p>
        </w:tc>
        <w:tc>
          <w:tcPr>
            <w:tcBorders>
              <w:top w:val="single" w:color="000000" w:sz="4" w:space="0"/>
              <w:left w:val="single" w:color="000000" w:sz="4" w:space="0"/>
              <w:bottom w:val="single" w:color="000000" w:sz="4" w:space="0"/>
              <w:right w:val="single" w:color="000000" w:sz="4" w:space="0"/>
            </w:tcBorders>
            <w:tcW w:w="5811" w:type="dxa"/>
            <w:vAlign w:val="center"/>
            <w:textDirection w:val="lrTb"/>
            <w:noWrap w:val="false"/>
          </w:tcPr>
          <w:p>
            <w:pPr>
              <w:contextualSpacing w:val="0"/>
              <w:jc w:val="center"/>
              <w:spacing w:line="283" w:lineRule="atLeast"/>
              <w:widowControl w:val="off"/>
              <w:rPr>
                <w:rFonts w:ascii="Times New Roman" w:hAnsi="Times New Roman" w:cs="Times New Roman"/>
                <w:color w:val="000000"/>
                <w:highlight w:val="white"/>
              </w:rPr>
              <w:suppressLineNumbers w:val="0"/>
            </w:pPr>
            <w:r>
              <w:rPr>
                <w:rFonts w:ascii="Times New Roman" w:hAnsi="Times New Roman" w:cs="Times New Roman"/>
                <w:color w:val="000000"/>
                <w:sz w:val="24"/>
                <w:szCs w:val="24"/>
                <w:highlight w:val="white"/>
              </w:rPr>
              <w:t xml:space="preserve">Курган</w:t>
            </w:r>
            <w:r>
              <w:rPr>
                <w:rFonts w:ascii="Times New Roman" w:hAnsi="Times New Roman" w:cs="Times New Roman"/>
                <w:color w:val="000000"/>
                <w:highlight w:val="white"/>
              </w:rPr>
            </w:r>
            <w:r/>
          </w:p>
        </w:tc>
        <w:tc>
          <w:tcPr>
            <w:tcBorders>
              <w:top w:val="single" w:color="000000" w:sz="4" w:space="0"/>
              <w:left w:val="single" w:color="000000" w:sz="4" w:space="0"/>
              <w:bottom w:val="single" w:color="000000" w:sz="4" w:space="0"/>
              <w:right w:val="single" w:color="000000" w:sz="4" w:space="0"/>
            </w:tcBorders>
            <w:tcW w:w="6000" w:type="dxa"/>
            <w:vAlign w:val="center"/>
            <w:textDirection w:val="lrTb"/>
            <w:noWrap w:val="false"/>
          </w:tcPr>
          <w:p>
            <w:pPr>
              <w:jc w:val="center"/>
            </w:pPr>
            <w:r>
              <w:rPr>
                <w:rFonts w:ascii="Times New Roman" w:hAnsi="Times New Roman" w:cs="Times New Roman"/>
                <w:highlight w:val="none"/>
              </w:rPr>
              <w:t xml:space="preserve">-</w:t>
            </w:r>
            <w:r/>
          </w:p>
        </w:tc>
      </w:tr>
      <w:tr>
        <w:trPr>
          <w:jc w:val="center"/>
        </w:trPr>
        <w:tc>
          <w:tcPr>
            <w:tcBorders>
              <w:top w:val="single" w:color="000000" w:sz="4" w:space="0"/>
              <w:left w:val="single" w:color="000000" w:sz="4" w:space="0"/>
              <w:bottom w:val="single" w:color="000000" w:sz="4" w:space="0"/>
              <w:right w:val="none" w:color="000000" w:sz="4" w:space="0"/>
            </w:tcBorders>
            <w:tcW w:w="2059" w:type="dxa"/>
            <w:vAlign w:val="center"/>
            <w:textDirection w:val="lrTb"/>
            <w:noWrap w:val="false"/>
          </w:tcPr>
          <w:p>
            <w:pPr>
              <w:numPr>
                <w:ilvl w:val="0"/>
                <w:numId w:val="32"/>
              </w:numPr>
              <w:jc w:val="center"/>
              <w:rPr>
                <w:rFonts w:ascii="Times New Roman" w:hAnsi="Times New Roman" w:cs="Times New Roman"/>
                <w:highlight w:val="white"/>
              </w:rPr>
            </w:pPr>
            <w:r>
              <w:rPr>
                <w:rFonts w:ascii="Times New Roman" w:hAnsi="Times New Roman" w:cs="Times New Roman"/>
                <w:b/>
                <w:sz w:val="24"/>
                <w:szCs w:val="24"/>
                <w:highlight w:val="white"/>
              </w:rPr>
            </w:r>
            <w:r>
              <w:rPr>
                <w:rFonts w:ascii="Times New Roman" w:hAnsi="Times New Roman" w:cs="Times New Roman"/>
                <w:bCs/>
                <w:highlight w:val="white"/>
              </w:rPr>
            </w:r>
            <w:r/>
          </w:p>
        </w:tc>
        <w:tc>
          <w:tcPr>
            <w:tcBorders>
              <w:top w:val="single" w:color="000000" w:sz="4" w:space="0"/>
              <w:left w:val="single" w:color="000000" w:sz="4" w:space="0"/>
              <w:bottom w:val="single" w:color="000000" w:sz="4" w:space="0"/>
              <w:right w:val="single" w:color="000000" w:sz="4" w:space="0"/>
            </w:tcBorders>
            <w:tcW w:w="5811" w:type="dxa"/>
            <w:vAlign w:val="center"/>
            <w:textDirection w:val="lrTb"/>
            <w:noWrap w:val="false"/>
          </w:tcPr>
          <w:p>
            <w:pPr>
              <w:contextualSpacing w:val="0"/>
              <w:jc w:val="center"/>
              <w:spacing w:line="283" w:lineRule="atLeast"/>
              <w:widowControl w:val="off"/>
              <w:rPr>
                <w:rFonts w:ascii="Times New Roman" w:hAnsi="Times New Roman" w:cs="Times New Roman"/>
                <w:highlight w:val="white"/>
              </w:rPr>
              <w:suppressLineNumbers w:val="0"/>
            </w:pPr>
            <w:r>
              <w:rPr>
                <w:rFonts w:ascii="Times New Roman" w:hAnsi="Times New Roman" w:cs="Times New Roman"/>
                <w:color w:val="000000"/>
                <w:sz w:val="24"/>
                <w:szCs w:val="24"/>
                <w:highlight w:val="white"/>
              </w:rPr>
              <w:t xml:space="preserve">Городище №1 </w:t>
            </w:r>
            <w:r>
              <w:rPr>
                <w:rFonts w:ascii="Times New Roman" w:hAnsi="Times New Roman" w:cs="Times New Roman"/>
                <w:color w:val="000000"/>
                <w:sz w:val="24"/>
                <w:szCs w:val="24"/>
                <w:highlight w:val="white"/>
              </w:rPr>
              <w:t xml:space="preserve">"Кадушкино"</w:t>
            </w:r>
            <w:r>
              <w:rPr>
                <w:rFonts w:ascii="Times New Roman" w:hAnsi="Times New Roman" w:cs="Times New Roman"/>
                <w:highlight w:val="white"/>
              </w:rPr>
            </w:r>
            <w:r/>
          </w:p>
        </w:tc>
        <w:tc>
          <w:tcPr>
            <w:tcBorders>
              <w:top w:val="single" w:color="000000" w:sz="4" w:space="0"/>
              <w:left w:val="single" w:color="000000" w:sz="4" w:space="0"/>
              <w:bottom w:val="single" w:color="000000" w:sz="4" w:space="0"/>
              <w:right w:val="single" w:color="000000" w:sz="4" w:space="0"/>
            </w:tcBorders>
            <w:tcW w:w="6000" w:type="dxa"/>
            <w:vAlign w:val="center"/>
            <w:textDirection w:val="lrTb"/>
            <w:noWrap w:val="false"/>
          </w:tcPr>
          <w:p>
            <w:pPr>
              <w:jc w:val="center"/>
            </w:pPr>
            <w:r>
              <w:rPr>
                <w:rFonts w:ascii="Times New Roman" w:hAnsi="Times New Roman" w:cs="Times New Roman"/>
                <w:highlight w:val="none"/>
              </w:rPr>
              <w:t xml:space="preserve">-</w:t>
            </w:r>
            <w:r/>
          </w:p>
        </w:tc>
      </w:tr>
      <w:tr>
        <w:trPr>
          <w:jc w:val="center"/>
        </w:trPr>
        <w:tc>
          <w:tcPr>
            <w:tcBorders>
              <w:top w:val="single" w:color="000000" w:sz="4" w:space="0"/>
              <w:left w:val="single" w:color="000000" w:sz="4" w:space="0"/>
              <w:bottom w:val="single" w:color="000000" w:sz="4" w:space="0"/>
              <w:right w:val="none" w:color="000000" w:sz="4" w:space="0"/>
            </w:tcBorders>
            <w:tcW w:w="2059" w:type="dxa"/>
            <w:vAlign w:val="center"/>
            <w:textDirection w:val="lrTb"/>
            <w:noWrap w:val="false"/>
          </w:tcPr>
          <w:p>
            <w:pPr>
              <w:numPr>
                <w:ilvl w:val="0"/>
                <w:numId w:val="32"/>
              </w:numPr>
              <w:jc w:val="center"/>
              <w:rPr>
                <w:rFonts w:ascii="Times New Roman" w:hAnsi="Times New Roman" w:cs="Times New Roman"/>
                <w:highlight w:val="white"/>
              </w:rPr>
            </w:pPr>
            <w:r>
              <w:rPr>
                <w:rFonts w:ascii="Times New Roman" w:hAnsi="Times New Roman" w:cs="Times New Roman"/>
                <w:b/>
                <w:sz w:val="24"/>
                <w:szCs w:val="24"/>
                <w:highlight w:val="white"/>
              </w:rPr>
            </w:r>
            <w:r>
              <w:rPr>
                <w:rFonts w:ascii="Times New Roman" w:hAnsi="Times New Roman" w:cs="Times New Roman"/>
                <w:bCs/>
                <w:highlight w:val="white"/>
              </w:rPr>
            </w:r>
            <w:r/>
          </w:p>
        </w:tc>
        <w:tc>
          <w:tcPr>
            <w:tcBorders>
              <w:top w:val="single" w:color="000000" w:sz="4" w:space="0"/>
              <w:left w:val="single" w:color="000000" w:sz="4" w:space="0"/>
              <w:bottom w:val="single" w:color="000000" w:sz="4" w:space="0"/>
              <w:right w:val="single" w:color="000000" w:sz="4" w:space="0"/>
            </w:tcBorders>
            <w:tcW w:w="5811" w:type="dxa"/>
            <w:vAlign w:val="center"/>
            <w:textDirection w:val="lrTb"/>
            <w:noWrap w:val="false"/>
          </w:tcPr>
          <w:p>
            <w:pPr>
              <w:contextualSpacing w:val="0"/>
              <w:jc w:val="center"/>
              <w:spacing w:line="283" w:lineRule="atLeast"/>
              <w:widowControl w:val="off"/>
              <w:rPr>
                <w:rFonts w:ascii="Times New Roman" w:hAnsi="Times New Roman" w:cs="Times New Roman"/>
                <w:color w:val="000000"/>
                <w:highlight w:val="white"/>
              </w:rPr>
              <w:suppressLineNumbers w:val="0"/>
            </w:pPr>
            <w:r>
              <w:rPr>
                <w:rFonts w:ascii="Times New Roman" w:hAnsi="Times New Roman" w:cs="Times New Roman"/>
                <w:color w:val="000000"/>
                <w:sz w:val="24"/>
                <w:szCs w:val="24"/>
                <w:highlight w:val="white"/>
              </w:rPr>
              <w:t xml:space="preserve">Городище №2</w:t>
            </w:r>
            <w:r>
              <w:rPr>
                <w:rFonts w:ascii="Times New Roman" w:hAnsi="Times New Roman" w:cs="Times New Roman"/>
                <w:color w:val="000000"/>
                <w:highlight w:val="white"/>
              </w:rPr>
            </w:r>
            <w:r/>
          </w:p>
        </w:tc>
        <w:tc>
          <w:tcPr>
            <w:tcBorders>
              <w:top w:val="single" w:color="000000" w:sz="4" w:space="0"/>
              <w:left w:val="single" w:color="000000" w:sz="4" w:space="0"/>
              <w:bottom w:val="single" w:color="000000" w:sz="4" w:space="0"/>
              <w:right w:val="single" w:color="000000" w:sz="4" w:space="0"/>
            </w:tcBorders>
            <w:tcW w:w="6000" w:type="dxa"/>
            <w:vAlign w:val="center"/>
            <w:textDirection w:val="lrTb"/>
            <w:noWrap w:val="false"/>
          </w:tcPr>
          <w:p>
            <w:pPr>
              <w:jc w:val="center"/>
            </w:pPr>
            <w:r>
              <w:rPr>
                <w:rFonts w:ascii="Times New Roman" w:hAnsi="Times New Roman" w:cs="Times New Roman"/>
                <w:highlight w:val="none"/>
              </w:rPr>
              <w:t xml:space="preserve">-</w:t>
            </w:r>
            <w:r/>
          </w:p>
        </w:tc>
      </w:tr>
      <w:tr>
        <w:trPr>
          <w:jc w:val="center"/>
        </w:trPr>
        <w:tc>
          <w:tcPr>
            <w:tcBorders>
              <w:top w:val="single" w:color="000000" w:sz="4" w:space="0"/>
              <w:left w:val="single" w:color="000000" w:sz="4" w:space="0"/>
              <w:bottom w:val="single" w:color="000000" w:sz="4" w:space="0"/>
              <w:right w:val="none" w:color="000000" w:sz="4" w:space="0"/>
            </w:tcBorders>
            <w:tcW w:w="2059" w:type="dxa"/>
            <w:vAlign w:val="center"/>
            <w:textDirection w:val="lrTb"/>
            <w:noWrap w:val="false"/>
          </w:tcPr>
          <w:p>
            <w:pPr>
              <w:numPr>
                <w:ilvl w:val="0"/>
                <w:numId w:val="32"/>
              </w:numPr>
              <w:jc w:val="center"/>
              <w:rPr>
                <w:rFonts w:ascii="Times New Roman" w:hAnsi="Times New Roman" w:cs="Times New Roman"/>
                <w:highlight w:val="white"/>
              </w:rPr>
            </w:pPr>
            <w:r>
              <w:rPr>
                <w:rFonts w:ascii="Times New Roman" w:hAnsi="Times New Roman" w:cs="Times New Roman"/>
                <w:b/>
                <w:sz w:val="24"/>
                <w:szCs w:val="24"/>
                <w:highlight w:val="white"/>
              </w:rPr>
            </w:r>
            <w:r>
              <w:rPr>
                <w:rFonts w:ascii="Times New Roman" w:hAnsi="Times New Roman" w:cs="Times New Roman"/>
                <w:bCs/>
                <w:highlight w:val="white"/>
              </w:rPr>
            </w:r>
            <w:r/>
          </w:p>
        </w:tc>
        <w:tc>
          <w:tcPr>
            <w:tcBorders>
              <w:top w:val="single" w:color="000000" w:sz="4" w:space="0"/>
              <w:left w:val="single" w:color="000000" w:sz="4" w:space="0"/>
              <w:bottom w:val="single" w:color="000000" w:sz="4" w:space="0"/>
              <w:right w:val="single" w:color="000000" w:sz="4" w:space="0"/>
            </w:tcBorders>
            <w:tcW w:w="5811" w:type="dxa"/>
            <w:vAlign w:val="center"/>
            <w:textDirection w:val="lrTb"/>
            <w:noWrap w:val="false"/>
          </w:tcPr>
          <w:p>
            <w:pPr>
              <w:contextualSpacing w:val="0"/>
              <w:jc w:val="center"/>
              <w:spacing w:line="283" w:lineRule="atLeast"/>
              <w:widowControl w:val="off"/>
              <w:rPr>
                <w:rFonts w:ascii="Times New Roman" w:hAnsi="Times New Roman" w:cs="Times New Roman"/>
                <w:highlight w:val="white"/>
              </w:rPr>
              <w:suppressLineNumbers w:val="0"/>
            </w:pPr>
            <w:r>
              <w:rPr>
                <w:rFonts w:ascii="Times New Roman" w:hAnsi="Times New Roman" w:cs="Times New Roman"/>
                <w:color w:val="000000"/>
                <w:sz w:val="24"/>
                <w:szCs w:val="24"/>
                <w:highlight w:val="white"/>
              </w:rPr>
              <w:t xml:space="preserve">Городище №3 </w:t>
            </w:r>
            <w:r>
              <w:rPr>
                <w:rFonts w:ascii="Times New Roman" w:hAnsi="Times New Roman" w:cs="Times New Roman"/>
                <w:color w:val="000000"/>
                <w:sz w:val="24"/>
                <w:szCs w:val="24"/>
                <w:highlight w:val="white"/>
              </w:rPr>
              <w:t xml:space="preserve">"Кругляк"</w:t>
            </w:r>
            <w:r>
              <w:rPr>
                <w:rFonts w:ascii="Times New Roman" w:hAnsi="Times New Roman" w:cs="Times New Roman"/>
                <w:highlight w:val="white"/>
              </w:rPr>
            </w:r>
            <w:r/>
          </w:p>
        </w:tc>
        <w:tc>
          <w:tcPr>
            <w:tcBorders>
              <w:top w:val="single" w:color="000000" w:sz="4" w:space="0"/>
              <w:left w:val="single" w:color="000000" w:sz="4" w:space="0"/>
              <w:bottom w:val="single" w:color="000000" w:sz="4" w:space="0"/>
              <w:right w:val="single" w:color="000000" w:sz="4" w:space="0"/>
            </w:tcBorders>
            <w:tcW w:w="6000" w:type="dxa"/>
            <w:vAlign w:val="center"/>
            <w:textDirection w:val="lrTb"/>
            <w:noWrap w:val="false"/>
          </w:tcPr>
          <w:p>
            <w:pPr>
              <w:jc w:val="center"/>
            </w:pPr>
            <w:r>
              <w:rPr>
                <w:rFonts w:ascii="Times New Roman" w:hAnsi="Times New Roman" w:cs="Times New Roman"/>
                <w:highlight w:val="none"/>
              </w:rPr>
              <w:t xml:space="preserve">-</w:t>
            </w:r>
            <w:r/>
          </w:p>
        </w:tc>
      </w:tr>
      <w:tr>
        <w:trPr>
          <w:jc w:val="center"/>
        </w:trPr>
        <w:tc>
          <w:tcPr>
            <w:tcBorders>
              <w:top w:val="single" w:color="000000" w:sz="4" w:space="0"/>
              <w:left w:val="single" w:color="000000" w:sz="4" w:space="0"/>
              <w:bottom w:val="single" w:color="000000" w:sz="4" w:space="0"/>
              <w:right w:val="none" w:color="000000" w:sz="4" w:space="0"/>
            </w:tcBorders>
            <w:tcW w:w="2059" w:type="dxa"/>
            <w:vAlign w:val="center"/>
            <w:textDirection w:val="lrTb"/>
            <w:noWrap w:val="false"/>
          </w:tcPr>
          <w:p>
            <w:pPr>
              <w:numPr>
                <w:ilvl w:val="0"/>
                <w:numId w:val="32"/>
              </w:numPr>
              <w:jc w:val="center"/>
              <w:rPr>
                <w:rFonts w:ascii="Times New Roman" w:hAnsi="Times New Roman" w:cs="Times New Roman"/>
                <w:highlight w:val="white"/>
              </w:rPr>
            </w:pPr>
            <w:r>
              <w:rPr>
                <w:rFonts w:ascii="Times New Roman" w:hAnsi="Times New Roman" w:cs="Times New Roman"/>
                <w:b/>
                <w:sz w:val="24"/>
                <w:szCs w:val="24"/>
                <w:highlight w:val="white"/>
              </w:rPr>
            </w:r>
            <w:r>
              <w:rPr>
                <w:rFonts w:ascii="Times New Roman" w:hAnsi="Times New Roman" w:cs="Times New Roman"/>
                <w:bCs/>
                <w:highlight w:val="white"/>
              </w:rPr>
            </w:r>
            <w:r/>
          </w:p>
        </w:tc>
        <w:tc>
          <w:tcPr>
            <w:tcBorders>
              <w:top w:val="single" w:color="000000" w:sz="4" w:space="0"/>
              <w:left w:val="single" w:color="000000" w:sz="4" w:space="0"/>
              <w:bottom w:val="single" w:color="000000" w:sz="4" w:space="0"/>
              <w:right w:val="single" w:color="000000" w:sz="4" w:space="0"/>
            </w:tcBorders>
            <w:tcW w:w="5811" w:type="dxa"/>
            <w:vAlign w:val="center"/>
            <w:textDirection w:val="lrTb"/>
            <w:noWrap w:val="false"/>
          </w:tcPr>
          <w:p>
            <w:pPr>
              <w:contextualSpacing w:val="0"/>
              <w:jc w:val="center"/>
              <w:spacing w:line="283" w:lineRule="atLeast"/>
              <w:widowControl w:val="off"/>
              <w:rPr>
                <w:rFonts w:ascii="Times New Roman" w:hAnsi="Times New Roman" w:cs="Times New Roman"/>
                <w:highlight w:val="white"/>
              </w:rPr>
              <w:suppressLineNumbers w:val="0"/>
            </w:pPr>
            <w:r>
              <w:rPr>
                <w:rFonts w:ascii="Times New Roman" w:hAnsi="Times New Roman" w:cs="Times New Roman"/>
                <w:color w:val="000000"/>
                <w:sz w:val="24"/>
                <w:szCs w:val="24"/>
                <w:highlight w:val="white"/>
              </w:rPr>
              <w:t xml:space="preserve">Курган </w:t>
            </w:r>
            <w:r>
              <w:rPr>
                <w:rFonts w:ascii="Times New Roman" w:hAnsi="Times New Roman" w:cs="Times New Roman"/>
                <w:color w:val="000000"/>
                <w:sz w:val="24"/>
                <w:szCs w:val="24"/>
                <w:highlight w:val="white"/>
              </w:rPr>
              <w:t xml:space="preserve">"Казанский 14"</w:t>
            </w:r>
            <w:r>
              <w:rPr>
                <w:rFonts w:ascii="Times New Roman" w:hAnsi="Times New Roman" w:cs="Times New Roman"/>
                <w:highlight w:val="white"/>
              </w:rPr>
            </w:r>
            <w:r/>
          </w:p>
        </w:tc>
        <w:tc>
          <w:tcPr>
            <w:tcBorders>
              <w:top w:val="single" w:color="000000" w:sz="4" w:space="0"/>
              <w:left w:val="single" w:color="000000" w:sz="4" w:space="0"/>
              <w:bottom w:val="single" w:color="000000" w:sz="4" w:space="0"/>
              <w:right w:val="single" w:color="000000" w:sz="4" w:space="0"/>
            </w:tcBorders>
            <w:tcW w:w="6000" w:type="dxa"/>
            <w:vAlign w:val="center"/>
            <w:textDirection w:val="lrTb"/>
            <w:noWrap w:val="false"/>
          </w:tcPr>
          <w:p>
            <w:pPr>
              <w:jc w:val="center"/>
            </w:pPr>
            <w:r>
              <w:rPr>
                <w:rFonts w:ascii="Times New Roman" w:hAnsi="Times New Roman" w:cs="Times New Roman"/>
                <w:highlight w:val="none"/>
              </w:rPr>
              <w:t xml:space="preserve">-</w:t>
            </w:r>
            <w:r/>
          </w:p>
        </w:tc>
      </w:tr>
      <w:tr>
        <w:trPr>
          <w:jc w:val="center"/>
        </w:trPr>
        <w:tc>
          <w:tcPr>
            <w:tcBorders>
              <w:top w:val="single" w:color="000000" w:sz="4" w:space="0"/>
              <w:left w:val="single" w:color="000000" w:sz="4" w:space="0"/>
              <w:bottom w:val="single" w:color="000000" w:sz="4" w:space="0"/>
              <w:right w:val="none" w:color="000000" w:sz="4" w:space="0"/>
            </w:tcBorders>
            <w:tcW w:w="2059" w:type="dxa"/>
            <w:vAlign w:val="center"/>
            <w:textDirection w:val="lrTb"/>
            <w:noWrap w:val="false"/>
          </w:tcPr>
          <w:p>
            <w:pPr>
              <w:numPr>
                <w:ilvl w:val="0"/>
                <w:numId w:val="32"/>
              </w:numPr>
              <w:jc w:val="center"/>
              <w:rPr>
                <w:rFonts w:ascii="Times New Roman" w:hAnsi="Times New Roman" w:cs="Times New Roman"/>
                <w:highlight w:val="white"/>
              </w:rPr>
            </w:pPr>
            <w:r>
              <w:rPr>
                <w:rFonts w:ascii="Times New Roman" w:hAnsi="Times New Roman" w:cs="Times New Roman"/>
                <w:b/>
                <w:sz w:val="24"/>
                <w:szCs w:val="24"/>
                <w:highlight w:val="white"/>
              </w:rPr>
            </w:r>
            <w:r>
              <w:rPr>
                <w:rFonts w:ascii="Times New Roman" w:hAnsi="Times New Roman" w:cs="Times New Roman"/>
                <w:bCs/>
                <w:highlight w:val="white"/>
              </w:rPr>
            </w:r>
            <w:r/>
          </w:p>
        </w:tc>
        <w:tc>
          <w:tcPr>
            <w:tcBorders>
              <w:top w:val="single" w:color="000000" w:sz="4" w:space="0"/>
              <w:left w:val="single" w:color="000000" w:sz="4" w:space="0"/>
              <w:bottom w:val="single" w:color="000000" w:sz="4" w:space="0"/>
              <w:right w:val="single" w:color="000000" w:sz="4" w:space="0"/>
            </w:tcBorders>
            <w:tcW w:w="5811" w:type="dxa"/>
            <w:vAlign w:val="center"/>
            <w:textDirection w:val="lrTb"/>
            <w:noWrap w:val="false"/>
          </w:tcPr>
          <w:p>
            <w:pPr>
              <w:contextualSpacing w:val="0"/>
              <w:jc w:val="center"/>
              <w:spacing w:line="283" w:lineRule="atLeast"/>
              <w:widowControl w:val="off"/>
              <w:rPr>
                <w:rFonts w:ascii="Times New Roman" w:hAnsi="Times New Roman" w:cs="Times New Roman"/>
                <w:color w:val="000000"/>
                <w:highlight w:val="white"/>
              </w:rPr>
              <w:suppressLineNumbers w:val="0"/>
            </w:pPr>
            <w:r>
              <w:rPr>
                <w:rFonts w:ascii="Times New Roman" w:hAnsi="Times New Roman" w:cs="Times New Roman"/>
                <w:color w:val="000000"/>
                <w:sz w:val="24"/>
                <w:szCs w:val="24"/>
                <w:highlight w:val="white"/>
              </w:rPr>
              <w:t xml:space="preserve">Поселение "Казанское 1"</w:t>
            </w:r>
            <w:r>
              <w:rPr>
                <w:rFonts w:ascii="Times New Roman" w:hAnsi="Times New Roman" w:cs="Times New Roman"/>
                <w:color w:val="000000"/>
                <w:highlight w:val="white"/>
              </w:rPr>
            </w:r>
            <w:r/>
          </w:p>
        </w:tc>
        <w:tc>
          <w:tcPr>
            <w:tcBorders>
              <w:top w:val="single" w:color="000000" w:sz="4" w:space="0"/>
              <w:left w:val="single" w:color="000000" w:sz="4" w:space="0"/>
              <w:bottom w:val="single" w:color="000000" w:sz="4" w:space="0"/>
              <w:right w:val="single" w:color="000000" w:sz="4" w:space="0"/>
            </w:tcBorders>
            <w:tcW w:w="6000" w:type="dxa"/>
            <w:vAlign w:val="center"/>
            <w:textDirection w:val="lrTb"/>
            <w:noWrap w:val="false"/>
          </w:tcPr>
          <w:p>
            <w:pPr>
              <w:jc w:val="center"/>
            </w:pPr>
            <w:r>
              <w:rPr>
                <w:rFonts w:ascii="Times New Roman" w:hAnsi="Times New Roman" w:cs="Times New Roman"/>
                <w:highlight w:val="none"/>
              </w:rPr>
              <w:t xml:space="preserve">-</w:t>
            </w:r>
            <w:r/>
          </w:p>
        </w:tc>
      </w:tr>
      <w:tr>
        <w:trPr/>
        <w:tc>
          <w:tcPr>
            <w:tcBorders>
              <w:top w:val="single" w:color="000000" w:sz="4" w:space="0"/>
              <w:left w:val="single" w:color="000000" w:sz="4" w:space="0"/>
              <w:bottom w:val="single" w:color="000000" w:sz="4" w:space="0"/>
              <w:right w:val="none" w:color="000000" w:sz="4" w:space="0"/>
            </w:tcBorders>
            <w:tcW w:w="2059" w:type="dxa"/>
            <w:vAlign w:val="center"/>
            <w:vMerge w:val="restart"/>
            <w:textDirection w:val="lrTb"/>
            <w:noWrap w:val="false"/>
          </w:tcPr>
          <w:p>
            <w:pPr>
              <w:numPr>
                <w:ilvl w:val="0"/>
                <w:numId w:val="32"/>
              </w:numPr>
              <w:jc w:val="center"/>
              <w:rPr>
                <w:rFonts w:ascii="Times New Roman" w:hAnsi="Times New Roman" w:cs="Times New Roman"/>
                <w:highlight w:val="white"/>
              </w:rPr>
            </w:pPr>
            <w:r>
              <w:rPr>
                <w:rFonts w:ascii="Times New Roman" w:hAnsi="Times New Roman" w:cs="Times New Roman"/>
                <w:b/>
                <w:sz w:val="24"/>
                <w:szCs w:val="24"/>
                <w:highlight w:val="white"/>
              </w:rPr>
            </w:r>
            <w:r>
              <w:rPr>
                <w:rFonts w:ascii="Times New Roman" w:hAnsi="Times New Roman" w:cs="Times New Roman"/>
                <w:b/>
                <w:bCs/>
                <w:sz w:val="24"/>
                <w:szCs w:val="24"/>
                <w:highlight w:val="white"/>
              </w:rPr>
            </w:r>
            <w:r/>
          </w:p>
        </w:tc>
        <w:tc>
          <w:tcPr>
            <w:tcBorders>
              <w:top w:val="single" w:color="000000" w:sz="4" w:space="0"/>
              <w:left w:val="single" w:color="000000" w:sz="4" w:space="0"/>
              <w:bottom w:val="single" w:color="000000" w:sz="4" w:space="0"/>
              <w:right w:val="single" w:color="000000" w:sz="4" w:space="0"/>
            </w:tcBorders>
            <w:tcW w:w="5811" w:type="dxa"/>
            <w:vAlign w:val="center"/>
            <w:vMerge w:val="restart"/>
            <w:textDirection w:val="lrTb"/>
            <w:noWrap w:val="false"/>
          </w:tcPr>
          <w:p>
            <w:pPr>
              <w:contextualSpacing w:val="0"/>
              <w:jc w:val="center"/>
              <w:spacing w:line="283" w:lineRule="atLeast"/>
              <w:widowControl w:val="off"/>
              <w:rPr>
                <w:rFonts w:ascii="Times New Roman" w:hAnsi="Times New Roman" w:cs="Times New Roman"/>
                <w:color w:val="000000"/>
                <w:highlight w:val="white"/>
              </w:rPr>
              <w:suppressLineNumbers w:val="0"/>
            </w:pPr>
            <w:r>
              <w:rPr>
                <w:rFonts w:ascii="Times New Roman" w:hAnsi="Times New Roman" w:cs="Times New Roman"/>
                <w:color w:val="000000"/>
                <w:sz w:val="24"/>
                <w:szCs w:val="24"/>
                <w:highlight w:val="white"/>
              </w:rPr>
              <w:t xml:space="preserve">Городище «Казанское 6»</w:t>
            </w:r>
            <w:r>
              <w:rPr>
                <w:rFonts w:ascii="Times New Roman" w:hAnsi="Times New Roman" w:cs="Times New Roman"/>
                <w:color w:val="000000"/>
                <w:highlight w:val="white"/>
              </w:rPr>
            </w:r>
            <w:r/>
          </w:p>
        </w:tc>
        <w:tc>
          <w:tcPr>
            <w:tcBorders>
              <w:top w:val="single" w:color="000000" w:sz="4" w:space="0"/>
              <w:left w:val="single" w:color="000000" w:sz="4" w:space="0"/>
              <w:bottom w:val="single" w:color="000000" w:sz="4" w:space="0"/>
              <w:right w:val="single" w:color="000000" w:sz="4" w:space="0"/>
            </w:tcBorders>
            <w:tcW w:w="6000" w:type="dxa"/>
            <w:vAlign w:val="center"/>
            <w:vMerge w:val="restart"/>
            <w:textDirection w:val="lrTb"/>
            <w:noWrap w:val="false"/>
          </w:tcPr>
          <w:p>
            <w:pPr>
              <w:jc w:val="center"/>
            </w:pPr>
            <w:r>
              <w:rPr>
                <w:rFonts w:ascii="Times New Roman" w:hAnsi="Times New Roman" w:cs="Times New Roman"/>
                <w:highlight w:val="none"/>
              </w:rPr>
              <w:t xml:space="preserve">-</w:t>
            </w:r>
            <w:r/>
          </w:p>
        </w:tc>
      </w:tr>
      <w:tr>
        <w:trPr/>
        <w:tc>
          <w:tcPr>
            <w:tcBorders>
              <w:top w:val="single" w:color="000000" w:sz="4" w:space="0"/>
              <w:left w:val="single" w:color="000000" w:sz="4" w:space="0"/>
              <w:bottom w:val="single" w:color="000000" w:sz="4" w:space="0"/>
              <w:right w:val="none" w:color="000000" w:sz="4" w:space="0"/>
            </w:tcBorders>
            <w:tcW w:w="2059" w:type="dxa"/>
            <w:vAlign w:val="center"/>
            <w:vMerge w:val="restart"/>
            <w:textDirection w:val="lrTb"/>
            <w:noWrap w:val="false"/>
          </w:tcPr>
          <w:p>
            <w:pPr>
              <w:numPr>
                <w:ilvl w:val="0"/>
                <w:numId w:val="32"/>
              </w:numPr>
              <w:jc w:val="center"/>
              <w:rPr>
                <w:rFonts w:ascii="Times New Roman" w:hAnsi="Times New Roman" w:cs="Times New Roman"/>
                <w:highlight w:val="white"/>
              </w:rPr>
            </w:pPr>
            <w:r>
              <w:rPr>
                <w:rFonts w:ascii="Times New Roman" w:hAnsi="Times New Roman" w:cs="Times New Roman"/>
                <w:b/>
                <w:sz w:val="24"/>
                <w:szCs w:val="24"/>
                <w:highlight w:val="white"/>
              </w:rPr>
            </w:r>
            <w:r>
              <w:rPr>
                <w:rFonts w:ascii="Times New Roman" w:hAnsi="Times New Roman" w:cs="Times New Roman"/>
                <w:b/>
                <w:bCs/>
                <w:sz w:val="24"/>
                <w:szCs w:val="24"/>
                <w:highlight w:val="white"/>
              </w:rPr>
            </w:r>
            <w:r/>
          </w:p>
        </w:tc>
        <w:tc>
          <w:tcPr>
            <w:tcBorders>
              <w:top w:val="single" w:color="000000" w:sz="4" w:space="0"/>
              <w:left w:val="single" w:color="000000" w:sz="4" w:space="0"/>
              <w:bottom w:val="single" w:color="000000" w:sz="4" w:space="0"/>
              <w:right w:val="single" w:color="000000" w:sz="4" w:space="0"/>
            </w:tcBorders>
            <w:tcW w:w="5811" w:type="dxa"/>
            <w:vAlign w:val="center"/>
            <w:vMerge w:val="restart"/>
            <w:textDirection w:val="lrTb"/>
            <w:noWrap w:val="false"/>
          </w:tcPr>
          <w:p>
            <w:pPr>
              <w:contextualSpacing w:val="0"/>
              <w:jc w:val="center"/>
              <w:spacing w:line="283" w:lineRule="atLeast"/>
              <w:widowControl w:val="off"/>
              <w:rPr>
                <w:rFonts w:ascii="Times New Roman" w:hAnsi="Times New Roman" w:cs="Times New Roman"/>
                <w:color w:val="000000"/>
                <w:highlight w:val="white"/>
              </w:rPr>
              <w:suppressLineNumbers w:val="0"/>
            </w:pPr>
            <w:r>
              <w:rPr>
                <w:rFonts w:ascii="Times New Roman" w:hAnsi="Times New Roman" w:cs="Times New Roman"/>
                <w:color w:val="000000"/>
                <w:sz w:val="24"/>
                <w:szCs w:val="24"/>
                <w:highlight w:val="white"/>
              </w:rPr>
              <w:t xml:space="preserve">Могильник</w:t>
            </w:r>
            <w:r>
              <w:rPr>
                <w:rFonts w:ascii="Times New Roman" w:hAnsi="Times New Roman" w:cs="Times New Roman"/>
                <w:color w:val="000000"/>
                <w:highlight w:val="white"/>
              </w:rPr>
            </w:r>
            <w:r/>
          </w:p>
        </w:tc>
        <w:tc>
          <w:tcPr>
            <w:tcBorders>
              <w:top w:val="single" w:color="000000" w:sz="4" w:space="0"/>
              <w:left w:val="single" w:color="000000" w:sz="4" w:space="0"/>
              <w:bottom w:val="single" w:color="000000" w:sz="4" w:space="0"/>
              <w:right w:val="single" w:color="000000" w:sz="4" w:space="0"/>
            </w:tcBorders>
            <w:tcW w:w="6000" w:type="dxa"/>
            <w:vAlign w:val="center"/>
            <w:vMerge w:val="restart"/>
            <w:textDirection w:val="lrTb"/>
            <w:noWrap w:val="false"/>
          </w:tcPr>
          <w:p>
            <w:pPr>
              <w:jc w:val="center"/>
            </w:pPr>
            <w:r>
              <w:rPr>
                <w:rFonts w:ascii="Times New Roman" w:hAnsi="Times New Roman" w:cs="Times New Roman"/>
                <w:highlight w:val="none"/>
              </w:rPr>
              <w:t xml:space="preserve">-</w:t>
            </w:r>
            <w:r/>
          </w:p>
        </w:tc>
      </w:tr>
      <w:tr>
        <w:trPr/>
        <w:tc>
          <w:tcPr>
            <w:tcBorders>
              <w:top w:val="single" w:color="000000" w:sz="4" w:space="0"/>
              <w:left w:val="single" w:color="000000" w:sz="4" w:space="0"/>
              <w:bottom w:val="single" w:color="000000" w:sz="4" w:space="0"/>
              <w:right w:val="none" w:color="000000" w:sz="4" w:space="0"/>
            </w:tcBorders>
            <w:tcW w:w="2059" w:type="dxa"/>
            <w:vAlign w:val="center"/>
            <w:vMerge w:val="restart"/>
            <w:textDirection w:val="lrTb"/>
            <w:noWrap w:val="false"/>
          </w:tcPr>
          <w:p>
            <w:pPr>
              <w:numPr>
                <w:ilvl w:val="0"/>
                <w:numId w:val="32"/>
              </w:numPr>
              <w:jc w:val="center"/>
              <w:rPr>
                <w:rFonts w:ascii="Times New Roman" w:hAnsi="Times New Roman" w:cs="Times New Roman"/>
                <w:highlight w:val="white"/>
              </w:rPr>
            </w:pPr>
            <w:r>
              <w:rPr>
                <w:rFonts w:ascii="Times New Roman" w:hAnsi="Times New Roman" w:cs="Times New Roman"/>
                <w:b/>
                <w:sz w:val="24"/>
                <w:szCs w:val="24"/>
                <w:highlight w:val="white"/>
              </w:rPr>
            </w:r>
            <w:r>
              <w:rPr>
                <w:rFonts w:ascii="Times New Roman" w:hAnsi="Times New Roman" w:cs="Times New Roman"/>
                <w:b/>
                <w:bCs/>
                <w:sz w:val="24"/>
                <w:szCs w:val="24"/>
                <w:highlight w:val="white"/>
              </w:rPr>
            </w:r>
            <w:r/>
          </w:p>
        </w:tc>
        <w:tc>
          <w:tcPr>
            <w:tcBorders>
              <w:top w:val="single" w:color="000000" w:sz="4" w:space="0"/>
              <w:left w:val="single" w:color="000000" w:sz="4" w:space="0"/>
              <w:bottom w:val="single" w:color="000000" w:sz="4" w:space="0"/>
              <w:right w:val="single" w:color="000000" w:sz="4" w:space="0"/>
            </w:tcBorders>
            <w:tcW w:w="5811" w:type="dxa"/>
            <w:vAlign w:val="center"/>
            <w:vMerge w:val="restart"/>
            <w:textDirection w:val="lrTb"/>
            <w:noWrap w:val="false"/>
          </w:tcPr>
          <w:p>
            <w:pPr>
              <w:contextualSpacing w:val="0"/>
              <w:jc w:val="center"/>
              <w:spacing w:line="283" w:lineRule="atLeast"/>
              <w:widowControl w:val="off"/>
              <w:suppressLineNumbers w:val="0"/>
            </w:pPr>
            <w:r>
              <w:rPr>
                <w:rFonts w:ascii="Times New Roman" w:hAnsi="Times New Roman" w:cs="Times New Roman"/>
                <w:color w:val="000000"/>
                <w:sz w:val="24"/>
                <w:szCs w:val="24"/>
                <w:highlight w:val="white"/>
              </w:rPr>
              <w:t xml:space="preserve">Городище 1 "Кадушкино"</w:t>
            </w:r>
            <w:r>
              <w:rPr>
                <w:rFonts w:ascii="Times New Roman" w:hAnsi="Times New Roman" w:cs="Times New Roman"/>
                <w:highlight w:val="white"/>
              </w:rPr>
            </w:r>
            <w:r/>
          </w:p>
          <w:p>
            <w:pPr>
              <w:contextualSpacing w:val="0"/>
              <w:jc w:val="center"/>
              <w:spacing w:line="283" w:lineRule="atLeast"/>
              <w:widowControl w:val="off"/>
              <w:suppressLineNumbers w:val="0"/>
            </w:pPr>
            <w:r>
              <w:rPr>
                <w:rFonts w:ascii="Times New Roman" w:hAnsi="Times New Roman" w:cs="Times New Roman"/>
                <w:color w:val="000000"/>
                <w:sz w:val="24"/>
                <w:szCs w:val="24"/>
                <w:highlight w:val="white"/>
              </w:rPr>
            </w:r>
            <w:r>
              <w:rPr>
                <w:rFonts w:ascii="Times New Roman" w:hAnsi="Times New Roman" w:cs="Times New Roman"/>
                <w:highlight w:val="white"/>
              </w:rPr>
            </w:r>
            <w:r/>
          </w:p>
          <w:p>
            <w:pPr>
              <w:contextualSpacing w:val="0"/>
              <w:jc w:val="center"/>
              <w:spacing w:line="283" w:lineRule="atLeast"/>
              <w:widowControl w:val="off"/>
              <w:rPr>
                <w:rFonts w:ascii="Times New Roman" w:hAnsi="Times New Roman" w:cs="Times New Roman"/>
                <w:color w:val="000000"/>
                <w:highlight w:val="white"/>
              </w:rPr>
              <w:suppressLineNumbers w:val="0"/>
            </w:pPr>
            <w:r>
              <w:rPr>
                <w:rFonts w:ascii="Times New Roman" w:hAnsi="Times New Roman" w:cs="Times New Roman"/>
                <w:color w:val="000000"/>
                <w:sz w:val="24"/>
                <w:szCs w:val="24"/>
                <w:highlight w:val="white"/>
              </w:rPr>
            </w:r>
            <w:r>
              <w:rPr>
                <w:rFonts w:ascii="Times New Roman" w:hAnsi="Times New Roman" w:cs="Times New Roman"/>
                <w:color w:val="000000"/>
                <w:highlight w:val="white"/>
              </w:rPr>
            </w:r>
            <w:r/>
          </w:p>
        </w:tc>
        <w:tc>
          <w:tcPr>
            <w:tcBorders>
              <w:top w:val="single" w:color="000000" w:sz="4" w:space="0"/>
              <w:left w:val="single" w:color="000000" w:sz="4" w:space="0"/>
              <w:bottom w:val="single" w:color="000000" w:sz="4" w:space="0"/>
              <w:right w:val="single" w:color="000000" w:sz="4" w:space="0"/>
            </w:tcBorders>
            <w:tcW w:w="6000" w:type="dxa"/>
            <w:vAlign w:val="center"/>
            <w:vMerge w:val="restart"/>
            <w:textDirection w:val="lrTb"/>
            <w:noWrap w:val="false"/>
          </w:tcPr>
          <w:p>
            <w:pPr>
              <w:jc w:val="center"/>
            </w:pPr>
            <w:r>
              <w:rPr>
                <w:rFonts w:ascii="Times New Roman" w:hAnsi="Times New Roman" w:cs="Times New Roman"/>
                <w:highlight w:val="none"/>
              </w:rPr>
              <w:t xml:space="preserve">-</w:t>
            </w:r>
            <w:r/>
          </w:p>
        </w:tc>
      </w:tr>
      <w:tr>
        <w:trPr/>
        <w:tc>
          <w:tcPr>
            <w:tcBorders>
              <w:top w:val="single" w:color="000000" w:sz="4" w:space="0"/>
              <w:left w:val="single" w:color="000000" w:sz="4" w:space="0"/>
              <w:bottom w:val="single" w:color="000000" w:sz="4" w:space="0"/>
              <w:right w:val="none" w:color="000000" w:sz="4" w:space="0"/>
            </w:tcBorders>
            <w:tcW w:w="2059" w:type="dxa"/>
            <w:vAlign w:val="center"/>
            <w:vMerge w:val="restart"/>
            <w:textDirection w:val="lrTb"/>
            <w:noWrap w:val="false"/>
          </w:tcPr>
          <w:p>
            <w:pPr>
              <w:numPr>
                <w:ilvl w:val="0"/>
                <w:numId w:val="32"/>
              </w:numPr>
              <w:jc w:val="center"/>
              <w:rPr>
                <w:rFonts w:ascii="Times New Roman" w:hAnsi="Times New Roman" w:cs="Times New Roman"/>
                <w:highlight w:val="white"/>
              </w:rPr>
            </w:pPr>
            <w:r>
              <w:rPr>
                <w:rFonts w:ascii="Times New Roman" w:hAnsi="Times New Roman" w:cs="Times New Roman"/>
                <w:b/>
                <w:sz w:val="24"/>
                <w:szCs w:val="24"/>
                <w:highlight w:val="white"/>
              </w:rPr>
            </w:r>
            <w:r>
              <w:rPr>
                <w:rFonts w:ascii="Times New Roman" w:hAnsi="Times New Roman" w:cs="Times New Roman"/>
                <w:b/>
                <w:bCs/>
                <w:sz w:val="24"/>
                <w:szCs w:val="24"/>
                <w:highlight w:val="white"/>
              </w:rPr>
            </w:r>
            <w:r/>
          </w:p>
        </w:tc>
        <w:tc>
          <w:tcPr>
            <w:tcBorders>
              <w:top w:val="single" w:color="000000" w:sz="4" w:space="0"/>
              <w:left w:val="single" w:color="000000" w:sz="4" w:space="0"/>
              <w:bottom w:val="single" w:color="000000" w:sz="4" w:space="0"/>
              <w:right w:val="single" w:color="000000" w:sz="4" w:space="0"/>
            </w:tcBorders>
            <w:tcW w:w="5811" w:type="dxa"/>
            <w:vAlign w:val="center"/>
            <w:vMerge w:val="restart"/>
            <w:textDirection w:val="lrTb"/>
            <w:noWrap w:val="false"/>
          </w:tcPr>
          <w:p>
            <w:pPr>
              <w:contextualSpacing w:val="0"/>
              <w:jc w:val="center"/>
              <w:spacing w:line="283" w:lineRule="atLeast"/>
              <w:widowControl w:val="off"/>
              <w:rPr>
                <w:rFonts w:ascii="Times New Roman" w:hAnsi="Times New Roman" w:cs="Times New Roman"/>
                <w:color w:val="000000"/>
                <w:highlight w:val="white"/>
              </w:rPr>
              <w:suppressLineNumbers w:val="0"/>
            </w:pPr>
            <w:r>
              <w:rPr>
                <w:rFonts w:ascii="Times New Roman" w:hAnsi="Times New Roman" w:cs="Times New Roman"/>
                <w:color w:val="000000"/>
                <w:sz w:val="24"/>
                <w:szCs w:val="24"/>
                <w:highlight w:val="white"/>
              </w:rPr>
              <w:t xml:space="preserve">Городище 2</w:t>
            </w:r>
            <w:r>
              <w:rPr>
                <w:rFonts w:ascii="Times New Roman" w:hAnsi="Times New Roman" w:cs="Times New Roman"/>
                <w:color w:val="000000"/>
                <w:highlight w:val="white"/>
              </w:rPr>
            </w:r>
            <w:r/>
          </w:p>
        </w:tc>
        <w:tc>
          <w:tcPr>
            <w:tcBorders>
              <w:top w:val="single" w:color="000000" w:sz="4" w:space="0"/>
              <w:left w:val="single" w:color="000000" w:sz="4" w:space="0"/>
              <w:bottom w:val="single" w:color="000000" w:sz="4" w:space="0"/>
              <w:right w:val="single" w:color="000000" w:sz="4" w:space="0"/>
            </w:tcBorders>
            <w:tcW w:w="6000" w:type="dxa"/>
            <w:vAlign w:val="center"/>
            <w:vMerge w:val="restart"/>
            <w:textDirection w:val="lrTb"/>
            <w:noWrap w:val="false"/>
          </w:tcPr>
          <w:p>
            <w:pPr>
              <w:jc w:val="center"/>
            </w:pPr>
            <w:r>
              <w:rPr>
                <w:rFonts w:ascii="Times New Roman" w:hAnsi="Times New Roman" w:cs="Times New Roman"/>
                <w:highlight w:val="none"/>
              </w:rPr>
              <w:t xml:space="preserve">-</w:t>
            </w:r>
            <w:r/>
          </w:p>
        </w:tc>
      </w:tr>
      <w:tr>
        <w:trPr/>
        <w:tc>
          <w:tcPr>
            <w:tcBorders>
              <w:top w:val="single" w:color="000000" w:sz="4" w:space="0"/>
              <w:left w:val="single" w:color="000000" w:sz="4" w:space="0"/>
              <w:bottom w:val="single" w:color="000000" w:sz="4" w:space="0"/>
              <w:right w:val="none" w:color="000000" w:sz="4" w:space="0"/>
            </w:tcBorders>
            <w:tcW w:w="2059" w:type="dxa"/>
            <w:vAlign w:val="center"/>
            <w:vMerge w:val="restart"/>
            <w:textDirection w:val="lrTb"/>
            <w:noWrap w:val="false"/>
          </w:tcPr>
          <w:p>
            <w:pPr>
              <w:numPr>
                <w:ilvl w:val="0"/>
                <w:numId w:val="32"/>
              </w:numPr>
              <w:jc w:val="center"/>
              <w:rPr>
                <w:rFonts w:ascii="Times New Roman" w:hAnsi="Times New Roman" w:cs="Times New Roman"/>
                <w:highlight w:val="white"/>
              </w:rPr>
            </w:pPr>
            <w:r>
              <w:rPr>
                <w:rFonts w:ascii="Times New Roman" w:hAnsi="Times New Roman" w:cs="Times New Roman"/>
                <w:b/>
                <w:sz w:val="24"/>
                <w:szCs w:val="24"/>
                <w:highlight w:val="white"/>
              </w:rPr>
            </w:r>
            <w:r>
              <w:rPr>
                <w:rFonts w:ascii="Times New Roman" w:hAnsi="Times New Roman" w:cs="Times New Roman"/>
                <w:b/>
                <w:bCs/>
                <w:sz w:val="24"/>
                <w:szCs w:val="24"/>
                <w:highlight w:val="white"/>
              </w:rPr>
            </w:r>
            <w:r/>
          </w:p>
        </w:tc>
        <w:tc>
          <w:tcPr>
            <w:tcBorders>
              <w:top w:val="single" w:color="000000" w:sz="4" w:space="0"/>
              <w:left w:val="single" w:color="000000" w:sz="4" w:space="0"/>
              <w:bottom w:val="single" w:color="000000" w:sz="4" w:space="0"/>
              <w:right w:val="single" w:color="000000" w:sz="4" w:space="0"/>
            </w:tcBorders>
            <w:tcW w:w="5811" w:type="dxa"/>
            <w:vAlign w:val="center"/>
            <w:vMerge w:val="restart"/>
            <w:textDirection w:val="lrTb"/>
            <w:noWrap w:val="false"/>
          </w:tcPr>
          <w:p>
            <w:pPr>
              <w:contextualSpacing w:val="0"/>
              <w:jc w:val="center"/>
              <w:spacing w:line="283" w:lineRule="atLeast"/>
              <w:widowControl w:val="off"/>
              <w:rPr>
                <w:rFonts w:ascii="Times New Roman" w:hAnsi="Times New Roman" w:cs="Times New Roman"/>
                <w:color w:val="000000"/>
                <w:highlight w:val="white"/>
              </w:rPr>
              <w:suppressLineNumbers w:val="0"/>
            </w:pPr>
            <w:r>
              <w:rPr>
                <w:rFonts w:ascii="Times New Roman" w:hAnsi="Times New Roman" w:cs="Times New Roman"/>
                <w:color w:val="000000"/>
                <w:sz w:val="24"/>
                <w:szCs w:val="24"/>
                <w:highlight w:val="white"/>
              </w:rPr>
              <w:t xml:space="preserve">Городище 3 "Кругляк"</w:t>
            </w:r>
            <w:r>
              <w:rPr>
                <w:rFonts w:ascii="Times New Roman" w:hAnsi="Times New Roman" w:cs="Times New Roman"/>
                <w:color w:val="000000"/>
                <w:highlight w:val="white"/>
              </w:rPr>
            </w:r>
            <w:r/>
          </w:p>
        </w:tc>
        <w:tc>
          <w:tcPr>
            <w:tcBorders>
              <w:top w:val="single" w:color="000000" w:sz="4" w:space="0"/>
              <w:left w:val="single" w:color="000000" w:sz="4" w:space="0"/>
              <w:bottom w:val="single" w:color="000000" w:sz="4" w:space="0"/>
              <w:right w:val="single" w:color="000000" w:sz="4" w:space="0"/>
            </w:tcBorders>
            <w:tcW w:w="6000" w:type="dxa"/>
            <w:vAlign w:val="center"/>
            <w:vMerge w:val="restart"/>
            <w:textDirection w:val="lrTb"/>
            <w:noWrap w:val="false"/>
          </w:tcPr>
          <w:p>
            <w:pPr>
              <w:jc w:val="center"/>
            </w:pPr>
            <w:r>
              <w:rPr>
                <w:rFonts w:ascii="Times New Roman" w:hAnsi="Times New Roman" w:cs="Times New Roman"/>
                <w:highlight w:val="none"/>
              </w:rPr>
              <w:t xml:space="preserve">-</w:t>
            </w:r>
            <w:r/>
          </w:p>
        </w:tc>
      </w:tr>
      <w:tr>
        <w:trPr/>
        <w:tc>
          <w:tcPr>
            <w:tcBorders>
              <w:top w:val="single" w:color="000000" w:sz="4" w:space="0"/>
              <w:left w:val="single" w:color="000000" w:sz="4" w:space="0"/>
              <w:bottom w:val="single" w:color="000000" w:sz="4" w:space="0"/>
              <w:right w:val="none" w:color="000000" w:sz="4" w:space="0"/>
            </w:tcBorders>
            <w:tcW w:w="2059" w:type="dxa"/>
            <w:vAlign w:val="center"/>
            <w:vMerge w:val="restart"/>
            <w:textDirection w:val="lrTb"/>
            <w:noWrap w:val="false"/>
          </w:tcPr>
          <w:p>
            <w:pPr>
              <w:numPr>
                <w:ilvl w:val="0"/>
                <w:numId w:val="32"/>
              </w:numPr>
              <w:jc w:val="center"/>
              <w:rPr>
                <w:rFonts w:ascii="Times New Roman" w:hAnsi="Times New Roman" w:cs="Times New Roman"/>
                <w:highlight w:val="white"/>
              </w:rPr>
            </w:pPr>
            <w:r>
              <w:rPr>
                <w:rFonts w:ascii="Times New Roman" w:hAnsi="Times New Roman" w:cs="Times New Roman"/>
                <w:b/>
                <w:sz w:val="24"/>
                <w:szCs w:val="24"/>
                <w:highlight w:val="white"/>
              </w:rPr>
            </w:r>
            <w:r>
              <w:rPr>
                <w:rFonts w:ascii="Times New Roman" w:hAnsi="Times New Roman" w:cs="Times New Roman"/>
                <w:b/>
                <w:bCs/>
                <w:sz w:val="24"/>
                <w:szCs w:val="24"/>
                <w:highlight w:val="white"/>
              </w:rPr>
            </w:r>
            <w:r/>
          </w:p>
        </w:tc>
        <w:tc>
          <w:tcPr>
            <w:tcBorders>
              <w:top w:val="single" w:color="000000" w:sz="4" w:space="0"/>
              <w:left w:val="single" w:color="000000" w:sz="4" w:space="0"/>
              <w:bottom w:val="single" w:color="000000" w:sz="4" w:space="0"/>
              <w:right w:val="single" w:color="000000" w:sz="4" w:space="0"/>
            </w:tcBorders>
            <w:tcW w:w="5811" w:type="dxa"/>
            <w:vAlign w:val="center"/>
            <w:vMerge w:val="restart"/>
            <w:textDirection w:val="lrTb"/>
            <w:noWrap w:val="false"/>
          </w:tcPr>
          <w:p>
            <w:pPr>
              <w:contextualSpacing w:val="0"/>
              <w:jc w:val="center"/>
              <w:spacing w:line="283" w:lineRule="atLeast"/>
              <w:widowControl w:val="off"/>
              <w:rPr>
                <w:rFonts w:ascii="Times New Roman" w:hAnsi="Times New Roman" w:cs="Times New Roman"/>
                <w:color w:val="000000"/>
                <w:highlight w:val="white"/>
              </w:rPr>
              <w:suppressLineNumbers w:val="0"/>
            </w:pPr>
            <w:r>
              <w:rPr>
                <w:rFonts w:ascii="Times New Roman" w:hAnsi="Times New Roman" w:cs="Times New Roman"/>
                <w:color w:val="000000"/>
                <w:sz w:val="24"/>
                <w:szCs w:val="24"/>
                <w:highlight w:val="white"/>
              </w:rPr>
              <w:t xml:space="preserve">Городище 4</w:t>
            </w:r>
            <w:r>
              <w:rPr>
                <w:rFonts w:ascii="Times New Roman" w:hAnsi="Times New Roman" w:cs="Times New Roman"/>
                <w:color w:val="000000"/>
                <w:highlight w:val="white"/>
              </w:rPr>
            </w:r>
            <w:r/>
          </w:p>
        </w:tc>
        <w:tc>
          <w:tcPr>
            <w:tcBorders>
              <w:top w:val="single" w:color="000000" w:sz="4" w:space="0"/>
              <w:left w:val="single" w:color="000000" w:sz="4" w:space="0"/>
              <w:bottom w:val="single" w:color="000000" w:sz="4" w:space="0"/>
              <w:right w:val="single" w:color="000000" w:sz="4" w:space="0"/>
            </w:tcBorders>
            <w:tcW w:w="6000" w:type="dxa"/>
            <w:vAlign w:val="center"/>
            <w:vMerge w:val="restart"/>
            <w:textDirection w:val="lrTb"/>
            <w:noWrap w:val="false"/>
          </w:tcPr>
          <w:p>
            <w:pPr>
              <w:jc w:val="center"/>
            </w:pPr>
            <w:r>
              <w:rPr>
                <w:rFonts w:ascii="Times New Roman" w:hAnsi="Times New Roman" w:cs="Times New Roman"/>
                <w:highlight w:val="none"/>
              </w:rPr>
              <w:t xml:space="preserve">-</w:t>
            </w:r>
            <w:r/>
          </w:p>
        </w:tc>
      </w:tr>
      <w:tr>
        <w:trPr/>
        <w:tc>
          <w:tcPr>
            <w:tcBorders>
              <w:top w:val="single" w:color="000000" w:sz="4" w:space="0"/>
              <w:left w:val="single" w:color="000000" w:sz="4" w:space="0"/>
              <w:bottom w:val="single" w:color="000000" w:sz="4" w:space="0"/>
              <w:right w:val="none" w:color="000000" w:sz="4" w:space="0"/>
            </w:tcBorders>
            <w:tcW w:w="2059" w:type="dxa"/>
            <w:vAlign w:val="center"/>
            <w:vMerge w:val="restart"/>
            <w:textDirection w:val="lrTb"/>
            <w:noWrap w:val="false"/>
          </w:tcPr>
          <w:p>
            <w:pPr>
              <w:numPr>
                <w:ilvl w:val="0"/>
                <w:numId w:val="32"/>
              </w:numPr>
              <w:jc w:val="center"/>
              <w:rPr>
                <w:rFonts w:ascii="Times New Roman" w:hAnsi="Times New Roman" w:cs="Times New Roman"/>
                <w:highlight w:val="white"/>
              </w:rPr>
            </w:pPr>
            <w:r>
              <w:rPr>
                <w:rFonts w:ascii="Times New Roman" w:hAnsi="Times New Roman" w:cs="Times New Roman"/>
                <w:b/>
                <w:sz w:val="24"/>
                <w:szCs w:val="24"/>
                <w:highlight w:val="white"/>
              </w:rPr>
            </w:r>
            <w:r>
              <w:rPr>
                <w:rFonts w:ascii="Times New Roman" w:hAnsi="Times New Roman" w:cs="Times New Roman"/>
                <w:b/>
                <w:bCs/>
                <w:sz w:val="24"/>
                <w:szCs w:val="24"/>
                <w:highlight w:val="white"/>
              </w:rPr>
            </w:r>
            <w:r/>
          </w:p>
        </w:tc>
        <w:tc>
          <w:tcPr>
            <w:tcBorders>
              <w:top w:val="single" w:color="000000" w:sz="4" w:space="0"/>
              <w:left w:val="single" w:color="000000" w:sz="4" w:space="0"/>
              <w:bottom w:val="single" w:color="000000" w:sz="4" w:space="0"/>
              <w:right w:val="single" w:color="000000" w:sz="4" w:space="0"/>
            </w:tcBorders>
            <w:tcW w:w="5811" w:type="dxa"/>
            <w:vAlign w:val="center"/>
            <w:vMerge w:val="restart"/>
            <w:textDirection w:val="lrTb"/>
            <w:noWrap w:val="false"/>
          </w:tcPr>
          <w:p>
            <w:pPr>
              <w:contextualSpacing w:val="0"/>
              <w:jc w:val="center"/>
              <w:spacing w:line="283" w:lineRule="atLeast"/>
              <w:widowControl w:val="off"/>
              <w:rPr>
                <w:rFonts w:ascii="Times New Roman" w:hAnsi="Times New Roman" w:cs="Times New Roman"/>
                <w:highlight w:val="white"/>
              </w:rPr>
              <w:suppressLineNumbers w:val="0"/>
            </w:pPr>
            <w:r>
              <w:rPr>
                <w:rFonts w:ascii="Times New Roman" w:hAnsi="Times New Roman" w:cs="Times New Roman"/>
                <w:color w:val="000000"/>
                <w:sz w:val="24"/>
                <w:szCs w:val="24"/>
                <w:highlight w:val="white"/>
              </w:rPr>
              <w:t xml:space="preserve">Городище «Казанское 1», </w:t>
            </w:r>
            <w:r>
              <w:rPr>
                <w:rFonts w:ascii="Times New Roman" w:hAnsi="Times New Roman" w:cs="Times New Roman"/>
                <w:color w:val="000000"/>
                <w:sz w:val="24"/>
                <w:szCs w:val="24"/>
                <w:highlight w:val="white"/>
              </w:rPr>
              <w:t xml:space="preserve">железный век</w:t>
            </w:r>
            <w:r>
              <w:rPr>
                <w:rFonts w:ascii="Times New Roman" w:hAnsi="Times New Roman" w:cs="Times New Roman"/>
                <w:highlight w:val="white"/>
              </w:rPr>
            </w:r>
            <w:r/>
          </w:p>
        </w:tc>
        <w:tc>
          <w:tcPr>
            <w:tcBorders>
              <w:top w:val="single" w:color="000000" w:sz="4" w:space="0"/>
              <w:left w:val="single" w:color="000000" w:sz="4" w:space="0"/>
              <w:bottom w:val="single" w:color="000000" w:sz="4" w:space="0"/>
              <w:right w:val="single" w:color="000000" w:sz="4" w:space="0"/>
            </w:tcBorders>
            <w:tcW w:w="6000" w:type="dxa"/>
            <w:vAlign w:val="center"/>
            <w:vMerge w:val="restart"/>
            <w:textDirection w:val="lrTb"/>
            <w:noWrap w:val="false"/>
          </w:tcPr>
          <w:p>
            <w:pPr>
              <w:jc w:val="center"/>
            </w:pPr>
            <w:r>
              <w:rPr>
                <w:rFonts w:ascii="Times New Roman" w:hAnsi="Times New Roman" w:cs="Times New Roman"/>
                <w:highlight w:val="none"/>
              </w:rPr>
              <w:t xml:space="preserve">-</w:t>
            </w:r>
            <w:r/>
          </w:p>
        </w:tc>
      </w:tr>
      <w:tr>
        <w:trPr/>
        <w:tc>
          <w:tcPr>
            <w:tcBorders>
              <w:top w:val="single" w:color="000000" w:sz="4" w:space="0"/>
              <w:left w:val="single" w:color="000000" w:sz="4" w:space="0"/>
              <w:bottom w:val="single" w:color="000000" w:sz="4" w:space="0"/>
              <w:right w:val="none" w:color="000000" w:sz="4" w:space="0"/>
            </w:tcBorders>
            <w:tcW w:w="2059" w:type="dxa"/>
            <w:vAlign w:val="center"/>
            <w:vMerge w:val="restart"/>
            <w:textDirection w:val="lrTb"/>
            <w:noWrap w:val="false"/>
          </w:tcPr>
          <w:p>
            <w:pPr>
              <w:numPr>
                <w:ilvl w:val="0"/>
                <w:numId w:val="32"/>
              </w:numPr>
              <w:jc w:val="center"/>
              <w:rPr>
                <w:rFonts w:ascii="Times New Roman" w:hAnsi="Times New Roman" w:cs="Times New Roman"/>
                <w:highlight w:val="white"/>
              </w:rPr>
            </w:pPr>
            <w:r>
              <w:rPr>
                <w:rFonts w:ascii="Times New Roman" w:hAnsi="Times New Roman" w:cs="Times New Roman"/>
                <w:b/>
                <w:sz w:val="24"/>
                <w:szCs w:val="24"/>
                <w:highlight w:val="white"/>
              </w:rPr>
            </w:r>
            <w:r>
              <w:rPr>
                <w:rFonts w:ascii="Times New Roman" w:hAnsi="Times New Roman" w:cs="Times New Roman"/>
                <w:b/>
                <w:bCs/>
                <w:sz w:val="24"/>
                <w:szCs w:val="24"/>
                <w:highlight w:val="white"/>
              </w:rPr>
            </w:r>
            <w:r/>
          </w:p>
        </w:tc>
        <w:tc>
          <w:tcPr>
            <w:tcBorders>
              <w:top w:val="single" w:color="000000" w:sz="4" w:space="0"/>
              <w:left w:val="single" w:color="000000" w:sz="4" w:space="0"/>
              <w:bottom w:val="single" w:color="000000" w:sz="4" w:space="0"/>
              <w:right w:val="single" w:color="000000" w:sz="4" w:space="0"/>
            </w:tcBorders>
            <w:tcW w:w="5811" w:type="dxa"/>
            <w:vAlign w:val="center"/>
            <w:vMerge w:val="restart"/>
            <w:textDirection w:val="lrTb"/>
            <w:noWrap w:val="false"/>
          </w:tcPr>
          <w:p>
            <w:pPr>
              <w:contextualSpacing w:val="0"/>
              <w:jc w:val="center"/>
              <w:spacing w:line="283" w:lineRule="atLeast"/>
              <w:widowControl w:val="off"/>
              <w:rPr>
                <w:rFonts w:ascii="Times New Roman" w:hAnsi="Times New Roman" w:cs="Times New Roman"/>
                <w:highlight w:val="white"/>
              </w:rPr>
              <w:suppressLineNumbers w:val="0"/>
            </w:pPr>
            <w:r>
              <w:rPr>
                <w:rFonts w:ascii="Times New Roman" w:hAnsi="Times New Roman" w:cs="Times New Roman"/>
                <w:color w:val="000000"/>
                <w:sz w:val="24"/>
                <w:szCs w:val="24"/>
                <w:highlight w:val="white"/>
              </w:rPr>
              <w:t xml:space="preserve">Городище «Казанское 2», </w:t>
            </w:r>
            <w:r>
              <w:rPr>
                <w:rFonts w:ascii="Times New Roman" w:hAnsi="Times New Roman" w:cs="Times New Roman"/>
                <w:color w:val="000000"/>
                <w:sz w:val="24"/>
                <w:szCs w:val="24"/>
                <w:highlight w:val="white"/>
              </w:rPr>
              <w:t xml:space="preserve">железный век</w:t>
            </w:r>
            <w:r>
              <w:rPr>
                <w:rFonts w:ascii="Times New Roman" w:hAnsi="Times New Roman" w:cs="Times New Roman"/>
                <w:highlight w:val="white"/>
              </w:rPr>
            </w:r>
            <w:r/>
          </w:p>
        </w:tc>
        <w:tc>
          <w:tcPr>
            <w:tcBorders>
              <w:top w:val="single" w:color="000000" w:sz="4" w:space="0"/>
              <w:left w:val="single" w:color="000000" w:sz="4" w:space="0"/>
              <w:bottom w:val="single" w:color="000000" w:sz="4" w:space="0"/>
              <w:right w:val="single" w:color="000000" w:sz="4" w:space="0"/>
            </w:tcBorders>
            <w:tcW w:w="6000" w:type="dxa"/>
            <w:vAlign w:val="center"/>
            <w:vMerge w:val="restart"/>
            <w:textDirection w:val="lrTb"/>
            <w:noWrap w:val="false"/>
          </w:tcPr>
          <w:p>
            <w:pPr>
              <w:jc w:val="center"/>
            </w:pPr>
            <w:r>
              <w:rPr>
                <w:rFonts w:ascii="Times New Roman" w:hAnsi="Times New Roman" w:cs="Times New Roman"/>
                <w:highlight w:val="none"/>
              </w:rPr>
              <w:t xml:space="preserve">-</w:t>
            </w:r>
            <w:r/>
          </w:p>
        </w:tc>
      </w:tr>
      <w:tr>
        <w:trPr/>
        <w:tc>
          <w:tcPr>
            <w:tcBorders>
              <w:top w:val="single" w:color="000000" w:sz="4" w:space="0"/>
              <w:left w:val="single" w:color="000000" w:sz="4" w:space="0"/>
              <w:bottom w:val="single" w:color="000000" w:sz="4" w:space="0"/>
              <w:right w:val="none" w:color="000000" w:sz="4" w:space="0"/>
            </w:tcBorders>
            <w:tcW w:w="2059" w:type="dxa"/>
            <w:vAlign w:val="center"/>
            <w:vMerge w:val="restart"/>
            <w:textDirection w:val="lrTb"/>
            <w:noWrap w:val="false"/>
          </w:tcPr>
          <w:p>
            <w:pPr>
              <w:numPr>
                <w:ilvl w:val="0"/>
                <w:numId w:val="32"/>
              </w:numPr>
              <w:jc w:val="center"/>
              <w:rPr>
                <w:rFonts w:ascii="Times New Roman" w:hAnsi="Times New Roman" w:cs="Times New Roman"/>
                <w:highlight w:val="white"/>
              </w:rPr>
            </w:pPr>
            <w:r>
              <w:rPr>
                <w:rFonts w:ascii="Times New Roman" w:hAnsi="Times New Roman" w:cs="Times New Roman"/>
                <w:b/>
                <w:sz w:val="24"/>
                <w:szCs w:val="24"/>
                <w:highlight w:val="white"/>
              </w:rPr>
            </w:r>
            <w:r>
              <w:rPr>
                <w:rFonts w:ascii="Times New Roman" w:hAnsi="Times New Roman" w:cs="Times New Roman"/>
                <w:b/>
                <w:bCs/>
                <w:sz w:val="24"/>
                <w:szCs w:val="24"/>
                <w:highlight w:val="white"/>
              </w:rPr>
            </w:r>
            <w:r/>
          </w:p>
        </w:tc>
        <w:tc>
          <w:tcPr>
            <w:tcBorders>
              <w:top w:val="single" w:color="000000" w:sz="4" w:space="0"/>
              <w:left w:val="single" w:color="000000" w:sz="4" w:space="0"/>
              <w:bottom w:val="single" w:color="000000" w:sz="4" w:space="0"/>
              <w:right w:val="single" w:color="000000" w:sz="4" w:space="0"/>
            </w:tcBorders>
            <w:tcW w:w="5811" w:type="dxa"/>
            <w:vAlign w:val="center"/>
            <w:vMerge w:val="restart"/>
            <w:textDirection w:val="lrTb"/>
            <w:noWrap w:val="false"/>
          </w:tcPr>
          <w:p>
            <w:pPr>
              <w:contextualSpacing w:val="0"/>
              <w:jc w:val="center"/>
              <w:spacing w:line="283" w:lineRule="atLeast"/>
              <w:widowControl w:val="off"/>
              <w:rPr>
                <w:rFonts w:ascii="Times New Roman" w:hAnsi="Times New Roman" w:cs="Times New Roman"/>
                <w:highlight w:val="white"/>
              </w:rPr>
              <w:suppressLineNumbers w:val="0"/>
            </w:pPr>
            <w:r>
              <w:rPr>
                <w:rFonts w:ascii="Times New Roman" w:hAnsi="Times New Roman" w:cs="Times New Roman"/>
                <w:color w:val="000000"/>
                <w:sz w:val="24"/>
                <w:szCs w:val="24"/>
                <w:highlight w:val="white"/>
              </w:rPr>
              <w:t xml:space="preserve">Городище «Казанское 3», </w:t>
            </w:r>
            <w:r>
              <w:rPr>
                <w:rFonts w:ascii="Times New Roman" w:hAnsi="Times New Roman" w:cs="Times New Roman"/>
                <w:color w:val="000000"/>
                <w:sz w:val="24"/>
                <w:szCs w:val="24"/>
                <w:highlight w:val="white"/>
              </w:rPr>
              <w:t xml:space="preserve">железный век</w:t>
            </w:r>
            <w:r>
              <w:rPr>
                <w:rFonts w:ascii="Times New Roman" w:hAnsi="Times New Roman" w:cs="Times New Roman"/>
                <w:highlight w:val="white"/>
              </w:rPr>
            </w:r>
            <w:r/>
          </w:p>
        </w:tc>
        <w:tc>
          <w:tcPr>
            <w:tcBorders>
              <w:top w:val="single" w:color="000000" w:sz="4" w:space="0"/>
              <w:left w:val="single" w:color="000000" w:sz="4" w:space="0"/>
              <w:bottom w:val="single" w:color="000000" w:sz="4" w:space="0"/>
              <w:right w:val="single" w:color="000000" w:sz="4" w:space="0"/>
            </w:tcBorders>
            <w:tcW w:w="6000" w:type="dxa"/>
            <w:vAlign w:val="center"/>
            <w:vMerge w:val="restart"/>
            <w:textDirection w:val="lrTb"/>
            <w:noWrap w:val="false"/>
          </w:tcPr>
          <w:p>
            <w:pPr>
              <w:jc w:val="center"/>
            </w:pPr>
            <w:r>
              <w:rPr>
                <w:rFonts w:ascii="Times New Roman" w:hAnsi="Times New Roman" w:cs="Times New Roman"/>
                <w:highlight w:val="none"/>
              </w:rPr>
              <w:t xml:space="preserve">-</w:t>
            </w:r>
            <w:r/>
          </w:p>
        </w:tc>
      </w:tr>
      <w:tr>
        <w:trPr/>
        <w:tc>
          <w:tcPr>
            <w:tcBorders>
              <w:top w:val="single" w:color="000000" w:sz="4" w:space="0"/>
              <w:left w:val="single" w:color="000000" w:sz="4" w:space="0"/>
              <w:bottom w:val="single" w:color="000000" w:sz="4" w:space="0"/>
              <w:right w:val="none" w:color="000000" w:sz="4" w:space="0"/>
            </w:tcBorders>
            <w:tcW w:w="2059" w:type="dxa"/>
            <w:vAlign w:val="center"/>
            <w:vMerge w:val="restart"/>
            <w:textDirection w:val="lrTb"/>
            <w:noWrap w:val="false"/>
          </w:tcPr>
          <w:p>
            <w:pPr>
              <w:numPr>
                <w:ilvl w:val="0"/>
                <w:numId w:val="32"/>
              </w:numPr>
              <w:jc w:val="center"/>
              <w:rPr>
                <w:rFonts w:ascii="Times New Roman" w:hAnsi="Times New Roman" w:cs="Times New Roman"/>
                <w:highlight w:val="white"/>
              </w:rPr>
            </w:pPr>
            <w:r>
              <w:rPr>
                <w:rFonts w:ascii="Times New Roman" w:hAnsi="Times New Roman" w:cs="Times New Roman"/>
                <w:b/>
                <w:sz w:val="24"/>
                <w:szCs w:val="24"/>
                <w:highlight w:val="white"/>
              </w:rPr>
            </w:r>
            <w:r>
              <w:rPr>
                <w:rFonts w:ascii="Times New Roman" w:hAnsi="Times New Roman" w:cs="Times New Roman"/>
                <w:b/>
                <w:bCs/>
                <w:sz w:val="24"/>
                <w:szCs w:val="24"/>
                <w:highlight w:val="white"/>
              </w:rPr>
            </w:r>
            <w:r/>
          </w:p>
        </w:tc>
        <w:tc>
          <w:tcPr>
            <w:tcBorders>
              <w:top w:val="single" w:color="000000" w:sz="4" w:space="0"/>
              <w:left w:val="single" w:color="000000" w:sz="4" w:space="0"/>
              <w:bottom w:val="single" w:color="000000" w:sz="4" w:space="0"/>
              <w:right w:val="single" w:color="000000" w:sz="4" w:space="0"/>
            </w:tcBorders>
            <w:tcW w:w="5811" w:type="dxa"/>
            <w:vAlign w:val="center"/>
            <w:vMerge w:val="restart"/>
            <w:textDirection w:val="lrTb"/>
            <w:noWrap w:val="false"/>
          </w:tcPr>
          <w:p>
            <w:pPr>
              <w:contextualSpacing w:val="0"/>
              <w:jc w:val="center"/>
              <w:spacing w:line="283" w:lineRule="atLeast"/>
              <w:widowControl w:val="off"/>
              <w:rPr>
                <w:rFonts w:ascii="Times New Roman" w:hAnsi="Times New Roman" w:cs="Times New Roman"/>
                <w:highlight w:val="white"/>
              </w:rPr>
              <w:suppressLineNumbers w:val="0"/>
            </w:pPr>
            <w:r>
              <w:rPr>
                <w:rFonts w:ascii="Times New Roman" w:hAnsi="Times New Roman" w:cs="Times New Roman"/>
                <w:color w:val="000000"/>
                <w:sz w:val="24"/>
                <w:szCs w:val="24"/>
                <w:highlight w:val="white"/>
              </w:rPr>
              <w:t xml:space="preserve">Городище «Казанское 4», </w:t>
            </w:r>
            <w:r>
              <w:rPr>
                <w:rFonts w:ascii="Times New Roman" w:hAnsi="Times New Roman" w:cs="Times New Roman"/>
                <w:color w:val="000000"/>
                <w:sz w:val="24"/>
                <w:szCs w:val="24"/>
                <w:highlight w:val="white"/>
              </w:rPr>
              <w:t xml:space="preserve">железный век</w:t>
            </w:r>
            <w:r>
              <w:rPr>
                <w:rFonts w:ascii="Times New Roman" w:hAnsi="Times New Roman" w:cs="Times New Roman"/>
                <w:highlight w:val="white"/>
              </w:rPr>
            </w:r>
            <w:r/>
          </w:p>
        </w:tc>
        <w:tc>
          <w:tcPr>
            <w:tcBorders>
              <w:top w:val="single" w:color="000000" w:sz="4" w:space="0"/>
              <w:left w:val="single" w:color="000000" w:sz="4" w:space="0"/>
              <w:bottom w:val="single" w:color="000000" w:sz="4" w:space="0"/>
              <w:right w:val="single" w:color="000000" w:sz="4" w:space="0"/>
            </w:tcBorders>
            <w:tcW w:w="6000" w:type="dxa"/>
            <w:vAlign w:val="center"/>
            <w:vMerge w:val="restart"/>
            <w:textDirection w:val="lrTb"/>
            <w:noWrap w:val="false"/>
          </w:tcPr>
          <w:p>
            <w:pPr>
              <w:jc w:val="center"/>
            </w:pPr>
            <w:r>
              <w:rPr>
                <w:rFonts w:ascii="Times New Roman" w:hAnsi="Times New Roman" w:cs="Times New Roman"/>
                <w:highlight w:val="none"/>
              </w:rPr>
              <w:t xml:space="preserve">-</w:t>
            </w:r>
            <w:r/>
          </w:p>
        </w:tc>
      </w:tr>
    </w:tbl>
    <w:p>
      <w:pPr>
        <w:pStyle w:val="910"/>
      </w:pPr>
      <w:r>
        <w:rPr>
          <w:rFonts w:ascii="Times New Roman" w:hAnsi="Times New Roman" w:cs="Times New Roman"/>
          <w:sz w:val="24"/>
          <w:szCs w:val="24"/>
          <w:highlight w:val="none"/>
        </w:rPr>
      </w:r>
      <w:r>
        <w:rPr>
          <w:rFonts w:ascii="Times New Roman" w:hAnsi="Times New Roman" w:cs="Times New Roman"/>
          <w:sz w:val="24"/>
          <w:szCs w:val="24"/>
          <w:highlight w:val="none"/>
        </w:rPr>
      </w:r>
      <w:r/>
    </w:p>
    <w:p>
      <w:pPr>
        <w:pStyle w:val="910"/>
        <w:rPr>
          <w:rFonts w:ascii="Times New Roman" w:hAnsi="Times New Roman" w:cs="Times New Roman"/>
          <w:sz w:val="24"/>
          <w:szCs w:val="24"/>
          <w:highlight w:val="none"/>
        </w:rPr>
      </w:pPr>
      <w:r>
        <w:rPr>
          <w:rFonts w:ascii="Times New Roman" w:hAnsi="Times New Roman" w:eastAsia="Calibri" w:cs="Times New Roman"/>
          <w:sz w:val="24"/>
          <w:szCs w:val="24"/>
        </w:rPr>
        <w:t xml:space="preserve">Примечание - * На основании пункта 3 приказа Минкультуры России от 1 сентября 2015 года № 2328 «Об утверждении перечня отдельных сведений об объектах археологического наследия, которые не подлежат опубликованию» описание границ территории объекта арх</w:t>
      </w:r>
      <w:r>
        <w:rPr>
          <w:rFonts w:ascii="Times New Roman" w:hAnsi="Times New Roman" w:eastAsia="Calibri" w:cs="Times New Roman"/>
          <w:sz w:val="24"/>
          <w:szCs w:val="24"/>
        </w:rPr>
        <w:t xml:space="preserve">еологического  наследия с приложением текстового описания местоположения этих границ, перечень координат характерных точек этих границ в системе координат, установленной для ведения государственного кадастра объектов недвижимости, не подлежит опубликованию</w:t>
      </w:r>
      <w:r>
        <w:rPr>
          <w:rFonts w:ascii="Times New Roman" w:hAnsi="Times New Roman" w:cs="Times New Roman"/>
          <w:sz w:val="24"/>
          <w:szCs w:val="24"/>
        </w:rPr>
        <w:t xml:space="preserve">.</w:t>
      </w:r>
      <w:r/>
    </w:p>
    <w:p>
      <w:pPr>
        <w:pStyle w:val="910"/>
      </w:pPr>
      <w:r/>
      <w:r/>
    </w:p>
    <w:p>
      <w:pPr>
        <w:pStyle w:val="910"/>
        <w:rPr>
          <w:sz w:val="24"/>
        </w:rPr>
      </w:pPr>
      <w:r>
        <w:rPr>
          <w:sz w:val="24"/>
        </w:rPr>
        <w:t xml:space="preserve">Заместитель главы </w:t>
      </w:r>
      <w:r/>
    </w:p>
    <w:p>
      <w:pPr>
        <w:widowControl/>
        <w:rPr>
          <w:sz w:val="24"/>
          <w:szCs w:val="24"/>
          <w:lang w:eastAsia="ru-RU"/>
        </w:rPr>
      </w:pPr>
      <w:r>
        <w:rPr>
          <w:sz w:val="24"/>
          <w:szCs w:val="24"/>
          <w:lang w:eastAsia="ru-RU"/>
        </w:rPr>
        <w:t xml:space="preserve">муниципального образования </w:t>
      </w:r>
      <w:r/>
    </w:p>
    <w:p>
      <w:pPr>
        <w:widowControl/>
        <w:rPr>
          <w:sz w:val="24"/>
          <w:szCs w:val="24"/>
        </w:rPr>
      </w:pPr>
      <w:r>
        <w:rPr>
          <w:sz w:val="24"/>
          <w:szCs w:val="24"/>
        </w:rPr>
        <w:t xml:space="preserve">Кавказский район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М.Н.Козлова</w:t>
      </w:r>
      <w:r/>
    </w:p>
    <w:p>
      <w:pPr>
        <w:widowControl/>
        <w:rPr>
          <w:lang w:eastAsia="ru-RU"/>
        </w:rPr>
      </w:pPr>
      <w:r>
        <w:rPr>
          <w:lang w:eastAsia="ru-RU"/>
        </w:rPr>
      </w:r>
      <w:r/>
    </w:p>
    <w:sectPr>
      <w:headerReference w:type="default" r:id="rId9"/>
      <w:footnotePr/>
      <w:endnotePr/>
      <w:type w:val="nextPage"/>
      <w:pgSz w:w="16838" w:h="11906" w:orient="landscape"/>
      <w:pgMar w:top="993" w:right="536" w:bottom="426" w:left="1134" w:header="708" w:footer="708"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font>
  <w:font w:name="LiberationSerif">
    <w:panose1 w:val="02020603050405020304"/>
  </w:font>
  <w:font w:name="Calibri Light">
    <w:panose1 w:val="020F0302020204030204"/>
  </w:font>
  <w:font w:name="Consolas">
    <w:panose1 w:val="020B0609020204030204"/>
  </w:font>
  <w:font w:name="StarSymbol, &amp;apos;Arial Unicode MS&amp;apos;">
    <w:panose1 w:val="02000603000000000000"/>
  </w:font>
  <w:font w:name="Verdana">
    <w:panose1 w:val="020B0604030504040204"/>
  </w:font>
  <w:font w:name="Tahoma">
    <w:panose1 w:val="020B0604030504040204"/>
  </w:font>
  <w:font w:name="SimSun">
    <w:panose1 w:val="02010600030101010101"/>
  </w:font>
  <w:font w:name="Courier New">
    <w:panose1 w:val="02070309020205020404"/>
  </w:font>
  <w:font w:name="PT Sans">
    <w:panose1 w:val="020B0503020203020204"/>
  </w:font>
  <w:font w:name="Wingdings">
    <w:panose1 w:val="05000000000000000000"/>
  </w:font>
  <w:font w:name="Symbol">
    <w:panose1 w:val="05050102010706020507"/>
  </w:font>
  <w:font w:name="Calibri">
    <w:panose1 w:val="020F0502020204030204"/>
  </w:font>
  <w:font w:name="Cambria">
    <w:panose1 w:val="02040503050406030204"/>
  </w:font>
  <w:font w:name="Arial">
    <w:panose1 w:val="020B0604020202020204"/>
  </w:font>
  <w:font w:name="Times New Roman">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tbl>
    <w:tblPr>
      <w:tblW w:w="4991" w:type="pct"/>
      <w:tblBorders>
        <w:top w:val="single" w:color="auto" w:sz="4" w:space="0"/>
        <w:left w:val="single" w:color="auto" w:sz="4" w:space="0"/>
        <w:bottom w:val="single" w:color="auto" w:sz="4" w:space="0"/>
        <w:right w:val="single" w:color="auto" w:sz="4" w:space="0"/>
      </w:tblBorders>
      <w:tblCellMar>
        <w:left w:w="0" w:type="dxa"/>
        <w:right w:w="0" w:type="dxa"/>
      </w:tblCellMar>
      <w:tblLook w:val="0000" w:firstRow="0" w:lastRow="0" w:firstColumn="0" w:lastColumn="0" w:noHBand="0" w:noVBand="0"/>
    </w:tblPr>
    <w:tblGrid>
      <w:gridCol w:w="623"/>
      <w:gridCol w:w="13549"/>
      <w:gridCol w:w="986"/>
    </w:tblGrid>
    <w:tr>
      <w:trPr>
        <w:trHeight w:val="277"/>
      </w:trPr>
      <w:tc>
        <w:tcPr>
          <w:tcBorders>
            <w:top w:val="none" w:color="000000" w:sz="4" w:space="0"/>
            <w:left w:val="none" w:color="000000" w:sz="4" w:space="0"/>
            <w:bottom w:val="none" w:color="000000" w:sz="4" w:space="0"/>
            <w:right w:val="none" w:color="000000" w:sz="4" w:space="0"/>
          </w:tcBorders>
          <w:tcW w:w="607" w:type="dxa"/>
          <w:textDirection w:val="lrTb"/>
          <w:noWrap/>
        </w:tcPr>
        <w:p>
          <w:pPr>
            <w:rPr>
              <w:lang w:eastAsia="ru-RU"/>
            </w:rPr>
          </w:pPr>
          <w:r>
            <w:rPr>
              <w:lang w:eastAsia="ru-RU"/>
            </w:rPr>
          </w:r>
          <w:r/>
        </w:p>
      </w:tc>
      <w:tc>
        <w:tcPr>
          <w:tcBorders>
            <w:top w:val="none" w:color="000000" w:sz="4" w:space="0"/>
            <w:left w:val="none" w:color="000000" w:sz="4" w:space="0"/>
            <w:bottom w:val="none" w:color="000000" w:sz="4" w:space="0"/>
            <w:right w:val="none" w:color="000000" w:sz="4" w:space="0"/>
          </w:tcBorders>
          <w:tcW w:w="13549" w:type="dxa"/>
          <w:textDirection w:val="lrTb"/>
          <w:noWrap/>
        </w:tcPr>
        <w:p>
          <w:pPr>
            <w:ind w:left="-426" w:right="-1"/>
            <w:jc w:val="center"/>
            <w:rPr>
              <w:lang w:eastAsia="ru-RU"/>
            </w:rPr>
          </w:pPr>
          <w:r>
            <w:rPr>
              <w:lang w:eastAsia="ru-RU"/>
            </w:rPr>
            <w:t xml:space="preserve">Правила землепользования и застройки Казанского сельского поселения Кавказского района</w:t>
          </w:r>
          <w:r/>
        </w:p>
      </w:tc>
      <w:tc>
        <w:tcPr>
          <w:tcBorders>
            <w:top w:val="none" w:color="000000" w:sz="4" w:space="0"/>
            <w:left w:val="none" w:color="000000" w:sz="4" w:space="0"/>
            <w:bottom w:val="none" w:color="000000" w:sz="4" w:space="0"/>
            <w:right w:val="none" w:color="000000" w:sz="4" w:space="0"/>
          </w:tcBorders>
          <w:tcW w:w="986" w:type="dxa"/>
          <w:textDirection w:val="lrTb"/>
          <w:noWrap/>
        </w:tcPr>
        <w:p>
          <w:pPr>
            <w:jc w:val="right"/>
            <w:rPr>
              <w:lang w:eastAsia="ru-RU"/>
            </w:rPr>
          </w:pPr>
          <w:r>
            <w:rPr>
              <w:lang w:eastAsia="ru-RU"/>
            </w:rPr>
            <w:fldChar w:fldCharType="begin"/>
          </w:r>
          <w:r>
            <w:rPr>
              <w:lang w:eastAsia="ru-RU"/>
            </w:rPr>
            <w:instrText xml:space="preserve">PAGE  \* MERGEFORMAT </w:instrText>
          </w:r>
          <w:r>
            <w:rPr>
              <w:lang w:eastAsia="ru-RU"/>
            </w:rPr>
            <w:fldChar w:fldCharType="separate"/>
          </w:r>
          <w:r>
            <w:rPr>
              <w:lang w:eastAsia="ru-RU"/>
            </w:rPr>
            <w:t xml:space="preserve">102</w:t>
          </w:r>
          <w:r>
            <w:rPr>
              <w:lang w:eastAsia="ru-RU"/>
            </w:rPr>
            <w:fldChar w:fldCharType="end"/>
          </w:r>
          <w:r>
            <w:rPr>
              <w:lang w:eastAsia="ru-RU"/>
            </w:rPr>
            <w:t xml:space="preserve">/</w:t>
          </w:r>
          <w:fldSimple w:instr="NUMPAGES \* MERGEFORMAT">
            <w:r>
              <w:rPr>
                <w:lang w:eastAsia="ru-RU"/>
              </w:rPr>
              <w:t xml:space="preserve">115</w:t>
            </w:r>
          </w:fldSimple>
          <w:r>
            <w:rPr>
              <w:lang w:eastAsia="ru-RU"/>
            </w:rPr>
          </w:r>
          <w:r>
            <w:rPr>
              <w:lang w:eastAsia="ru-RU"/>
            </w:rPr>
          </w:r>
          <w:r/>
        </w:p>
      </w:tc>
    </w:tr>
  </w:tbl>
  <w:p>
    <w:pPr>
      <w:pStyle w:val="1020"/>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styleLink w:val="1286"/>
    <w:lvl w:ilvl="0">
      <w:start w:val="1"/>
      <w:numFmt w:val="bullet"/>
      <w:pStyle w:val="1286"/>
      <w:isLgl w:val="false"/>
      <w:suff w:val="tab"/>
      <w:lvlText w:val="–"/>
      <w:lvlJc w:val="left"/>
      <w:pPr>
        <w:ind w:left="76" w:firstLine="993"/>
        <w:tabs>
          <w:tab w:val="num" w:pos="1352" w:leader="none"/>
        </w:tabs>
      </w:pPr>
      <w:rPr>
        <w:rFonts w:hint="default"/>
        <w:sz w:val="24"/>
      </w:rPr>
    </w:lvl>
    <w:lvl w:ilvl="1">
      <w:start w:val="1"/>
      <w:numFmt w:val="bullet"/>
      <w:isLgl w:val="false"/>
      <w:suff w:val="tab"/>
      <w:lvlText w:val="o"/>
      <w:lvlJc w:val="left"/>
      <w:pPr>
        <w:ind w:left="2225" w:hanging="360"/>
        <w:tabs>
          <w:tab w:val="num" w:pos="2225" w:leader="none"/>
        </w:tabs>
      </w:pPr>
      <w:rPr>
        <w:rFonts w:hint="default" w:ascii="Courier New" w:hAnsi="Courier New"/>
      </w:rPr>
    </w:lvl>
    <w:lvl w:ilvl="2">
      <w:start w:val="1"/>
      <w:numFmt w:val="bullet"/>
      <w:isLgl w:val="false"/>
      <w:suff w:val="tab"/>
      <w:lvlText w:val=""/>
      <w:lvlJc w:val="left"/>
      <w:pPr>
        <w:ind w:left="2945" w:hanging="360"/>
        <w:tabs>
          <w:tab w:val="num" w:pos="2945" w:leader="none"/>
        </w:tabs>
      </w:pPr>
      <w:rPr>
        <w:rFonts w:hint="default" w:ascii="Wingdings" w:hAnsi="Wingdings"/>
      </w:rPr>
    </w:lvl>
    <w:lvl w:ilvl="3">
      <w:start w:val="1"/>
      <w:numFmt w:val="bullet"/>
      <w:isLgl w:val="false"/>
      <w:suff w:val="tab"/>
      <w:lvlText w:val=""/>
      <w:lvlJc w:val="left"/>
      <w:pPr>
        <w:ind w:left="3665" w:hanging="360"/>
        <w:tabs>
          <w:tab w:val="num" w:pos="3665" w:leader="none"/>
        </w:tabs>
      </w:pPr>
      <w:rPr>
        <w:rFonts w:hint="default" w:ascii="Symbol" w:hAnsi="Symbol"/>
      </w:rPr>
    </w:lvl>
    <w:lvl w:ilvl="4">
      <w:start w:val="1"/>
      <w:numFmt w:val="bullet"/>
      <w:isLgl w:val="false"/>
      <w:suff w:val="tab"/>
      <w:lvlText w:val="o"/>
      <w:lvlJc w:val="left"/>
      <w:pPr>
        <w:ind w:left="4385" w:hanging="360"/>
        <w:tabs>
          <w:tab w:val="num" w:pos="4385" w:leader="none"/>
        </w:tabs>
      </w:pPr>
      <w:rPr>
        <w:rFonts w:hint="default" w:ascii="Courier New" w:hAnsi="Courier New" w:cs="Courier New"/>
      </w:rPr>
    </w:lvl>
    <w:lvl w:ilvl="5">
      <w:start w:val="1"/>
      <w:numFmt w:val="bullet"/>
      <w:isLgl w:val="false"/>
      <w:suff w:val="tab"/>
      <w:lvlText w:val=""/>
      <w:lvlJc w:val="left"/>
      <w:pPr>
        <w:ind w:left="5105" w:hanging="360"/>
        <w:tabs>
          <w:tab w:val="num" w:pos="5105" w:leader="none"/>
        </w:tabs>
      </w:pPr>
      <w:rPr>
        <w:rFonts w:hint="default" w:ascii="Wingdings" w:hAnsi="Wingdings"/>
      </w:rPr>
    </w:lvl>
    <w:lvl w:ilvl="6">
      <w:start w:val="1"/>
      <w:numFmt w:val="bullet"/>
      <w:isLgl w:val="false"/>
      <w:suff w:val="tab"/>
      <w:lvlText w:val=""/>
      <w:lvlJc w:val="left"/>
      <w:pPr>
        <w:ind w:left="5825" w:hanging="360"/>
        <w:tabs>
          <w:tab w:val="num" w:pos="5825" w:leader="none"/>
        </w:tabs>
      </w:pPr>
      <w:rPr>
        <w:rFonts w:hint="default" w:ascii="Symbol" w:hAnsi="Symbol"/>
      </w:rPr>
    </w:lvl>
    <w:lvl w:ilvl="7">
      <w:start w:val="1"/>
      <w:numFmt w:val="bullet"/>
      <w:isLgl w:val="false"/>
      <w:suff w:val="tab"/>
      <w:lvlText w:val="o"/>
      <w:lvlJc w:val="left"/>
      <w:pPr>
        <w:ind w:left="6545" w:hanging="360"/>
        <w:tabs>
          <w:tab w:val="num" w:pos="6545" w:leader="none"/>
        </w:tabs>
      </w:pPr>
      <w:rPr>
        <w:rFonts w:hint="default" w:ascii="Courier New" w:hAnsi="Courier New" w:cs="Courier New"/>
      </w:rPr>
    </w:lvl>
    <w:lvl w:ilvl="8">
      <w:start w:val="1"/>
      <w:numFmt w:val="bullet"/>
      <w:isLgl w:val="false"/>
      <w:suff w:val="tab"/>
      <w:lvlText w:val=""/>
      <w:lvlJc w:val="left"/>
      <w:pPr>
        <w:ind w:left="7265" w:hanging="360"/>
        <w:tabs>
          <w:tab w:val="num" w:pos="7265" w:leader="none"/>
        </w:tabs>
      </w:pPr>
      <w:rPr>
        <w:rFonts w:hint="default" w:ascii="Wingdings" w:hAnsi="Wingdings"/>
      </w:rPr>
    </w:lvl>
  </w:abstractNum>
  <w:abstractNum w:abstractNumId="1">
    <w:multiLevelType w:val="hybridMultilevel"/>
    <w:lvl w:ilvl="0">
      <w:start w:val="1"/>
      <w:numFmt w:val="bullet"/>
      <w:isLgl w:val="false"/>
      <w:suff w:val="tab"/>
      <w:lvlText w:val=""/>
      <w:lvlJc w:val="left"/>
      <w:pPr>
        <w:ind w:left="643" w:hanging="360"/>
      </w:pPr>
      <w:rPr>
        <w:rFonts w:ascii="Symbol" w:hAnsi="Symbol"/>
      </w:rPr>
    </w:lvl>
    <w:lvl w:ilvl="1">
      <w:start w:val="1"/>
      <w:numFmt w:val="lowerLetter"/>
      <w:isLgl w:val="false"/>
      <w:suff w:val="tab"/>
      <w:lvlText w:val="%2."/>
      <w:lvlJc w:val="left"/>
      <w:pPr>
        <w:ind w:left="3490" w:hanging="360"/>
      </w:pPr>
    </w:lvl>
    <w:lvl w:ilvl="2">
      <w:start w:val="1"/>
      <w:numFmt w:val="lowerRoman"/>
      <w:isLgl w:val="false"/>
      <w:suff w:val="tab"/>
      <w:lvlText w:val="%3."/>
      <w:lvlJc w:val="right"/>
      <w:pPr>
        <w:ind w:left="4210" w:hanging="180"/>
      </w:pPr>
    </w:lvl>
    <w:lvl w:ilvl="3">
      <w:start w:val="1"/>
      <w:numFmt w:val="decimal"/>
      <w:isLgl w:val="false"/>
      <w:suff w:val="tab"/>
      <w:lvlText w:val="%4."/>
      <w:lvlJc w:val="left"/>
      <w:pPr>
        <w:ind w:left="4930" w:hanging="360"/>
      </w:pPr>
    </w:lvl>
    <w:lvl w:ilvl="4">
      <w:start w:val="1"/>
      <w:numFmt w:val="lowerLetter"/>
      <w:isLgl w:val="false"/>
      <w:suff w:val="tab"/>
      <w:lvlText w:val="%5."/>
      <w:lvlJc w:val="left"/>
      <w:pPr>
        <w:ind w:left="5650" w:hanging="360"/>
      </w:pPr>
    </w:lvl>
    <w:lvl w:ilvl="5">
      <w:start w:val="1"/>
      <w:numFmt w:val="lowerRoman"/>
      <w:isLgl w:val="false"/>
      <w:suff w:val="tab"/>
      <w:lvlText w:val="%6."/>
      <w:lvlJc w:val="right"/>
      <w:pPr>
        <w:ind w:left="6370" w:hanging="180"/>
      </w:pPr>
    </w:lvl>
    <w:lvl w:ilvl="6">
      <w:start w:val="1"/>
      <w:numFmt w:val="decimal"/>
      <w:isLgl w:val="false"/>
      <w:suff w:val="tab"/>
      <w:lvlText w:val="%7."/>
      <w:lvlJc w:val="left"/>
      <w:pPr>
        <w:ind w:left="7090" w:hanging="360"/>
      </w:pPr>
    </w:lvl>
    <w:lvl w:ilvl="7">
      <w:start w:val="1"/>
      <w:numFmt w:val="lowerLetter"/>
      <w:isLgl w:val="false"/>
      <w:suff w:val="tab"/>
      <w:lvlText w:val="%8."/>
      <w:lvlJc w:val="left"/>
      <w:pPr>
        <w:ind w:left="7810" w:hanging="360"/>
      </w:pPr>
    </w:lvl>
    <w:lvl w:ilvl="8">
      <w:start w:val="1"/>
      <w:numFmt w:val="lowerRoman"/>
      <w:isLgl w:val="false"/>
      <w:suff w:val="tab"/>
      <w:lvlText w:val="%9."/>
      <w:lvlJc w:val="right"/>
      <w:pPr>
        <w:ind w:left="8530" w:hanging="180"/>
      </w:pPr>
    </w:lvl>
  </w:abstractNum>
  <w:abstractNum w:abstractNumId="2">
    <w:multiLevelType w:val="hybridMultilevel"/>
    <w:lvl w:ilvl="0">
      <w:start w:val="1"/>
      <w:numFmt w:val="decimal"/>
      <w:pStyle w:val="1109"/>
      <w:isLgl/>
      <w:suff w:val="space"/>
      <w:lvlText w:val="%1"/>
      <w:lvlJc w:val="left"/>
      <w:pPr>
        <w:ind w:left="0" w:firstLine="567"/>
      </w:pPr>
      <w:rPr>
        <w:rFonts w:hint="default"/>
      </w:rPr>
    </w:lvl>
    <w:lvl w:ilvl="1">
      <w:start w:val="1"/>
      <w:numFmt w:val="none"/>
      <w:isLgl w:val="false"/>
      <w:suff w:val="tab"/>
      <w:lvlText w:val=""/>
      <w:lvlJc w:val="left"/>
      <w:pPr>
        <w:tabs>
          <w:tab w:val="num" w:pos="360" w:leader="none"/>
        </w:tabs>
      </w:pPr>
    </w:lvl>
    <w:lvl w:ilvl="2">
      <w:start w:val="1"/>
      <w:numFmt w:val="none"/>
      <w:isLgl w:val="false"/>
      <w:suff w:val="tab"/>
      <w:lvlText w:val=""/>
      <w:lvlJc w:val="left"/>
      <w:pPr>
        <w:tabs>
          <w:tab w:val="num" w:pos="360" w:leader="none"/>
        </w:tabs>
      </w:pPr>
    </w:lvl>
    <w:lvl w:ilvl="3">
      <w:start w:val="1"/>
      <w:numFmt w:val="none"/>
      <w:isLgl w:val="false"/>
      <w:suff w:val="tab"/>
      <w:lvlText w:val=""/>
      <w:lvlJc w:val="left"/>
      <w:pPr>
        <w:tabs>
          <w:tab w:val="num" w:pos="360" w:leader="none"/>
        </w:tabs>
      </w:pPr>
    </w:lvl>
    <w:lvl w:ilvl="4">
      <w:start w:val="1"/>
      <w:numFmt w:val="none"/>
      <w:isLgl w:val="false"/>
      <w:suff w:val="tab"/>
      <w:lvlText w:val=""/>
      <w:lvlJc w:val="left"/>
      <w:pPr>
        <w:tabs>
          <w:tab w:val="num" w:pos="360" w:leader="none"/>
        </w:tabs>
      </w:pPr>
    </w:lvl>
    <w:lvl w:ilvl="5">
      <w:start w:val="1"/>
      <w:numFmt w:val="none"/>
      <w:isLgl w:val="false"/>
      <w:suff w:val="tab"/>
      <w:lvlText w:val=""/>
      <w:lvlJc w:val="left"/>
      <w:pPr>
        <w:tabs>
          <w:tab w:val="num" w:pos="360" w:leader="none"/>
        </w:tabs>
      </w:pPr>
    </w:lvl>
    <w:lvl w:ilvl="6">
      <w:start w:val="1"/>
      <w:numFmt w:val="none"/>
      <w:isLgl w:val="false"/>
      <w:suff w:val="tab"/>
      <w:lvlText w:val=""/>
      <w:lvlJc w:val="left"/>
      <w:pPr>
        <w:tabs>
          <w:tab w:val="num" w:pos="360" w:leader="none"/>
        </w:tabs>
      </w:pPr>
    </w:lvl>
    <w:lvl w:ilvl="7">
      <w:start w:val="1"/>
      <w:numFmt w:val="none"/>
      <w:isLgl w:val="false"/>
      <w:suff w:val="tab"/>
      <w:lvlText w:val=""/>
      <w:lvlJc w:val="left"/>
      <w:pPr>
        <w:tabs>
          <w:tab w:val="num" w:pos="360" w:leader="none"/>
        </w:tabs>
      </w:pPr>
    </w:lvl>
    <w:lvl w:ilvl="8">
      <w:start w:val="1"/>
      <w:numFmt w:val="none"/>
      <w:isLgl w:val="false"/>
      <w:suff w:val="tab"/>
      <w:lvlText w:val=""/>
      <w:lvlJc w:val="left"/>
      <w:pPr>
        <w:tabs>
          <w:tab w:val="num" w:pos="360" w:leader="none"/>
        </w:tabs>
      </w:pPr>
    </w:lvl>
  </w:abstractNum>
  <w:abstractNum w:abstractNumId="3">
    <w:multiLevelType w:val="hybridMultilevel"/>
    <w:lvl w:ilvl="0">
      <w:start w:val="1"/>
      <w:numFmt w:val="none"/>
      <w:pStyle w:val="901"/>
      <w:isLgl w:val="false"/>
      <w:suff w:val="nothing"/>
      <w:lvlText w:val=""/>
      <w:lvlJc w:val="left"/>
      <w:pPr>
        <w:ind w:left="432" w:hanging="432"/>
        <w:tabs>
          <w:tab w:val="num" w:pos="0" w:leader="none"/>
        </w:tabs>
      </w:pPr>
    </w:lvl>
    <w:lvl w:ilvl="1">
      <w:start w:val="1"/>
      <w:numFmt w:val="none"/>
      <w:isLgl w:val="false"/>
      <w:suff w:val="nothing"/>
      <w:lvlText w:val=""/>
      <w:lvlJc w:val="left"/>
      <w:pPr>
        <w:ind w:left="576" w:hanging="576"/>
        <w:tabs>
          <w:tab w:val="num" w:pos="0" w:leader="none"/>
        </w:tabs>
      </w:pPr>
    </w:lvl>
    <w:lvl w:ilvl="2">
      <w:start w:val="1"/>
      <w:numFmt w:val="none"/>
      <w:isLgl w:val="false"/>
      <w:suff w:val="nothing"/>
      <w:lvlText w:val=""/>
      <w:lvlJc w:val="left"/>
      <w:pPr>
        <w:ind w:left="720" w:hanging="720"/>
        <w:tabs>
          <w:tab w:val="num" w:pos="0" w:leader="none"/>
        </w:tabs>
      </w:pPr>
    </w:lvl>
    <w:lvl w:ilvl="3">
      <w:start w:val="1"/>
      <w:numFmt w:val="none"/>
      <w:pStyle w:val="904"/>
      <w:isLgl w:val="false"/>
      <w:suff w:val="nothing"/>
      <w:lvlText w:val=""/>
      <w:lvlJc w:val="left"/>
      <w:pPr>
        <w:ind w:left="864" w:hanging="864"/>
        <w:tabs>
          <w:tab w:val="num" w:pos="0" w:leader="none"/>
        </w:tabs>
      </w:pPr>
    </w:lvl>
    <w:lvl w:ilvl="4">
      <w:start w:val="1"/>
      <w:numFmt w:val="none"/>
      <w:isLgl w:val="false"/>
      <w:suff w:val="nothing"/>
      <w:lvlText w:val=""/>
      <w:lvlJc w:val="left"/>
      <w:pPr>
        <w:ind w:left="1008" w:hanging="1008"/>
        <w:tabs>
          <w:tab w:val="num" w:pos="0" w:leader="none"/>
        </w:tabs>
      </w:pPr>
    </w:lvl>
    <w:lvl w:ilvl="5">
      <w:start w:val="1"/>
      <w:numFmt w:val="none"/>
      <w:isLgl w:val="false"/>
      <w:suff w:val="nothing"/>
      <w:lvlText w:val=""/>
      <w:lvlJc w:val="left"/>
      <w:pPr>
        <w:ind w:left="1152" w:hanging="1152"/>
        <w:tabs>
          <w:tab w:val="num" w:pos="0" w:leader="none"/>
        </w:tabs>
      </w:pPr>
    </w:lvl>
    <w:lvl w:ilvl="6">
      <w:start w:val="1"/>
      <w:numFmt w:val="none"/>
      <w:isLgl w:val="false"/>
      <w:suff w:val="nothing"/>
      <w:lvlText w:val=""/>
      <w:lvlJc w:val="left"/>
      <w:pPr>
        <w:ind w:left="1296" w:hanging="1296"/>
        <w:tabs>
          <w:tab w:val="num" w:pos="0" w:leader="none"/>
        </w:tabs>
      </w:pPr>
    </w:lvl>
    <w:lvl w:ilvl="7">
      <w:start w:val="1"/>
      <w:numFmt w:val="none"/>
      <w:isLgl w:val="false"/>
      <w:suff w:val="nothing"/>
      <w:lvlText w:val=""/>
      <w:lvlJc w:val="left"/>
      <w:pPr>
        <w:ind w:left="1440" w:hanging="1440"/>
        <w:tabs>
          <w:tab w:val="num" w:pos="0" w:leader="none"/>
        </w:tabs>
      </w:pPr>
    </w:lvl>
    <w:lvl w:ilvl="8">
      <w:start w:val="1"/>
      <w:numFmt w:val="none"/>
      <w:isLgl w:val="false"/>
      <w:suff w:val="nothing"/>
      <w:lvlText w:val=""/>
      <w:lvlJc w:val="left"/>
      <w:pPr>
        <w:ind w:left="1584" w:hanging="1584"/>
        <w:tabs>
          <w:tab w:val="num" w:pos="0" w:leader="none"/>
        </w:tabs>
      </w:pPr>
    </w:lvl>
  </w:abstractNum>
  <w:abstractNum w:abstractNumId="4">
    <w:multiLevelType w:val="hybridMultilevel"/>
    <w:lvl w:ilvl="0">
      <w:start w:val="1"/>
      <w:numFmt w:val="bullet"/>
      <w:isLgl w:val="false"/>
      <w:suff w:val="tab"/>
      <w:lvlText w:val=""/>
      <w:lvlJc w:val="left"/>
      <w:pPr>
        <w:ind w:left="643" w:hanging="360"/>
      </w:pPr>
      <w:rPr>
        <w:rFonts w:ascii="Symbol" w:hAnsi="Symbol"/>
      </w:rPr>
    </w:lvl>
    <w:lvl w:ilvl="1">
      <w:start w:val="1"/>
      <w:numFmt w:val="lowerLetter"/>
      <w:isLgl w:val="false"/>
      <w:suff w:val="tab"/>
      <w:lvlText w:val="%2."/>
      <w:lvlJc w:val="left"/>
      <w:pPr>
        <w:ind w:left="3490" w:hanging="360"/>
      </w:pPr>
    </w:lvl>
    <w:lvl w:ilvl="2">
      <w:start w:val="1"/>
      <w:numFmt w:val="lowerRoman"/>
      <w:isLgl w:val="false"/>
      <w:suff w:val="tab"/>
      <w:lvlText w:val="%3."/>
      <w:lvlJc w:val="right"/>
      <w:pPr>
        <w:ind w:left="4210" w:hanging="180"/>
      </w:pPr>
    </w:lvl>
    <w:lvl w:ilvl="3">
      <w:start w:val="1"/>
      <w:numFmt w:val="decimal"/>
      <w:isLgl w:val="false"/>
      <w:suff w:val="tab"/>
      <w:lvlText w:val="%4."/>
      <w:lvlJc w:val="left"/>
      <w:pPr>
        <w:ind w:left="4930" w:hanging="360"/>
      </w:pPr>
    </w:lvl>
    <w:lvl w:ilvl="4">
      <w:start w:val="1"/>
      <w:numFmt w:val="lowerLetter"/>
      <w:isLgl w:val="false"/>
      <w:suff w:val="tab"/>
      <w:lvlText w:val="%5."/>
      <w:lvlJc w:val="left"/>
      <w:pPr>
        <w:ind w:left="5650" w:hanging="360"/>
      </w:pPr>
    </w:lvl>
    <w:lvl w:ilvl="5">
      <w:start w:val="1"/>
      <w:numFmt w:val="lowerRoman"/>
      <w:isLgl w:val="false"/>
      <w:suff w:val="tab"/>
      <w:lvlText w:val="%6."/>
      <w:lvlJc w:val="right"/>
      <w:pPr>
        <w:ind w:left="6370" w:hanging="180"/>
      </w:pPr>
    </w:lvl>
    <w:lvl w:ilvl="6">
      <w:start w:val="1"/>
      <w:numFmt w:val="decimal"/>
      <w:isLgl w:val="false"/>
      <w:suff w:val="tab"/>
      <w:lvlText w:val="%7."/>
      <w:lvlJc w:val="left"/>
      <w:pPr>
        <w:ind w:left="7090" w:hanging="360"/>
      </w:pPr>
    </w:lvl>
    <w:lvl w:ilvl="7">
      <w:start w:val="1"/>
      <w:numFmt w:val="lowerLetter"/>
      <w:isLgl w:val="false"/>
      <w:suff w:val="tab"/>
      <w:lvlText w:val="%8."/>
      <w:lvlJc w:val="left"/>
      <w:pPr>
        <w:ind w:left="7810" w:hanging="360"/>
      </w:pPr>
    </w:lvl>
    <w:lvl w:ilvl="8">
      <w:start w:val="1"/>
      <w:numFmt w:val="lowerRoman"/>
      <w:isLgl w:val="false"/>
      <w:suff w:val="tab"/>
      <w:lvlText w:val="%9."/>
      <w:lvlJc w:val="right"/>
      <w:pPr>
        <w:ind w:left="8530" w:hanging="180"/>
      </w:pPr>
    </w:lvl>
  </w:abstractNum>
  <w:abstractNum w:abstractNumId="5">
    <w:multiLevelType w:val="hybridMultilevel"/>
    <w:lvl w:ilvl="0">
      <w:start w:val="1"/>
      <w:numFmt w:val="bullet"/>
      <w:isLgl w:val="false"/>
      <w:suff w:val="tab"/>
      <w:lvlText w:val=""/>
      <w:lvlJc w:val="left"/>
      <w:pPr>
        <w:ind w:left="643" w:hanging="360"/>
      </w:pPr>
      <w:rPr>
        <w:rFonts w:ascii="Symbol" w:hAnsi="Symbol"/>
      </w:rPr>
    </w:lvl>
    <w:lvl w:ilvl="1">
      <w:start w:val="1"/>
      <w:numFmt w:val="lowerLetter"/>
      <w:isLgl w:val="false"/>
      <w:suff w:val="tab"/>
      <w:lvlText w:val="%2."/>
      <w:lvlJc w:val="left"/>
      <w:pPr>
        <w:ind w:left="3490" w:hanging="360"/>
      </w:pPr>
    </w:lvl>
    <w:lvl w:ilvl="2">
      <w:start w:val="1"/>
      <w:numFmt w:val="lowerRoman"/>
      <w:isLgl w:val="false"/>
      <w:suff w:val="tab"/>
      <w:lvlText w:val="%3."/>
      <w:lvlJc w:val="right"/>
      <w:pPr>
        <w:ind w:left="4210" w:hanging="180"/>
      </w:pPr>
    </w:lvl>
    <w:lvl w:ilvl="3">
      <w:start w:val="1"/>
      <w:numFmt w:val="decimal"/>
      <w:isLgl w:val="false"/>
      <w:suff w:val="tab"/>
      <w:lvlText w:val="%4."/>
      <w:lvlJc w:val="left"/>
      <w:pPr>
        <w:ind w:left="4930" w:hanging="360"/>
      </w:pPr>
    </w:lvl>
    <w:lvl w:ilvl="4">
      <w:start w:val="1"/>
      <w:numFmt w:val="lowerLetter"/>
      <w:isLgl w:val="false"/>
      <w:suff w:val="tab"/>
      <w:lvlText w:val="%5."/>
      <w:lvlJc w:val="left"/>
      <w:pPr>
        <w:ind w:left="5650" w:hanging="360"/>
      </w:pPr>
    </w:lvl>
    <w:lvl w:ilvl="5">
      <w:start w:val="1"/>
      <w:numFmt w:val="lowerRoman"/>
      <w:isLgl w:val="false"/>
      <w:suff w:val="tab"/>
      <w:lvlText w:val="%6."/>
      <w:lvlJc w:val="right"/>
      <w:pPr>
        <w:ind w:left="6370" w:hanging="180"/>
      </w:pPr>
    </w:lvl>
    <w:lvl w:ilvl="6">
      <w:start w:val="1"/>
      <w:numFmt w:val="decimal"/>
      <w:isLgl w:val="false"/>
      <w:suff w:val="tab"/>
      <w:lvlText w:val="%7."/>
      <w:lvlJc w:val="left"/>
      <w:pPr>
        <w:ind w:left="7090" w:hanging="360"/>
      </w:pPr>
    </w:lvl>
    <w:lvl w:ilvl="7">
      <w:start w:val="1"/>
      <w:numFmt w:val="lowerLetter"/>
      <w:isLgl w:val="false"/>
      <w:suff w:val="tab"/>
      <w:lvlText w:val="%8."/>
      <w:lvlJc w:val="left"/>
      <w:pPr>
        <w:ind w:left="7810" w:hanging="360"/>
      </w:pPr>
    </w:lvl>
    <w:lvl w:ilvl="8">
      <w:start w:val="1"/>
      <w:numFmt w:val="lowerRoman"/>
      <w:isLgl w:val="false"/>
      <w:suff w:val="tab"/>
      <w:lvlText w:val="%9."/>
      <w:lvlJc w:val="right"/>
      <w:pPr>
        <w:ind w:left="8530" w:hanging="180"/>
      </w:pPr>
    </w:lvl>
  </w:abstractNum>
  <w:abstractNum w:abstractNumId="6">
    <w:multiLevelType w:val="hybridMultilevel"/>
    <w:lvl w:ilvl="0">
      <w:start w:val="1"/>
      <w:numFmt w:val="bullet"/>
      <w:isLgl w:val="false"/>
      <w:suff w:val="tab"/>
      <w:lvlText w:val=""/>
      <w:lvlJc w:val="left"/>
      <w:pPr>
        <w:ind w:left="643" w:hanging="360"/>
      </w:pPr>
      <w:rPr>
        <w:rFonts w:ascii="Symbol" w:hAnsi="Symbol"/>
      </w:rPr>
    </w:lvl>
    <w:lvl w:ilvl="1">
      <w:start w:val="1"/>
      <w:numFmt w:val="lowerLetter"/>
      <w:isLgl w:val="false"/>
      <w:suff w:val="tab"/>
      <w:lvlText w:val="%2."/>
      <w:lvlJc w:val="left"/>
      <w:pPr>
        <w:ind w:left="3490" w:hanging="360"/>
      </w:pPr>
    </w:lvl>
    <w:lvl w:ilvl="2">
      <w:start w:val="1"/>
      <w:numFmt w:val="lowerRoman"/>
      <w:isLgl w:val="false"/>
      <w:suff w:val="tab"/>
      <w:lvlText w:val="%3."/>
      <w:lvlJc w:val="right"/>
      <w:pPr>
        <w:ind w:left="4210" w:hanging="180"/>
      </w:pPr>
    </w:lvl>
    <w:lvl w:ilvl="3">
      <w:start w:val="1"/>
      <w:numFmt w:val="decimal"/>
      <w:isLgl w:val="false"/>
      <w:suff w:val="tab"/>
      <w:lvlText w:val="%4."/>
      <w:lvlJc w:val="left"/>
      <w:pPr>
        <w:ind w:left="4930" w:hanging="360"/>
      </w:pPr>
    </w:lvl>
    <w:lvl w:ilvl="4">
      <w:start w:val="1"/>
      <w:numFmt w:val="lowerLetter"/>
      <w:isLgl w:val="false"/>
      <w:suff w:val="tab"/>
      <w:lvlText w:val="%5."/>
      <w:lvlJc w:val="left"/>
      <w:pPr>
        <w:ind w:left="5650" w:hanging="360"/>
      </w:pPr>
    </w:lvl>
    <w:lvl w:ilvl="5">
      <w:start w:val="1"/>
      <w:numFmt w:val="lowerRoman"/>
      <w:isLgl w:val="false"/>
      <w:suff w:val="tab"/>
      <w:lvlText w:val="%6."/>
      <w:lvlJc w:val="right"/>
      <w:pPr>
        <w:ind w:left="6370" w:hanging="180"/>
      </w:pPr>
    </w:lvl>
    <w:lvl w:ilvl="6">
      <w:start w:val="1"/>
      <w:numFmt w:val="decimal"/>
      <w:isLgl w:val="false"/>
      <w:suff w:val="tab"/>
      <w:lvlText w:val="%7."/>
      <w:lvlJc w:val="left"/>
      <w:pPr>
        <w:ind w:left="7090" w:hanging="360"/>
      </w:pPr>
    </w:lvl>
    <w:lvl w:ilvl="7">
      <w:start w:val="1"/>
      <w:numFmt w:val="lowerLetter"/>
      <w:isLgl w:val="false"/>
      <w:suff w:val="tab"/>
      <w:lvlText w:val="%8."/>
      <w:lvlJc w:val="left"/>
      <w:pPr>
        <w:ind w:left="7810" w:hanging="360"/>
      </w:pPr>
    </w:lvl>
    <w:lvl w:ilvl="8">
      <w:start w:val="1"/>
      <w:numFmt w:val="lowerRoman"/>
      <w:isLgl w:val="false"/>
      <w:suff w:val="tab"/>
      <w:lvlText w:val="%9."/>
      <w:lvlJc w:val="right"/>
      <w:pPr>
        <w:ind w:left="8530" w:hanging="180"/>
      </w:pPr>
    </w:lvl>
  </w:abstractNum>
  <w:abstractNum w:abstractNumId="7">
    <w:multiLevelType w:val="hybridMultilevel"/>
    <w:styleLink w:val="1362"/>
    <w:lvl w:ilvl="0">
      <w:start w:val="1"/>
      <w:numFmt w:val="decimal"/>
      <w:pStyle w:val="1114"/>
      <w:isLgl w:val="false"/>
      <w:suff w:val="space"/>
      <w:lvlText w:val="%1)"/>
      <w:lvlJc w:val="left"/>
      <w:pPr>
        <w:ind w:left="-141" w:firstLine="567"/>
      </w:pPr>
      <w:rPr>
        <w:rFonts w:hint="default"/>
      </w:rPr>
    </w:lvl>
    <w:lvl w:ilvl="1">
      <w:start w:val="1"/>
      <w:numFmt w:val="bullet"/>
      <w:isLgl w:val="false"/>
      <w:suff w:val="space"/>
      <w:lvlText w:val="–"/>
      <w:lvlJc w:val="left"/>
      <w:pPr>
        <w:ind w:left="284" w:firstLine="567"/>
      </w:pPr>
      <w:rPr>
        <w:rFonts w:hint="default" w:ascii="Times New Roman" w:hAnsi="Times New Roman" w:cs="Times New Roman"/>
      </w:rPr>
    </w:lvl>
    <w:lvl w:ilvl="2">
      <w:start w:val="1"/>
      <w:numFmt w:val="bullet"/>
      <w:isLgl w:val="false"/>
      <w:suff w:val="space"/>
      <w:lvlText w:val=""/>
      <w:lvlJc w:val="left"/>
      <w:pPr>
        <w:ind w:left="284" w:firstLine="567"/>
      </w:pPr>
      <w:rPr>
        <w:rFonts w:hint="default" w:ascii="Symbol" w:hAnsi="Symbol"/>
      </w:rPr>
    </w:lvl>
    <w:lvl w:ilvl="3">
      <w:start w:val="1"/>
      <w:numFmt w:val="bullet"/>
      <w:isLgl w:val="false"/>
      <w:suff w:val="space"/>
      <w:lvlText w:val="–"/>
      <w:lvlJc w:val="left"/>
      <w:pPr>
        <w:ind w:left="284" w:firstLine="567"/>
      </w:pPr>
      <w:rPr>
        <w:rFonts w:hint="default" w:ascii="Times New Roman" w:hAnsi="Times New Roman" w:cs="Times New Roman"/>
      </w:rPr>
    </w:lvl>
    <w:lvl w:ilvl="4">
      <w:start w:val="1"/>
      <w:numFmt w:val="bullet"/>
      <w:isLgl w:val="false"/>
      <w:suff w:val="space"/>
      <w:lvlText w:val="–"/>
      <w:lvlJc w:val="left"/>
      <w:pPr>
        <w:ind w:left="284" w:firstLine="567"/>
      </w:pPr>
      <w:rPr>
        <w:rFonts w:hint="default" w:ascii="Times New Roman" w:hAnsi="Times New Roman" w:cs="Times New Roman"/>
      </w:rPr>
    </w:lvl>
    <w:lvl w:ilvl="5">
      <w:start w:val="1"/>
      <w:numFmt w:val="bullet"/>
      <w:isLgl w:val="false"/>
      <w:suff w:val="space"/>
      <w:lvlText w:val="–"/>
      <w:lvlJc w:val="left"/>
      <w:pPr>
        <w:ind w:left="284" w:firstLine="567"/>
      </w:pPr>
      <w:rPr>
        <w:rFonts w:hint="default" w:ascii="Times New Roman" w:hAnsi="Times New Roman" w:cs="Times New Roman"/>
      </w:rPr>
    </w:lvl>
    <w:lvl w:ilvl="6">
      <w:start w:val="1"/>
      <w:numFmt w:val="bullet"/>
      <w:isLgl w:val="false"/>
      <w:suff w:val="space"/>
      <w:lvlText w:val=""/>
      <w:lvlJc w:val="left"/>
      <w:pPr>
        <w:ind w:left="284" w:firstLine="567"/>
      </w:pPr>
      <w:rPr>
        <w:rFonts w:hint="default" w:ascii="Symbol" w:hAnsi="Symbol"/>
      </w:rPr>
    </w:lvl>
    <w:lvl w:ilvl="7">
      <w:start w:val="1"/>
      <w:numFmt w:val="bullet"/>
      <w:isLgl w:val="false"/>
      <w:suff w:val="space"/>
      <w:lvlText w:val="–"/>
      <w:lvlJc w:val="left"/>
      <w:pPr>
        <w:ind w:left="284" w:firstLine="567"/>
      </w:pPr>
      <w:rPr>
        <w:rFonts w:hint="default" w:ascii="Times New Roman" w:hAnsi="Times New Roman" w:cs="Times New Roman"/>
      </w:rPr>
    </w:lvl>
    <w:lvl w:ilvl="8">
      <w:start w:val="1"/>
      <w:numFmt w:val="bullet"/>
      <w:isLgl w:val="false"/>
      <w:suff w:val="space"/>
      <w:lvlText w:val=""/>
      <w:lvlJc w:val="left"/>
      <w:pPr>
        <w:ind w:left="284" w:firstLine="567"/>
      </w:pPr>
      <w:rPr>
        <w:rFonts w:hint="default" w:ascii="Symbol" w:hAnsi="Symbol"/>
      </w:rPr>
    </w:lvl>
  </w:abstractNum>
  <w:abstractNum w:abstractNumId="8">
    <w:multiLevelType w:val="hybridMultilevel"/>
    <w:lvl w:ilvl="0">
      <w:start w:val="1"/>
      <w:numFmt w:val="decimal"/>
      <w:isLgl w:val="false"/>
      <w:suff w:val="tab"/>
      <w:lvlText w:val="%1."/>
      <w:lvlJc w:val="left"/>
      <w:pPr>
        <w:ind w:left="1065" w:hanging="360"/>
      </w:pPr>
      <w:rPr>
        <w:rFonts w:hint="default"/>
      </w:rPr>
    </w:lvl>
    <w:lvl w:ilvl="1">
      <w:start w:val="1"/>
      <w:numFmt w:val="lowerLetter"/>
      <w:isLgl w:val="false"/>
      <w:suff w:val="tab"/>
      <w:lvlText w:val="%2."/>
      <w:lvlJc w:val="left"/>
      <w:pPr>
        <w:ind w:left="1785" w:hanging="360"/>
      </w:pPr>
    </w:lvl>
    <w:lvl w:ilvl="2">
      <w:start w:val="1"/>
      <w:numFmt w:val="lowerRoman"/>
      <w:isLgl w:val="false"/>
      <w:suff w:val="tab"/>
      <w:lvlText w:val="%3."/>
      <w:lvlJc w:val="right"/>
      <w:pPr>
        <w:ind w:left="2505" w:hanging="180"/>
      </w:pPr>
    </w:lvl>
    <w:lvl w:ilvl="3">
      <w:start w:val="1"/>
      <w:numFmt w:val="decimal"/>
      <w:isLgl w:val="false"/>
      <w:suff w:val="tab"/>
      <w:lvlText w:val="%4."/>
      <w:lvlJc w:val="left"/>
      <w:pPr>
        <w:ind w:left="3225" w:hanging="360"/>
      </w:pPr>
    </w:lvl>
    <w:lvl w:ilvl="4">
      <w:start w:val="1"/>
      <w:numFmt w:val="lowerLetter"/>
      <w:isLgl w:val="false"/>
      <w:suff w:val="tab"/>
      <w:lvlText w:val="%5."/>
      <w:lvlJc w:val="left"/>
      <w:pPr>
        <w:ind w:left="3945" w:hanging="360"/>
      </w:pPr>
    </w:lvl>
    <w:lvl w:ilvl="5">
      <w:start w:val="1"/>
      <w:numFmt w:val="lowerRoman"/>
      <w:isLgl w:val="false"/>
      <w:suff w:val="tab"/>
      <w:lvlText w:val="%6."/>
      <w:lvlJc w:val="right"/>
      <w:pPr>
        <w:ind w:left="4665" w:hanging="180"/>
      </w:pPr>
    </w:lvl>
    <w:lvl w:ilvl="6">
      <w:start w:val="1"/>
      <w:numFmt w:val="decimal"/>
      <w:isLgl w:val="false"/>
      <w:suff w:val="tab"/>
      <w:lvlText w:val="%7."/>
      <w:lvlJc w:val="left"/>
      <w:pPr>
        <w:ind w:left="5385" w:hanging="360"/>
      </w:pPr>
    </w:lvl>
    <w:lvl w:ilvl="7">
      <w:start w:val="1"/>
      <w:numFmt w:val="lowerLetter"/>
      <w:isLgl w:val="false"/>
      <w:suff w:val="tab"/>
      <w:lvlText w:val="%8."/>
      <w:lvlJc w:val="left"/>
      <w:pPr>
        <w:ind w:left="6105" w:hanging="360"/>
      </w:pPr>
    </w:lvl>
    <w:lvl w:ilvl="8">
      <w:start w:val="1"/>
      <w:numFmt w:val="lowerRoman"/>
      <w:isLgl w:val="false"/>
      <w:suff w:val="tab"/>
      <w:lvlText w:val="%9."/>
      <w:lvlJc w:val="right"/>
      <w:pPr>
        <w:ind w:left="6825" w:hanging="180"/>
      </w:pPr>
    </w:lvl>
  </w:abstractNum>
  <w:abstractNum w:abstractNumId="9">
    <w:multiLevelType w:val="hybridMultilevel"/>
    <w:lvl w:ilvl="0">
      <w:start w:val="1"/>
      <w:numFmt w:val="decimal"/>
      <w:isLgl w:val="false"/>
      <w:suff w:val="tab"/>
      <w:lvlText w:val="%1."/>
      <w:lvlJc w:val="left"/>
      <w:pPr>
        <w:ind w:left="221" w:hanging="346"/>
      </w:pPr>
      <w:rPr>
        <w:rFonts w:hint="default" w:ascii="Times New Roman" w:hAnsi="Times New Roman" w:eastAsia="Times New Roman" w:cs="Times New Roman"/>
        <w:b w:val="0"/>
        <w:bCs w:val="0"/>
        <w:i w:val="0"/>
        <w:iCs w:val="0"/>
        <w:sz w:val="24"/>
        <w:szCs w:val="24"/>
      </w:rPr>
    </w:lvl>
    <w:lvl w:ilvl="1">
      <w:start w:val="1"/>
      <w:numFmt w:val="none"/>
      <w:isLgl w:val="false"/>
      <w:suff w:val="tab"/>
      <w:lvlText w:val=""/>
      <w:lvlJc w:val="left"/>
      <w:pPr>
        <w:tabs>
          <w:tab w:val="num" w:pos="360" w:leader="none"/>
        </w:tabs>
      </w:pPr>
    </w:lvl>
    <w:lvl w:ilvl="2">
      <w:start w:val="1"/>
      <w:numFmt w:val="bullet"/>
      <w:isLgl w:val="false"/>
      <w:suff w:val="tab"/>
      <w:lvlText w:val="•"/>
      <w:lvlJc w:val="left"/>
      <w:pPr>
        <w:ind w:left="2137" w:hanging="382"/>
      </w:pPr>
      <w:rPr>
        <w:rFonts w:hint="default"/>
      </w:rPr>
    </w:lvl>
    <w:lvl w:ilvl="3">
      <w:start w:val="1"/>
      <w:numFmt w:val="bullet"/>
      <w:isLgl w:val="false"/>
      <w:suff w:val="tab"/>
      <w:lvlText w:val="•"/>
      <w:lvlJc w:val="left"/>
      <w:pPr>
        <w:ind w:left="3095" w:hanging="382"/>
      </w:pPr>
      <w:rPr>
        <w:rFonts w:hint="default"/>
      </w:rPr>
    </w:lvl>
    <w:lvl w:ilvl="4">
      <w:start w:val="1"/>
      <w:numFmt w:val="bullet"/>
      <w:isLgl w:val="false"/>
      <w:suff w:val="tab"/>
      <w:lvlText w:val="•"/>
      <w:lvlJc w:val="left"/>
      <w:pPr>
        <w:ind w:left="4054" w:hanging="382"/>
      </w:pPr>
      <w:rPr>
        <w:rFonts w:hint="default"/>
      </w:rPr>
    </w:lvl>
    <w:lvl w:ilvl="5">
      <w:start w:val="1"/>
      <w:numFmt w:val="bullet"/>
      <w:isLgl w:val="false"/>
      <w:suff w:val="tab"/>
      <w:lvlText w:val="•"/>
      <w:lvlJc w:val="left"/>
      <w:pPr>
        <w:ind w:left="5013" w:hanging="382"/>
      </w:pPr>
      <w:rPr>
        <w:rFonts w:hint="default"/>
      </w:rPr>
    </w:lvl>
    <w:lvl w:ilvl="6">
      <w:start w:val="1"/>
      <w:numFmt w:val="bullet"/>
      <w:isLgl w:val="false"/>
      <w:suff w:val="tab"/>
      <w:lvlText w:val="•"/>
      <w:lvlJc w:val="left"/>
      <w:pPr>
        <w:ind w:left="5971" w:hanging="382"/>
      </w:pPr>
      <w:rPr>
        <w:rFonts w:hint="default"/>
      </w:rPr>
    </w:lvl>
    <w:lvl w:ilvl="7">
      <w:start w:val="1"/>
      <w:numFmt w:val="bullet"/>
      <w:isLgl w:val="false"/>
      <w:suff w:val="tab"/>
      <w:lvlText w:val="•"/>
      <w:lvlJc w:val="left"/>
      <w:pPr>
        <w:ind w:left="6930" w:hanging="382"/>
      </w:pPr>
      <w:rPr>
        <w:rFonts w:hint="default"/>
      </w:rPr>
    </w:lvl>
    <w:lvl w:ilvl="8">
      <w:start w:val="1"/>
      <w:numFmt w:val="bullet"/>
      <w:isLgl w:val="false"/>
      <w:suff w:val="tab"/>
      <w:lvlText w:val="•"/>
      <w:lvlJc w:val="left"/>
      <w:pPr>
        <w:ind w:left="7889" w:hanging="382"/>
      </w:pPr>
      <w:rPr>
        <w:rFonts w:hint="default"/>
      </w:rPr>
    </w:lvl>
  </w:abstractNum>
  <w:abstractNum w:abstractNumId="10">
    <w:multiLevelType w:val="hybridMultilevel"/>
    <w:lvl w:ilvl="0">
      <w:start w:val="1"/>
      <w:numFmt w:val="bullet"/>
      <w:isLgl w:val="false"/>
      <w:suff w:val="tab"/>
      <w:lvlText w:val="–"/>
      <w:lvlJc w:val="left"/>
      <w:pPr>
        <w:ind w:left="720" w:hanging="360"/>
      </w:pPr>
      <w:rPr>
        <w:rFonts w:hint="default" w:ascii="Times New Roman" w:hAnsi="Times New Roman" w:cs="Times New Roman"/>
        <w:color w:val="auto"/>
        <w:u w:val="none"/>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1">
    <w:multiLevelType w:val="hybridMultilevel"/>
    <w:lvl w:ilvl="0">
      <w:start w:val="1"/>
      <w:numFmt w:val="bullet"/>
      <w:isLgl w:val="false"/>
      <w:suff w:val="tab"/>
      <w:lvlText w:val=""/>
      <w:lvlJc w:val="left"/>
      <w:pPr>
        <w:ind w:left="643" w:hanging="360"/>
      </w:pPr>
      <w:rPr>
        <w:rFonts w:ascii="Symbol" w:hAnsi="Symbol"/>
      </w:rPr>
    </w:lvl>
    <w:lvl w:ilvl="1">
      <w:start w:val="1"/>
      <w:numFmt w:val="lowerLetter"/>
      <w:isLgl w:val="false"/>
      <w:suff w:val="tab"/>
      <w:lvlText w:val="%2."/>
      <w:lvlJc w:val="left"/>
      <w:pPr>
        <w:ind w:left="3490" w:hanging="360"/>
      </w:pPr>
    </w:lvl>
    <w:lvl w:ilvl="2">
      <w:start w:val="1"/>
      <w:numFmt w:val="lowerRoman"/>
      <w:isLgl w:val="false"/>
      <w:suff w:val="tab"/>
      <w:lvlText w:val="%3."/>
      <w:lvlJc w:val="right"/>
      <w:pPr>
        <w:ind w:left="4210" w:hanging="180"/>
      </w:pPr>
    </w:lvl>
    <w:lvl w:ilvl="3">
      <w:start w:val="1"/>
      <w:numFmt w:val="decimal"/>
      <w:isLgl w:val="false"/>
      <w:suff w:val="tab"/>
      <w:lvlText w:val="%4."/>
      <w:lvlJc w:val="left"/>
      <w:pPr>
        <w:ind w:left="4930" w:hanging="360"/>
      </w:pPr>
    </w:lvl>
    <w:lvl w:ilvl="4">
      <w:start w:val="1"/>
      <w:numFmt w:val="lowerLetter"/>
      <w:isLgl w:val="false"/>
      <w:suff w:val="tab"/>
      <w:lvlText w:val="%5."/>
      <w:lvlJc w:val="left"/>
      <w:pPr>
        <w:ind w:left="5650" w:hanging="360"/>
      </w:pPr>
    </w:lvl>
    <w:lvl w:ilvl="5">
      <w:start w:val="1"/>
      <w:numFmt w:val="lowerRoman"/>
      <w:isLgl w:val="false"/>
      <w:suff w:val="tab"/>
      <w:lvlText w:val="%6."/>
      <w:lvlJc w:val="right"/>
      <w:pPr>
        <w:ind w:left="6370" w:hanging="180"/>
      </w:pPr>
    </w:lvl>
    <w:lvl w:ilvl="6">
      <w:start w:val="1"/>
      <w:numFmt w:val="decimal"/>
      <w:isLgl w:val="false"/>
      <w:suff w:val="tab"/>
      <w:lvlText w:val="%7."/>
      <w:lvlJc w:val="left"/>
      <w:pPr>
        <w:ind w:left="7090" w:hanging="360"/>
      </w:pPr>
    </w:lvl>
    <w:lvl w:ilvl="7">
      <w:start w:val="1"/>
      <w:numFmt w:val="lowerLetter"/>
      <w:isLgl w:val="false"/>
      <w:suff w:val="tab"/>
      <w:lvlText w:val="%8."/>
      <w:lvlJc w:val="left"/>
      <w:pPr>
        <w:ind w:left="7810" w:hanging="360"/>
      </w:pPr>
    </w:lvl>
    <w:lvl w:ilvl="8">
      <w:start w:val="1"/>
      <w:numFmt w:val="lowerRoman"/>
      <w:isLgl w:val="false"/>
      <w:suff w:val="tab"/>
      <w:lvlText w:val="%9."/>
      <w:lvlJc w:val="right"/>
      <w:pPr>
        <w:ind w:left="8530" w:hanging="180"/>
      </w:pPr>
    </w:lvl>
  </w:abstractNum>
  <w:abstractNum w:abstractNumId="12">
    <w:multiLevelType w:val="hybridMultilevel"/>
    <w:styleLink w:val="1315"/>
    <w:lvl w:ilvl="0">
      <w:start w:val="1"/>
      <w:numFmt w:val="decimal"/>
      <w:pStyle w:val="1115"/>
      <w:isLgl w:val="false"/>
      <w:suff w:val="tab"/>
      <w:lvlText w:val="%1"/>
      <w:lvlJc w:val="left"/>
      <w:pPr>
        <w:ind w:left="0" w:firstLine="57"/>
        <w:tabs>
          <w:tab w:val="num" w:pos="340" w:leader="none"/>
        </w:tabs>
      </w:pPr>
      <w:rPr>
        <w:rFonts w:hint="default"/>
      </w:r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13">
    <w:multiLevelType w:val="hybridMultilevel"/>
    <w:lvl w:ilvl="0">
      <w:start w:val="1"/>
      <w:numFmt w:val="bullet"/>
      <w:isLgl w:val="false"/>
      <w:suff w:val="tab"/>
      <w:lvlText w:val="-"/>
      <w:lvlJc w:val="left"/>
      <w:pPr>
        <w:ind w:left="8015" w:hanging="360"/>
      </w:pPr>
      <w:rPr>
        <w:rFonts w:hint="default" w:ascii="Courier New" w:hAnsi="Courier New"/>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4">
    <w:multiLevelType w:val="hybridMultilevel"/>
    <w:styleLink w:val="1363"/>
    <w:lvl w:ilvl="0">
      <w:start w:val="1"/>
      <w:numFmt w:val="decimal"/>
      <w:pStyle w:val="1118"/>
      <w:isLgl w:val="false"/>
      <w:suff w:val="space"/>
      <w:lvlText w:val="1.%1"/>
      <w:lvlJc w:val="left"/>
      <w:pPr>
        <w:ind w:left="927" w:hanging="360"/>
      </w:pPr>
      <w:rPr>
        <w:rFonts w:hint="default"/>
        <w:b w:val="0"/>
        <w:i/>
        <w:iCs w:val="0"/>
        <w:caps w:val="0"/>
        <w:smallCaps w:val="0"/>
        <w:strike w:val="0"/>
        <w:vanish w:val="0"/>
        <w:spacing w:val="0"/>
        <w:position w:val="0"/>
        <w:sz w:val="24"/>
        <w:szCs w:val="24"/>
        <w:u w:val="none"/>
        <w:vertAlign w:val="baseline"/>
      </w:rPr>
    </w:lvl>
    <w:lvl w:ilvl="1">
      <w:start w:val="1"/>
      <w:numFmt w:val="none"/>
      <w:pStyle w:val="1118"/>
      <w:isLgl w:val="false"/>
      <w:suff w:val="tab"/>
      <w:lvlText w:val=""/>
      <w:lvlJc w:val="left"/>
      <w:pPr>
        <w:tabs>
          <w:tab w:val="num" w:pos="360" w:leader="none"/>
        </w:tabs>
      </w:pPr>
    </w:lvl>
    <w:lvl w:ilvl="2">
      <w:start w:val="1"/>
      <w:numFmt w:val="none"/>
      <w:isLgl w:val="false"/>
      <w:suff w:val="tab"/>
      <w:lvlText w:val=""/>
      <w:lvlJc w:val="left"/>
      <w:pPr>
        <w:tabs>
          <w:tab w:val="num" w:pos="360" w:leader="none"/>
        </w:tabs>
      </w:pPr>
    </w:lvl>
    <w:lvl w:ilvl="3">
      <w:start w:val="1"/>
      <w:numFmt w:val="none"/>
      <w:isLgl w:val="false"/>
      <w:suff w:val="tab"/>
      <w:lvlText w:val=""/>
      <w:lvlJc w:val="left"/>
      <w:pPr>
        <w:tabs>
          <w:tab w:val="num" w:pos="360" w:leader="none"/>
        </w:tabs>
      </w:pPr>
    </w:lvl>
    <w:lvl w:ilvl="4">
      <w:start w:val="1"/>
      <w:numFmt w:val="none"/>
      <w:isLgl w:val="false"/>
      <w:suff w:val="tab"/>
      <w:lvlText w:val=""/>
      <w:lvlJc w:val="left"/>
      <w:pPr>
        <w:tabs>
          <w:tab w:val="num" w:pos="360" w:leader="none"/>
        </w:tabs>
      </w:pPr>
    </w:lvl>
    <w:lvl w:ilvl="5">
      <w:start w:val="1"/>
      <w:numFmt w:val="none"/>
      <w:isLgl w:val="false"/>
      <w:suff w:val="tab"/>
      <w:lvlText w:val=""/>
      <w:lvlJc w:val="left"/>
      <w:pPr>
        <w:tabs>
          <w:tab w:val="num" w:pos="360" w:leader="none"/>
        </w:tabs>
      </w:pPr>
    </w:lvl>
    <w:lvl w:ilvl="6">
      <w:start w:val="1"/>
      <w:numFmt w:val="none"/>
      <w:isLgl w:val="false"/>
      <w:suff w:val="tab"/>
      <w:lvlText w:val=""/>
      <w:lvlJc w:val="left"/>
      <w:pPr>
        <w:tabs>
          <w:tab w:val="num" w:pos="360" w:leader="none"/>
        </w:tabs>
      </w:pPr>
    </w:lvl>
    <w:lvl w:ilvl="7">
      <w:start w:val="1"/>
      <w:numFmt w:val="none"/>
      <w:isLgl w:val="false"/>
      <w:suff w:val="tab"/>
      <w:lvlText w:val=""/>
      <w:lvlJc w:val="left"/>
      <w:pPr>
        <w:tabs>
          <w:tab w:val="num" w:pos="360" w:leader="none"/>
        </w:tabs>
      </w:pPr>
    </w:lvl>
    <w:lvl w:ilvl="8">
      <w:start w:val="1"/>
      <w:numFmt w:val="none"/>
      <w:isLgl w:val="false"/>
      <w:suff w:val="tab"/>
      <w:lvlText w:val=""/>
      <w:lvlJc w:val="left"/>
      <w:pPr>
        <w:tabs>
          <w:tab w:val="num" w:pos="360" w:leader="none"/>
        </w:tabs>
      </w:pPr>
    </w:lvl>
  </w:abstractNum>
  <w:abstractNum w:abstractNumId="15">
    <w:multiLevelType w:val="hybridMultilevel"/>
    <w:styleLink w:val="1145"/>
    <w:lvl w:ilvl="0">
      <w:start w:val="1"/>
      <w:numFmt w:val="decimal"/>
      <w:pStyle w:val="1145"/>
      <w:isLgl w:val="false"/>
      <w:suff w:val="tab"/>
      <w:lvlText w:val="%1."/>
      <w:lvlJc w:val="left"/>
      <w:pPr>
        <w:ind w:left="360" w:hanging="360"/>
        <w:tabs>
          <w:tab w:val="num" w:pos="360" w:leader="none"/>
        </w:tabs>
      </w:pPr>
    </w:lvl>
    <w:lvl w:ilvl="1">
      <w:start w:val="1"/>
      <w:numFmt w:val="none"/>
      <w:isLgl w:val="false"/>
      <w:suff w:val="tab"/>
      <w:lvlText w:val=""/>
      <w:lvlJc w:val="left"/>
      <w:pPr>
        <w:tabs>
          <w:tab w:val="num" w:pos="360" w:leader="none"/>
        </w:tabs>
      </w:pPr>
    </w:lvl>
    <w:lvl w:ilvl="2">
      <w:start w:val="1"/>
      <w:numFmt w:val="none"/>
      <w:isLgl w:val="false"/>
      <w:suff w:val="tab"/>
      <w:lvlText w:val=""/>
      <w:lvlJc w:val="left"/>
      <w:pPr>
        <w:tabs>
          <w:tab w:val="num" w:pos="360" w:leader="none"/>
        </w:tabs>
      </w:pPr>
    </w:lvl>
    <w:lvl w:ilvl="3">
      <w:start w:val="1"/>
      <w:numFmt w:val="none"/>
      <w:isLgl w:val="false"/>
      <w:suff w:val="tab"/>
      <w:lvlText w:val=""/>
      <w:lvlJc w:val="left"/>
      <w:pPr>
        <w:tabs>
          <w:tab w:val="num" w:pos="360" w:leader="none"/>
        </w:tabs>
      </w:pPr>
    </w:lvl>
    <w:lvl w:ilvl="4">
      <w:start w:val="1"/>
      <w:numFmt w:val="none"/>
      <w:isLgl w:val="false"/>
      <w:suff w:val="tab"/>
      <w:lvlText w:val=""/>
      <w:lvlJc w:val="left"/>
      <w:pPr>
        <w:tabs>
          <w:tab w:val="num" w:pos="360" w:leader="none"/>
        </w:tabs>
      </w:pPr>
    </w:lvl>
    <w:lvl w:ilvl="5">
      <w:start w:val="1"/>
      <w:numFmt w:val="none"/>
      <w:isLgl w:val="false"/>
      <w:suff w:val="tab"/>
      <w:lvlText w:val=""/>
      <w:lvlJc w:val="left"/>
      <w:pPr>
        <w:tabs>
          <w:tab w:val="num" w:pos="360" w:leader="none"/>
        </w:tabs>
      </w:pPr>
    </w:lvl>
    <w:lvl w:ilvl="6">
      <w:start w:val="1"/>
      <w:numFmt w:val="none"/>
      <w:isLgl w:val="false"/>
      <w:suff w:val="tab"/>
      <w:lvlText w:val=""/>
      <w:lvlJc w:val="left"/>
      <w:pPr>
        <w:tabs>
          <w:tab w:val="num" w:pos="360" w:leader="none"/>
        </w:tabs>
      </w:pPr>
    </w:lvl>
    <w:lvl w:ilvl="7">
      <w:start w:val="1"/>
      <w:numFmt w:val="none"/>
      <w:isLgl w:val="false"/>
      <w:suff w:val="tab"/>
      <w:lvlText w:val=""/>
      <w:lvlJc w:val="left"/>
      <w:pPr>
        <w:tabs>
          <w:tab w:val="num" w:pos="360" w:leader="none"/>
        </w:tabs>
      </w:pPr>
    </w:lvl>
    <w:lvl w:ilvl="8">
      <w:start w:val="1"/>
      <w:numFmt w:val="none"/>
      <w:isLgl w:val="false"/>
      <w:suff w:val="tab"/>
      <w:lvlText w:val=""/>
      <w:lvlJc w:val="left"/>
      <w:pPr>
        <w:tabs>
          <w:tab w:val="num" w:pos="360" w:leader="none"/>
        </w:tabs>
      </w:pPr>
    </w:lvl>
  </w:abstractNum>
  <w:abstractNum w:abstractNumId="16">
    <w:multiLevelType w:val="hybridMultilevel"/>
    <w:styleLink w:val="1289"/>
    <w:lvl w:ilvl="0">
      <w:start w:val="1"/>
      <w:numFmt w:val="bullet"/>
      <w:pStyle w:val="1289"/>
      <w:isLgl w:val="false"/>
      <w:suff w:val="tab"/>
      <w:lvlText w:val=""/>
      <w:lvlJc w:val="left"/>
      <w:pPr/>
      <w:rPr>
        <w:rFonts w:ascii="Symbol" w:hAnsi="Symbol" w:cs="StarSymbol, 'Arial Unicode MS'"/>
        <w:sz w:val="18"/>
        <w:szCs w:val="18"/>
      </w:rPr>
    </w:lvl>
    <w:lvl w:ilvl="1">
      <w:start w:val="1"/>
      <w:numFmt w:val="bullet"/>
      <w:isLgl w:val="false"/>
      <w:suff w:val="tab"/>
      <w:lvlText w:val=""/>
      <w:lvlJc w:val="left"/>
      <w:pPr/>
      <w:rPr>
        <w:rFonts w:ascii="Symbol" w:hAnsi="Symbol" w:cs="StarSymbol, 'Arial Unicode MS'"/>
        <w:sz w:val="18"/>
        <w:szCs w:val="18"/>
      </w:rPr>
    </w:lvl>
    <w:lvl w:ilvl="2">
      <w:start w:val="1"/>
      <w:numFmt w:val="bullet"/>
      <w:isLgl w:val="false"/>
      <w:suff w:val="tab"/>
      <w:lvlText w:val=""/>
      <w:lvlJc w:val="left"/>
      <w:pPr/>
      <w:rPr>
        <w:rFonts w:ascii="Symbol" w:hAnsi="Symbol" w:cs="StarSymbol, 'Arial Unicode MS'"/>
        <w:sz w:val="18"/>
        <w:szCs w:val="18"/>
      </w:rPr>
    </w:lvl>
    <w:lvl w:ilvl="3">
      <w:start w:val="1"/>
      <w:numFmt w:val="bullet"/>
      <w:isLgl w:val="false"/>
      <w:suff w:val="tab"/>
      <w:lvlText w:val=""/>
      <w:lvlJc w:val="left"/>
      <w:pPr/>
      <w:rPr>
        <w:rFonts w:ascii="Symbol" w:hAnsi="Symbol" w:cs="StarSymbol, 'Arial Unicode MS'"/>
        <w:sz w:val="18"/>
        <w:szCs w:val="18"/>
      </w:rPr>
    </w:lvl>
    <w:lvl w:ilvl="4">
      <w:start w:val="1"/>
      <w:numFmt w:val="bullet"/>
      <w:isLgl w:val="false"/>
      <w:suff w:val="tab"/>
      <w:lvlText w:val=""/>
      <w:lvlJc w:val="left"/>
      <w:pPr/>
      <w:rPr>
        <w:rFonts w:ascii="Symbol" w:hAnsi="Symbol" w:cs="StarSymbol, 'Arial Unicode MS'"/>
        <w:sz w:val="18"/>
        <w:szCs w:val="18"/>
      </w:rPr>
    </w:lvl>
    <w:lvl w:ilvl="5">
      <w:start w:val="1"/>
      <w:numFmt w:val="bullet"/>
      <w:isLgl w:val="false"/>
      <w:suff w:val="tab"/>
      <w:lvlText w:val=""/>
      <w:lvlJc w:val="left"/>
      <w:pPr/>
      <w:rPr>
        <w:rFonts w:ascii="Symbol" w:hAnsi="Symbol" w:cs="StarSymbol, 'Arial Unicode MS'"/>
        <w:sz w:val="18"/>
        <w:szCs w:val="18"/>
      </w:rPr>
    </w:lvl>
    <w:lvl w:ilvl="6">
      <w:start w:val="1"/>
      <w:numFmt w:val="bullet"/>
      <w:isLgl w:val="false"/>
      <w:suff w:val="tab"/>
      <w:lvlText w:val=""/>
      <w:lvlJc w:val="left"/>
      <w:pPr/>
      <w:rPr>
        <w:rFonts w:ascii="Symbol" w:hAnsi="Symbol" w:cs="StarSymbol, 'Arial Unicode MS'"/>
        <w:sz w:val="18"/>
        <w:szCs w:val="18"/>
      </w:rPr>
    </w:lvl>
    <w:lvl w:ilvl="7">
      <w:start w:val="1"/>
      <w:numFmt w:val="bullet"/>
      <w:isLgl w:val="false"/>
      <w:suff w:val="tab"/>
      <w:lvlText w:val=""/>
      <w:lvlJc w:val="left"/>
      <w:pPr/>
      <w:rPr>
        <w:rFonts w:ascii="Symbol" w:hAnsi="Symbol" w:cs="StarSymbol, 'Arial Unicode MS'"/>
        <w:sz w:val="18"/>
        <w:szCs w:val="18"/>
      </w:rPr>
    </w:lvl>
    <w:lvl w:ilvl="8">
      <w:start w:val="1"/>
      <w:numFmt w:val="bullet"/>
      <w:isLgl w:val="false"/>
      <w:suff w:val="tab"/>
      <w:lvlText w:val=""/>
      <w:lvlJc w:val="left"/>
      <w:pPr/>
      <w:rPr>
        <w:rFonts w:ascii="Symbol" w:hAnsi="Symbol" w:cs="StarSymbol, 'Arial Unicode MS'"/>
        <w:sz w:val="18"/>
        <w:szCs w:val="18"/>
      </w:rPr>
    </w:lvl>
  </w:abstractNum>
  <w:abstractNum w:abstractNumId="17">
    <w:multiLevelType w:val="hybridMultilevel"/>
    <w:lvl w:ilvl="0">
      <w:start w:val="1"/>
      <w:numFmt w:val="bullet"/>
      <w:isLgl w:val="false"/>
      <w:suff w:val="tab"/>
      <w:lvlText w:val=""/>
      <w:lvlJc w:val="left"/>
      <w:pPr>
        <w:ind w:left="752" w:hanging="360"/>
      </w:pPr>
      <w:rPr>
        <w:rFonts w:ascii="Symbol" w:hAnsi="Symbol"/>
      </w:rPr>
    </w:lvl>
    <w:lvl w:ilvl="1">
      <w:start w:val="1"/>
      <w:numFmt w:val="bullet"/>
      <w:isLgl w:val="false"/>
      <w:suff w:val="tab"/>
      <w:lvlText w:val="o"/>
      <w:lvlJc w:val="left"/>
      <w:pPr>
        <w:ind w:left="1472" w:hanging="360"/>
      </w:pPr>
      <w:rPr>
        <w:rFonts w:ascii="Courier New" w:hAnsi="Courier New" w:cs="Courier New"/>
      </w:rPr>
    </w:lvl>
    <w:lvl w:ilvl="2">
      <w:start w:val="1"/>
      <w:numFmt w:val="bullet"/>
      <w:isLgl w:val="false"/>
      <w:suff w:val="tab"/>
      <w:lvlText w:val=""/>
      <w:lvlJc w:val="left"/>
      <w:pPr>
        <w:ind w:left="2192" w:hanging="360"/>
      </w:pPr>
      <w:rPr>
        <w:rFonts w:ascii="Wingdings" w:hAnsi="Wingdings"/>
      </w:rPr>
    </w:lvl>
    <w:lvl w:ilvl="3">
      <w:start w:val="1"/>
      <w:numFmt w:val="bullet"/>
      <w:isLgl w:val="false"/>
      <w:suff w:val="tab"/>
      <w:lvlText w:val=""/>
      <w:lvlJc w:val="left"/>
      <w:pPr>
        <w:ind w:left="2912" w:hanging="360"/>
      </w:pPr>
      <w:rPr>
        <w:rFonts w:ascii="Symbol" w:hAnsi="Symbol"/>
      </w:rPr>
    </w:lvl>
    <w:lvl w:ilvl="4">
      <w:start w:val="1"/>
      <w:numFmt w:val="bullet"/>
      <w:isLgl w:val="false"/>
      <w:suff w:val="tab"/>
      <w:lvlText w:val="o"/>
      <w:lvlJc w:val="left"/>
      <w:pPr>
        <w:ind w:left="3632" w:hanging="360"/>
      </w:pPr>
      <w:rPr>
        <w:rFonts w:ascii="Courier New" w:hAnsi="Courier New" w:cs="Courier New"/>
      </w:rPr>
    </w:lvl>
    <w:lvl w:ilvl="5">
      <w:start w:val="1"/>
      <w:numFmt w:val="bullet"/>
      <w:isLgl w:val="false"/>
      <w:suff w:val="tab"/>
      <w:lvlText w:val=""/>
      <w:lvlJc w:val="left"/>
      <w:pPr>
        <w:ind w:left="4352" w:hanging="360"/>
      </w:pPr>
      <w:rPr>
        <w:rFonts w:ascii="Wingdings" w:hAnsi="Wingdings"/>
      </w:rPr>
    </w:lvl>
    <w:lvl w:ilvl="6">
      <w:start w:val="1"/>
      <w:numFmt w:val="bullet"/>
      <w:isLgl w:val="false"/>
      <w:suff w:val="tab"/>
      <w:lvlText w:val=""/>
      <w:lvlJc w:val="left"/>
      <w:pPr>
        <w:ind w:left="5072" w:hanging="360"/>
      </w:pPr>
      <w:rPr>
        <w:rFonts w:ascii="Symbol" w:hAnsi="Symbol"/>
      </w:rPr>
    </w:lvl>
    <w:lvl w:ilvl="7">
      <w:start w:val="1"/>
      <w:numFmt w:val="bullet"/>
      <w:isLgl w:val="false"/>
      <w:suff w:val="tab"/>
      <w:lvlText w:val="o"/>
      <w:lvlJc w:val="left"/>
      <w:pPr>
        <w:ind w:left="5792" w:hanging="360"/>
      </w:pPr>
      <w:rPr>
        <w:rFonts w:ascii="Courier New" w:hAnsi="Courier New" w:cs="Courier New"/>
      </w:rPr>
    </w:lvl>
    <w:lvl w:ilvl="8">
      <w:start w:val="1"/>
      <w:numFmt w:val="bullet"/>
      <w:isLgl w:val="false"/>
      <w:suff w:val="tab"/>
      <w:lvlText w:val=""/>
      <w:lvlJc w:val="left"/>
      <w:pPr>
        <w:ind w:left="6512" w:hanging="360"/>
      </w:pPr>
      <w:rPr>
        <w:rFonts w:ascii="Wingdings" w:hAnsi="Wingdings"/>
      </w:rPr>
    </w:lvl>
  </w:abstractNum>
  <w:abstractNum w:abstractNumId="18">
    <w:multiLevelType w:val="hybridMultilevel"/>
    <w:lvl w:ilvl="0">
      <w:start w:val="1"/>
      <w:numFmt w:val="decimal"/>
      <w:isLgl w:val="false"/>
      <w:suff w:val="tab"/>
      <w:lvlText w:val="%1)"/>
      <w:legacy w:legacy="1" w:legacyIndent="288" w:legacySpace="0"/>
      <w:lvlJc w:val="left"/>
      <w:pPr/>
      <w:rPr>
        <w:rFonts w:hint="default"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9">
    <w:multiLevelType w:val="hybridMultilevel"/>
    <w:lvl w:ilvl="0">
      <w:start w:val="1"/>
      <w:numFmt w:val="bullet"/>
      <w:isLgl w:val="false"/>
      <w:suff w:val="tab"/>
      <w:lvlText w:val=""/>
      <w:lvlJc w:val="left"/>
      <w:pPr>
        <w:ind w:left="643" w:hanging="360"/>
      </w:pPr>
      <w:rPr>
        <w:rFonts w:ascii="Symbol" w:hAnsi="Symbol"/>
      </w:rPr>
    </w:lvl>
    <w:lvl w:ilvl="1">
      <w:start w:val="1"/>
      <w:numFmt w:val="lowerLetter"/>
      <w:isLgl w:val="false"/>
      <w:suff w:val="tab"/>
      <w:lvlText w:val="%2."/>
      <w:lvlJc w:val="left"/>
      <w:pPr>
        <w:ind w:left="3490" w:hanging="360"/>
      </w:pPr>
    </w:lvl>
    <w:lvl w:ilvl="2">
      <w:start w:val="1"/>
      <w:numFmt w:val="lowerRoman"/>
      <w:isLgl w:val="false"/>
      <w:suff w:val="tab"/>
      <w:lvlText w:val="%3."/>
      <w:lvlJc w:val="right"/>
      <w:pPr>
        <w:ind w:left="4210" w:hanging="180"/>
      </w:pPr>
    </w:lvl>
    <w:lvl w:ilvl="3">
      <w:start w:val="1"/>
      <w:numFmt w:val="decimal"/>
      <w:isLgl w:val="false"/>
      <w:suff w:val="tab"/>
      <w:lvlText w:val="%4."/>
      <w:lvlJc w:val="left"/>
      <w:pPr>
        <w:ind w:left="4930" w:hanging="360"/>
      </w:pPr>
    </w:lvl>
    <w:lvl w:ilvl="4">
      <w:start w:val="1"/>
      <w:numFmt w:val="lowerLetter"/>
      <w:isLgl w:val="false"/>
      <w:suff w:val="tab"/>
      <w:lvlText w:val="%5."/>
      <w:lvlJc w:val="left"/>
      <w:pPr>
        <w:ind w:left="5650" w:hanging="360"/>
      </w:pPr>
    </w:lvl>
    <w:lvl w:ilvl="5">
      <w:start w:val="1"/>
      <w:numFmt w:val="lowerRoman"/>
      <w:isLgl w:val="false"/>
      <w:suff w:val="tab"/>
      <w:lvlText w:val="%6."/>
      <w:lvlJc w:val="right"/>
      <w:pPr>
        <w:ind w:left="6370" w:hanging="180"/>
      </w:pPr>
    </w:lvl>
    <w:lvl w:ilvl="6">
      <w:start w:val="1"/>
      <w:numFmt w:val="decimal"/>
      <w:isLgl w:val="false"/>
      <w:suff w:val="tab"/>
      <w:lvlText w:val="%7."/>
      <w:lvlJc w:val="left"/>
      <w:pPr>
        <w:ind w:left="7090" w:hanging="360"/>
      </w:pPr>
    </w:lvl>
    <w:lvl w:ilvl="7">
      <w:start w:val="1"/>
      <w:numFmt w:val="lowerLetter"/>
      <w:isLgl w:val="false"/>
      <w:suff w:val="tab"/>
      <w:lvlText w:val="%8."/>
      <w:lvlJc w:val="left"/>
      <w:pPr>
        <w:ind w:left="7810" w:hanging="360"/>
      </w:pPr>
    </w:lvl>
    <w:lvl w:ilvl="8">
      <w:start w:val="1"/>
      <w:numFmt w:val="lowerRoman"/>
      <w:isLgl w:val="false"/>
      <w:suff w:val="tab"/>
      <w:lvlText w:val="%9."/>
      <w:lvlJc w:val="right"/>
      <w:pPr>
        <w:ind w:left="8530" w:hanging="180"/>
      </w:pPr>
    </w:lvl>
  </w:abstractNum>
  <w:abstractNum w:abstractNumId="20">
    <w:multiLevelType w:val="hybridMultilevel"/>
    <w:lvl w:ilvl="0">
      <w:start w:val="3"/>
      <w:numFmt w:val="decimal"/>
      <w:isLgl w:val="false"/>
      <w:suff w:val="tab"/>
      <w:lvlText w:val="%1."/>
      <w:lvlJc w:val="left"/>
      <w:pPr>
        <w:ind w:left="1065" w:hanging="360"/>
      </w:pPr>
      <w:rPr>
        <w:rFonts w:hint="default"/>
      </w:rPr>
    </w:lvl>
    <w:lvl w:ilvl="1">
      <w:start w:val="1"/>
      <w:numFmt w:val="lowerLetter"/>
      <w:isLgl w:val="false"/>
      <w:suff w:val="tab"/>
      <w:lvlText w:val="%2."/>
      <w:lvlJc w:val="left"/>
      <w:pPr>
        <w:ind w:left="1785" w:hanging="360"/>
      </w:pPr>
    </w:lvl>
    <w:lvl w:ilvl="2">
      <w:start w:val="1"/>
      <w:numFmt w:val="lowerRoman"/>
      <w:isLgl w:val="false"/>
      <w:suff w:val="tab"/>
      <w:lvlText w:val="%3."/>
      <w:lvlJc w:val="right"/>
      <w:pPr>
        <w:ind w:left="2505" w:hanging="180"/>
      </w:pPr>
    </w:lvl>
    <w:lvl w:ilvl="3">
      <w:start w:val="1"/>
      <w:numFmt w:val="decimal"/>
      <w:isLgl w:val="false"/>
      <w:suff w:val="tab"/>
      <w:lvlText w:val="%4."/>
      <w:lvlJc w:val="left"/>
      <w:pPr>
        <w:ind w:left="3225" w:hanging="360"/>
      </w:pPr>
    </w:lvl>
    <w:lvl w:ilvl="4">
      <w:start w:val="1"/>
      <w:numFmt w:val="lowerLetter"/>
      <w:isLgl w:val="false"/>
      <w:suff w:val="tab"/>
      <w:lvlText w:val="%5."/>
      <w:lvlJc w:val="left"/>
      <w:pPr>
        <w:ind w:left="3945" w:hanging="360"/>
      </w:pPr>
    </w:lvl>
    <w:lvl w:ilvl="5">
      <w:start w:val="1"/>
      <w:numFmt w:val="lowerRoman"/>
      <w:isLgl w:val="false"/>
      <w:suff w:val="tab"/>
      <w:lvlText w:val="%6."/>
      <w:lvlJc w:val="right"/>
      <w:pPr>
        <w:ind w:left="4665" w:hanging="180"/>
      </w:pPr>
    </w:lvl>
    <w:lvl w:ilvl="6">
      <w:start w:val="1"/>
      <w:numFmt w:val="decimal"/>
      <w:isLgl w:val="false"/>
      <w:suff w:val="tab"/>
      <w:lvlText w:val="%7."/>
      <w:lvlJc w:val="left"/>
      <w:pPr>
        <w:ind w:left="5385" w:hanging="360"/>
      </w:pPr>
    </w:lvl>
    <w:lvl w:ilvl="7">
      <w:start w:val="1"/>
      <w:numFmt w:val="lowerLetter"/>
      <w:isLgl w:val="false"/>
      <w:suff w:val="tab"/>
      <w:lvlText w:val="%8."/>
      <w:lvlJc w:val="left"/>
      <w:pPr>
        <w:ind w:left="6105" w:hanging="360"/>
      </w:pPr>
    </w:lvl>
    <w:lvl w:ilvl="8">
      <w:start w:val="1"/>
      <w:numFmt w:val="lowerRoman"/>
      <w:isLgl w:val="false"/>
      <w:suff w:val="tab"/>
      <w:lvlText w:val="%9."/>
      <w:lvlJc w:val="right"/>
      <w:pPr>
        <w:ind w:left="6825" w:hanging="180"/>
      </w:pPr>
    </w:lvl>
  </w:abstractNum>
  <w:abstractNum w:abstractNumId="21">
    <w:multiLevelType w:val="hybridMultilevel"/>
    <w:lvl w:ilvl="0">
      <w:start w:val="1"/>
      <w:numFmt w:val="bullet"/>
      <w:pStyle w:val="1301"/>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22">
    <w:multiLevelType w:val="hybridMultilevel"/>
    <w:styleLink w:val="1148"/>
    <w:lvl w:ilvl="0">
      <w:start w:val="1"/>
      <w:numFmt w:val="decimal"/>
      <w:pStyle w:val="1148"/>
      <w:isLgl w:val="false"/>
      <w:suff w:val="tab"/>
      <w:lvlText w:val="%1."/>
      <w:lvlJc w:val="left"/>
      <w:pPr>
        <w:ind w:left="2448" w:hanging="1368"/>
        <w:tabs>
          <w:tab w:val="num" w:pos="2448" w:leader="none"/>
        </w:tabs>
      </w:pPr>
      <w:rPr>
        <w:rFonts w:hint="default"/>
      </w:rPr>
    </w:lvl>
    <w:lvl w:ilvl="1">
      <w:start w:val="1"/>
      <w:numFmt w:val="lowerLetter"/>
      <w:isLgl w:val="false"/>
      <w:suff w:val="tab"/>
      <w:lvlText w:val="%2."/>
      <w:lvlJc w:val="left"/>
      <w:pPr>
        <w:ind w:left="2160" w:hanging="360"/>
        <w:tabs>
          <w:tab w:val="num" w:pos="2160" w:leader="none"/>
        </w:tabs>
      </w:pPr>
    </w:lvl>
    <w:lvl w:ilvl="2">
      <w:start w:val="1"/>
      <w:numFmt w:val="lowerRoman"/>
      <w:isLgl w:val="false"/>
      <w:suff w:val="tab"/>
      <w:lvlText w:val="%3."/>
      <w:lvlJc w:val="right"/>
      <w:pPr>
        <w:ind w:left="2880" w:hanging="180"/>
        <w:tabs>
          <w:tab w:val="num" w:pos="2880" w:leader="none"/>
        </w:tabs>
      </w:pPr>
    </w:lvl>
    <w:lvl w:ilvl="3">
      <w:start w:val="1"/>
      <w:numFmt w:val="decimal"/>
      <w:isLgl w:val="false"/>
      <w:suff w:val="tab"/>
      <w:lvlText w:val="%4."/>
      <w:lvlJc w:val="left"/>
      <w:pPr>
        <w:ind w:left="3600" w:hanging="360"/>
        <w:tabs>
          <w:tab w:val="num" w:pos="3600" w:leader="none"/>
        </w:tabs>
      </w:pPr>
    </w:lvl>
    <w:lvl w:ilvl="4">
      <w:start w:val="1"/>
      <w:numFmt w:val="lowerLetter"/>
      <w:isLgl w:val="false"/>
      <w:suff w:val="tab"/>
      <w:lvlText w:val="%5."/>
      <w:lvlJc w:val="left"/>
      <w:pPr>
        <w:ind w:left="4320" w:hanging="360"/>
        <w:tabs>
          <w:tab w:val="num" w:pos="4320" w:leader="none"/>
        </w:tabs>
      </w:pPr>
    </w:lvl>
    <w:lvl w:ilvl="5">
      <w:start w:val="1"/>
      <w:numFmt w:val="lowerRoman"/>
      <w:isLgl w:val="false"/>
      <w:suff w:val="tab"/>
      <w:lvlText w:val="%6."/>
      <w:lvlJc w:val="right"/>
      <w:pPr>
        <w:ind w:left="5040" w:hanging="180"/>
        <w:tabs>
          <w:tab w:val="num" w:pos="5040" w:leader="none"/>
        </w:tabs>
      </w:pPr>
    </w:lvl>
    <w:lvl w:ilvl="6">
      <w:start w:val="1"/>
      <w:numFmt w:val="decimal"/>
      <w:isLgl w:val="false"/>
      <w:suff w:val="tab"/>
      <w:lvlText w:val="%7."/>
      <w:lvlJc w:val="left"/>
      <w:pPr>
        <w:ind w:left="5760" w:hanging="360"/>
        <w:tabs>
          <w:tab w:val="num" w:pos="5760" w:leader="none"/>
        </w:tabs>
      </w:pPr>
    </w:lvl>
    <w:lvl w:ilvl="7">
      <w:start w:val="1"/>
      <w:numFmt w:val="lowerLetter"/>
      <w:isLgl w:val="false"/>
      <w:suff w:val="tab"/>
      <w:lvlText w:val="%8."/>
      <w:lvlJc w:val="left"/>
      <w:pPr>
        <w:ind w:left="6480" w:hanging="360"/>
        <w:tabs>
          <w:tab w:val="num" w:pos="6480" w:leader="none"/>
        </w:tabs>
      </w:pPr>
    </w:lvl>
    <w:lvl w:ilvl="8">
      <w:start w:val="1"/>
      <w:numFmt w:val="lowerRoman"/>
      <w:isLgl w:val="false"/>
      <w:suff w:val="tab"/>
      <w:lvlText w:val="%9."/>
      <w:lvlJc w:val="right"/>
      <w:pPr>
        <w:ind w:left="7200" w:hanging="180"/>
        <w:tabs>
          <w:tab w:val="num" w:pos="7200" w:leader="none"/>
        </w:tabs>
      </w:pPr>
    </w:lvl>
  </w:abstractNum>
  <w:abstractNum w:abstractNumId="23">
    <w:multiLevelType w:val="hybridMultilevel"/>
    <w:lvl w:ilvl="0">
      <w:start w:val="1"/>
      <w:numFmt w:val="bullet"/>
      <w:isLgl w:val="false"/>
      <w:suff w:val="tab"/>
      <w:lvlText w:val=""/>
      <w:lvlJc w:val="left"/>
      <w:pPr>
        <w:ind w:left="643" w:hanging="360"/>
      </w:pPr>
      <w:rPr>
        <w:rFonts w:ascii="Symbol" w:hAnsi="Symbol"/>
      </w:rPr>
    </w:lvl>
    <w:lvl w:ilvl="1">
      <w:start w:val="1"/>
      <w:numFmt w:val="lowerLetter"/>
      <w:isLgl w:val="false"/>
      <w:suff w:val="tab"/>
      <w:lvlText w:val="%2."/>
      <w:lvlJc w:val="left"/>
      <w:pPr>
        <w:ind w:left="3490" w:hanging="360"/>
      </w:pPr>
    </w:lvl>
    <w:lvl w:ilvl="2">
      <w:start w:val="1"/>
      <w:numFmt w:val="lowerRoman"/>
      <w:isLgl w:val="false"/>
      <w:suff w:val="tab"/>
      <w:lvlText w:val="%3."/>
      <w:lvlJc w:val="right"/>
      <w:pPr>
        <w:ind w:left="4210" w:hanging="180"/>
      </w:pPr>
    </w:lvl>
    <w:lvl w:ilvl="3">
      <w:start w:val="1"/>
      <w:numFmt w:val="decimal"/>
      <w:isLgl w:val="false"/>
      <w:suff w:val="tab"/>
      <w:lvlText w:val="%4."/>
      <w:lvlJc w:val="left"/>
      <w:pPr>
        <w:ind w:left="4930" w:hanging="360"/>
      </w:pPr>
    </w:lvl>
    <w:lvl w:ilvl="4">
      <w:start w:val="1"/>
      <w:numFmt w:val="lowerLetter"/>
      <w:isLgl w:val="false"/>
      <w:suff w:val="tab"/>
      <w:lvlText w:val="%5."/>
      <w:lvlJc w:val="left"/>
      <w:pPr>
        <w:ind w:left="5650" w:hanging="360"/>
      </w:pPr>
    </w:lvl>
    <w:lvl w:ilvl="5">
      <w:start w:val="1"/>
      <w:numFmt w:val="lowerRoman"/>
      <w:isLgl w:val="false"/>
      <w:suff w:val="tab"/>
      <w:lvlText w:val="%6."/>
      <w:lvlJc w:val="right"/>
      <w:pPr>
        <w:ind w:left="6370" w:hanging="180"/>
      </w:pPr>
    </w:lvl>
    <w:lvl w:ilvl="6">
      <w:start w:val="1"/>
      <w:numFmt w:val="decimal"/>
      <w:isLgl w:val="false"/>
      <w:suff w:val="tab"/>
      <w:lvlText w:val="%7."/>
      <w:lvlJc w:val="left"/>
      <w:pPr>
        <w:ind w:left="7090" w:hanging="360"/>
      </w:pPr>
    </w:lvl>
    <w:lvl w:ilvl="7">
      <w:start w:val="1"/>
      <w:numFmt w:val="lowerLetter"/>
      <w:isLgl w:val="false"/>
      <w:suff w:val="tab"/>
      <w:lvlText w:val="%8."/>
      <w:lvlJc w:val="left"/>
      <w:pPr>
        <w:ind w:left="7810" w:hanging="360"/>
      </w:pPr>
    </w:lvl>
    <w:lvl w:ilvl="8">
      <w:start w:val="1"/>
      <w:numFmt w:val="lowerRoman"/>
      <w:isLgl w:val="false"/>
      <w:suff w:val="tab"/>
      <w:lvlText w:val="%9."/>
      <w:lvlJc w:val="right"/>
      <w:pPr>
        <w:ind w:left="8530" w:hanging="180"/>
      </w:pPr>
    </w:lvl>
  </w:abstractNum>
  <w:abstractNum w:abstractNumId="24">
    <w:multiLevelType w:val="hybridMultilevel"/>
    <w:lvl w:ilvl="0">
      <w:start w:val="1"/>
      <w:numFmt w:val="bullet"/>
      <w:isLgl w:val="false"/>
      <w:suff w:val="tab"/>
      <w:lvlText w:val=""/>
      <w:lvlJc w:val="left"/>
      <w:pPr>
        <w:ind w:left="1287" w:hanging="360"/>
      </w:pPr>
      <w:rPr>
        <w:rFonts w:hint="default" w:ascii="Symbol" w:hAnsi="Symbol"/>
      </w:rPr>
    </w:lvl>
    <w:lvl w:ilvl="1">
      <w:start w:val="1"/>
      <w:numFmt w:val="bullet"/>
      <w:isLgl w:val="false"/>
      <w:suff w:val="tab"/>
      <w:lvlText w:val="o"/>
      <w:lvlJc w:val="left"/>
      <w:pPr>
        <w:ind w:left="2007" w:hanging="360"/>
      </w:pPr>
      <w:rPr>
        <w:rFonts w:hint="default" w:ascii="Courier New" w:hAnsi="Courier New" w:cs="Courier New"/>
      </w:rPr>
    </w:lvl>
    <w:lvl w:ilvl="2">
      <w:start w:val="1"/>
      <w:numFmt w:val="bullet"/>
      <w:isLgl w:val="false"/>
      <w:suff w:val="tab"/>
      <w:lvlText w:val=""/>
      <w:lvlJc w:val="left"/>
      <w:pPr>
        <w:ind w:left="2727" w:hanging="360"/>
      </w:pPr>
      <w:rPr>
        <w:rFonts w:hint="default" w:ascii="Wingdings" w:hAnsi="Wingdings"/>
      </w:rPr>
    </w:lvl>
    <w:lvl w:ilvl="3">
      <w:start w:val="1"/>
      <w:numFmt w:val="bullet"/>
      <w:isLgl w:val="false"/>
      <w:suff w:val="tab"/>
      <w:lvlText w:val=""/>
      <w:lvlJc w:val="left"/>
      <w:pPr>
        <w:ind w:left="3447" w:hanging="360"/>
      </w:pPr>
      <w:rPr>
        <w:rFonts w:hint="default" w:ascii="Symbol" w:hAnsi="Symbol"/>
      </w:rPr>
    </w:lvl>
    <w:lvl w:ilvl="4">
      <w:start w:val="1"/>
      <w:numFmt w:val="bullet"/>
      <w:isLgl w:val="false"/>
      <w:suff w:val="tab"/>
      <w:lvlText w:val="o"/>
      <w:lvlJc w:val="left"/>
      <w:pPr>
        <w:ind w:left="4167" w:hanging="360"/>
      </w:pPr>
      <w:rPr>
        <w:rFonts w:hint="default" w:ascii="Courier New" w:hAnsi="Courier New" w:cs="Courier New"/>
      </w:rPr>
    </w:lvl>
    <w:lvl w:ilvl="5">
      <w:start w:val="1"/>
      <w:numFmt w:val="bullet"/>
      <w:isLgl w:val="false"/>
      <w:suff w:val="tab"/>
      <w:lvlText w:val=""/>
      <w:lvlJc w:val="left"/>
      <w:pPr>
        <w:ind w:left="4887" w:hanging="360"/>
      </w:pPr>
      <w:rPr>
        <w:rFonts w:hint="default" w:ascii="Wingdings" w:hAnsi="Wingdings"/>
      </w:rPr>
    </w:lvl>
    <w:lvl w:ilvl="6">
      <w:start w:val="1"/>
      <w:numFmt w:val="bullet"/>
      <w:isLgl w:val="false"/>
      <w:suff w:val="tab"/>
      <w:lvlText w:val=""/>
      <w:lvlJc w:val="left"/>
      <w:pPr>
        <w:ind w:left="5607" w:hanging="360"/>
      </w:pPr>
      <w:rPr>
        <w:rFonts w:hint="default" w:ascii="Symbol" w:hAnsi="Symbol"/>
      </w:rPr>
    </w:lvl>
    <w:lvl w:ilvl="7">
      <w:start w:val="1"/>
      <w:numFmt w:val="bullet"/>
      <w:isLgl w:val="false"/>
      <w:suff w:val="tab"/>
      <w:lvlText w:val="o"/>
      <w:lvlJc w:val="left"/>
      <w:pPr>
        <w:ind w:left="6327" w:hanging="360"/>
      </w:pPr>
      <w:rPr>
        <w:rFonts w:hint="default" w:ascii="Courier New" w:hAnsi="Courier New" w:cs="Courier New"/>
      </w:rPr>
    </w:lvl>
    <w:lvl w:ilvl="8">
      <w:start w:val="1"/>
      <w:numFmt w:val="bullet"/>
      <w:isLgl w:val="false"/>
      <w:suff w:val="tab"/>
      <w:lvlText w:val=""/>
      <w:lvlJc w:val="left"/>
      <w:pPr>
        <w:ind w:left="7047" w:hanging="360"/>
      </w:pPr>
      <w:rPr>
        <w:rFonts w:hint="default" w:ascii="Wingdings" w:hAnsi="Wingdings"/>
      </w:rPr>
    </w:lvl>
  </w:abstractNum>
  <w:abstractNum w:abstractNumId="25">
    <w:multiLevelType w:val="hybridMultilevel"/>
    <w:lvl w:ilvl="0">
      <w:start w:val="1"/>
      <w:numFmt w:val="decimal"/>
      <w:pStyle w:val="1129"/>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6">
    <w:multiLevelType w:val="hybridMultilevel"/>
    <w:lvl w:ilvl="0">
      <w:start w:val="1"/>
      <w:numFmt w:val="decimal"/>
      <w:isLgl w:val="false"/>
      <w:suff w:val="tab"/>
      <w:lvlText w:val="%1."/>
      <w:lvlJc w:val="left"/>
      <w:pPr>
        <w:ind w:left="2519" w:hanging="392"/>
      </w:pPr>
      <w:rPr>
        <w:rFonts w:hint="default" w:ascii="Times New Roman" w:hAnsi="Times New Roman" w:eastAsia="Times New Roman" w:cs="Times New Roman"/>
        <w:b w:val="0"/>
        <w:bCs w:val="0"/>
        <w:i w:val="0"/>
        <w:iCs w:val="0"/>
        <w:color w:val="auto"/>
        <w:sz w:val="24"/>
        <w:szCs w:val="24"/>
      </w:rPr>
    </w:lvl>
    <w:lvl w:ilvl="1">
      <w:start w:val="1"/>
      <w:numFmt w:val="none"/>
      <w:isLgl w:val="false"/>
      <w:suff w:val="tab"/>
      <w:lvlText w:val=""/>
      <w:lvlJc w:val="left"/>
      <w:pPr>
        <w:tabs>
          <w:tab w:val="num" w:pos="360" w:leader="none"/>
        </w:tabs>
      </w:pPr>
    </w:lvl>
    <w:lvl w:ilvl="2">
      <w:start w:val="1"/>
      <w:numFmt w:val="bullet"/>
      <w:isLgl w:val="false"/>
      <w:suff w:val="tab"/>
      <w:lvlText w:val="•"/>
      <w:lvlJc w:val="left"/>
      <w:pPr>
        <w:ind w:left="2137" w:hanging="461"/>
      </w:pPr>
      <w:rPr>
        <w:rFonts w:hint="default"/>
      </w:rPr>
    </w:lvl>
    <w:lvl w:ilvl="3">
      <w:start w:val="1"/>
      <w:numFmt w:val="bullet"/>
      <w:isLgl w:val="false"/>
      <w:suff w:val="tab"/>
      <w:lvlText w:val="•"/>
      <w:lvlJc w:val="left"/>
      <w:pPr>
        <w:ind w:left="3095" w:hanging="461"/>
      </w:pPr>
      <w:rPr>
        <w:rFonts w:hint="default"/>
      </w:rPr>
    </w:lvl>
    <w:lvl w:ilvl="4">
      <w:start w:val="1"/>
      <w:numFmt w:val="bullet"/>
      <w:isLgl w:val="false"/>
      <w:suff w:val="tab"/>
      <w:lvlText w:val="•"/>
      <w:lvlJc w:val="left"/>
      <w:pPr>
        <w:ind w:left="4054" w:hanging="461"/>
      </w:pPr>
      <w:rPr>
        <w:rFonts w:hint="default"/>
      </w:rPr>
    </w:lvl>
    <w:lvl w:ilvl="5">
      <w:start w:val="1"/>
      <w:numFmt w:val="bullet"/>
      <w:isLgl w:val="false"/>
      <w:suff w:val="tab"/>
      <w:lvlText w:val="•"/>
      <w:lvlJc w:val="left"/>
      <w:pPr>
        <w:ind w:left="5013" w:hanging="461"/>
      </w:pPr>
      <w:rPr>
        <w:rFonts w:hint="default"/>
      </w:rPr>
    </w:lvl>
    <w:lvl w:ilvl="6">
      <w:start w:val="1"/>
      <w:numFmt w:val="bullet"/>
      <w:isLgl w:val="false"/>
      <w:suff w:val="tab"/>
      <w:lvlText w:val="•"/>
      <w:lvlJc w:val="left"/>
      <w:pPr>
        <w:ind w:left="5971" w:hanging="461"/>
      </w:pPr>
      <w:rPr>
        <w:rFonts w:hint="default"/>
      </w:rPr>
    </w:lvl>
    <w:lvl w:ilvl="7">
      <w:start w:val="1"/>
      <w:numFmt w:val="bullet"/>
      <w:isLgl w:val="false"/>
      <w:suff w:val="tab"/>
      <w:lvlText w:val="•"/>
      <w:lvlJc w:val="left"/>
      <w:pPr>
        <w:ind w:left="6930" w:hanging="461"/>
      </w:pPr>
      <w:rPr>
        <w:rFonts w:hint="default"/>
      </w:rPr>
    </w:lvl>
    <w:lvl w:ilvl="8">
      <w:start w:val="1"/>
      <w:numFmt w:val="bullet"/>
      <w:isLgl w:val="false"/>
      <w:suff w:val="tab"/>
      <w:lvlText w:val="•"/>
      <w:lvlJc w:val="left"/>
      <w:pPr>
        <w:ind w:left="7889" w:hanging="461"/>
      </w:pPr>
      <w:rPr>
        <w:rFonts w:hint="default"/>
      </w:rPr>
    </w:lvl>
  </w:abstractNum>
  <w:abstractNum w:abstractNumId="27">
    <w:multiLevelType w:val="hybridMultilevel"/>
    <w:lvl w:ilvl="0">
      <w:start w:val="1"/>
      <w:numFmt w:val="bullet"/>
      <w:isLgl w:val="false"/>
      <w:suff w:val="tab"/>
      <w:lvlText w:val=""/>
      <w:lvlJc w:val="left"/>
      <w:pPr>
        <w:ind w:left="818" w:hanging="360"/>
      </w:pPr>
      <w:rPr>
        <w:rFonts w:ascii="Symbol" w:hAnsi="Symbol"/>
      </w:rPr>
    </w:lvl>
    <w:lvl w:ilvl="1">
      <w:start w:val="1"/>
      <w:numFmt w:val="bullet"/>
      <w:isLgl w:val="false"/>
      <w:suff w:val="tab"/>
      <w:lvlText w:val="o"/>
      <w:lvlJc w:val="left"/>
      <w:pPr>
        <w:ind w:left="1538" w:hanging="360"/>
      </w:pPr>
      <w:rPr>
        <w:rFonts w:ascii="Courier New" w:hAnsi="Courier New" w:cs="Courier New"/>
      </w:rPr>
    </w:lvl>
    <w:lvl w:ilvl="2">
      <w:start w:val="1"/>
      <w:numFmt w:val="bullet"/>
      <w:isLgl w:val="false"/>
      <w:suff w:val="tab"/>
      <w:lvlText w:val=""/>
      <w:lvlJc w:val="left"/>
      <w:pPr>
        <w:ind w:left="2258" w:hanging="360"/>
      </w:pPr>
      <w:rPr>
        <w:rFonts w:ascii="Wingdings" w:hAnsi="Wingdings"/>
      </w:rPr>
    </w:lvl>
    <w:lvl w:ilvl="3">
      <w:start w:val="1"/>
      <w:numFmt w:val="bullet"/>
      <w:isLgl w:val="false"/>
      <w:suff w:val="tab"/>
      <w:lvlText w:val=""/>
      <w:lvlJc w:val="left"/>
      <w:pPr>
        <w:ind w:left="2978" w:hanging="360"/>
      </w:pPr>
      <w:rPr>
        <w:rFonts w:ascii="Symbol" w:hAnsi="Symbol"/>
      </w:rPr>
    </w:lvl>
    <w:lvl w:ilvl="4">
      <w:start w:val="1"/>
      <w:numFmt w:val="bullet"/>
      <w:isLgl w:val="false"/>
      <w:suff w:val="tab"/>
      <w:lvlText w:val="o"/>
      <w:lvlJc w:val="left"/>
      <w:pPr>
        <w:ind w:left="3698" w:hanging="360"/>
      </w:pPr>
      <w:rPr>
        <w:rFonts w:ascii="Courier New" w:hAnsi="Courier New" w:cs="Courier New"/>
      </w:rPr>
    </w:lvl>
    <w:lvl w:ilvl="5">
      <w:start w:val="1"/>
      <w:numFmt w:val="bullet"/>
      <w:isLgl w:val="false"/>
      <w:suff w:val="tab"/>
      <w:lvlText w:val=""/>
      <w:lvlJc w:val="left"/>
      <w:pPr>
        <w:ind w:left="4418" w:hanging="360"/>
      </w:pPr>
      <w:rPr>
        <w:rFonts w:ascii="Wingdings" w:hAnsi="Wingdings"/>
      </w:rPr>
    </w:lvl>
    <w:lvl w:ilvl="6">
      <w:start w:val="1"/>
      <w:numFmt w:val="bullet"/>
      <w:isLgl w:val="false"/>
      <w:suff w:val="tab"/>
      <w:lvlText w:val=""/>
      <w:lvlJc w:val="left"/>
      <w:pPr>
        <w:ind w:left="5138" w:hanging="360"/>
      </w:pPr>
      <w:rPr>
        <w:rFonts w:ascii="Symbol" w:hAnsi="Symbol"/>
      </w:rPr>
    </w:lvl>
    <w:lvl w:ilvl="7">
      <w:start w:val="1"/>
      <w:numFmt w:val="bullet"/>
      <w:isLgl w:val="false"/>
      <w:suff w:val="tab"/>
      <w:lvlText w:val="o"/>
      <w:lvlJc w:val="left"/>
      <w:pPr>
        <w:ind w:left="5858" w:hanging="360"/>
      </w:pPr>
      <w:rPr>
        <w:rFonts w:ascii="Courier New" w:hAnsi="Courier New" w:cs="Courier New"/>
      </w:rPr>
    </w:lvl>
    <w:lvl w:ilvl="8">
      <w:start w:val="1"/>
      <w:numFmt w:val="bullet"/>
      <w:isLgl w:val="false"/>
      <w:suff w:val="tab"/>
      <w:lvlText w:val=""/>
      <w:lvlJc w:val="left"/>
      <w:pPr>
        <w:ind w:left="6578" w:hanging="360"/>
      </w:pPr>
      <w:rPr>
        <w:rFonts w:ascii="Wingdings" w:hAnsi="Wingdings"/>
      </w:rPr>
    </w:lvl>
  </w:abstractNum>
  <w:abstractNum w:abstractNumId="28">
    <w:multiLevelType w:val="hybridMultilevel"/>
    <w:styleLink w:val="1314"/>
    <w:lvl w:ilvl="0">
      <w:start w:val="1"/>
      <w:numFmt w:val="russianLower"/>
      <w:pStyle w:val="1119"/>
      <w:isLgl w:val="false"/>
      <w:suff w:val="space"/>
      <w:lvlText w:val="%1)"/>
      <w:lvlJc w:val="left"/>
      <w:pPr>
        <w:ind w:left="567" w:firstLine="0"/>
      </w:pPr>
      <w:rPr>
        <w:rFonts w:hint="default" w:ascii="Times New Roman" w:hAnsi="Times New Roman" w:cs="Times New Roman"/>
        <w:b w:val="0"/>
        <w:bCs w:val="0"/>
        <w:i w:val="0"/>
        <w:iCs w:val="0"/>
        <w:caps w:val="0"/>
        <w:strike w:val="0"/>
        <w:vanish w:val="0"/>
        <w:spacing w:val="0"/>
        <w:position w:val="0"/>
        <w:sz w:val="24"/>
        <w:u w:val="none"/>
        <w:vertAlign w:val="baseline"/>
      </w:rPr>
    </w:lvl>
    <w:lvl w:ilvl="1">
      <w:start w:val="1"/>
      <w:numFmt w:val="none"/>
      <w:isLgl w:val="false"/>
      <w:suff w:val="tab"/>
      <w:lvlText w:val=""/>
      <w:lvlJc w:val="left"/>
      <w:pPr>
        <w:tabs>
          <w:tab w:val="num" w:pos="360" w:leader="none"/>
        </w:tabs>
      </w:pPr>
    </w:lvl>
    <w:lvl w:ilvl="2">
      <w:start w:val="1"/>
      <w:numFmt w:val="none"/>
      <w:isLgl w:val="false"/>
      <w:suff w:val="tab"/>
      <w:lvlText w:val=""/>
      <w:lvlJc w:val="left"/>
      <w:pPr>
        <w:tabs>
          <w:tab w:val="num" w:pos="360" w:leader="none"/>
        </w:tabs>
      </w:pPr>
    </w:lvl>
    <w:lvl w:ilvl="3">
      <w:start w:val="1"/>
      <w:numFmt w:val="none"/>
      <w:isLgl w:val="false"/>
      <w:suff w:val="tab"/>
      <w:lvlText w:val=""/>
      <w:lvlJc w:val="left"/>
      <w:pPr>
        <w:tabs>
          <w:tab w:val="num" w:pos="360" w:leader="none"/>
        </w:tabs>
      </w:pPr>
    </w:lvl>
    <w:lvl w:ilvl="4">
      <w:start w:val="1"/>
      <w:numFmt w:val="none"/>
      <w:isLgl w:val="false"/>
      <w:suff w:val="tab"/>
      <w:lvlText w:val=""/>
      <w:lvlJc w:val="left"/>
      <w:pPr>
        <w:tabs>
          <w:tab w:val="num" w:pos="360" w:leader="none"/>
        </w:tabs>
      </w:pPr>
    </w:lvl>
    <w:lvl w:ilvl="5">
      <w:start w:val="1"/>
      <w:numFmt w:val="none"/>
      <w:isLgl w:val="false"/>
      <w:suff w:val="tab"/>
      <w:lvlText w:val=""/>
      <w:lvlJc w:val="left"/>
      <w:pPr>
        <w:tabs>
          <w:tab w:val="num" w:pos="360" w:leader="none"/>
        </w:tabs>
      </w:pPr>
    </w:lvl>
    <w:lvl w:ilvl="6">
      <w:start w:val="1"/>
      <w:numFmt w:val="none"/>
      <w:isLgl w:val="false"/>
      <w:suff w:val="tab"/>
      <w:lvlText w:val=""/>
      <w:lvlJc w:val="left"/>
      <w:pPr>
        <w:tabs>
          <w:tab w:val="num" w:pos="360" w:leader="none"/>
        </w:tabs>
      </w:pPr>
    </w:lvl>
    <w:lvl w:ilvl="7">
      <w:start w:val="1"/>
      <w:numFmt w:val="none"/>
      <w:isLgl w:val="false"/>
      <w:suff w:val="tab"/>
      <w:lvlText w:val=""/>
      <w:lvlJc w:val="left"/>
      <w:pPr>
        <w:tabs>
          <w:tab w:val="num" w:pos="360" w:leader="none"/>
        </w:tabs>
      </w:pPr>
    </w:lvl>
    <w:lvl w:ilvl="8">
      <w:start w:val="1"/>
      <w:numFmt w:val="none"/>
      <w:isLgl w:val="false"/>
      <w:suff w:val="tab"/>
      <w:lvlText w:val=""/>
      <w:lvlJc w:val="left"/>
      <w:pPr>
        <w:tabs>
          <w:tab w:val="num" w:pos="360" w:leader="none"/>
        </w:tabs>
      </w:pPr>
    </w:lvl>
  </w:abstractNum>
  <w:abstractNum w:abstractNumId="29">
    <w:multiLevelType w:val="hybridMultilevel"/>
    <w:lvl w:ilvl="0">
      <w:start w:val="1"/>
      <w:numFmt w:val="decimal"/>
      <w:isLgl w:val="false"/>
      <w:suff w:val="tab"/>
      <w:lvlText w:val="%1."/>
      <w:lvlJc w:val="left"/>
      <w:pPr>
        <w:ind w:left="284" w:hanging="284"/>
        <w:tabs>
          <w:tab w:val="num" w:pos="397" w:leader="none"/>
        </w:tabs>
      </w:pPr>
      <w:rPr>
        <w:b w:val="0"/>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30">
    <w:multiLevelType w:val="hybridMultilevel"/>
    <w:lvl w:ilvl="0">
      <w:start w:val="1"/>
      <w:numFmt w:val="decimal"/>
      <w:isLgl w:val="false"/>
      <w:suff w:val="tab"/>
      <w:lvlText w:val="%1."/>
      <w:lvlJc w:val="left"/>
      <w:pPr>
        <w:ind w:left="284" w:hanging="284"/>
        <w:tabs>
          <w:tab w:val="num" w:pos="397" w:leader="none"/>
        </w:tabs>
      </w:pPr>
      <w:rPr>
        <w:b w:val="0"/>
      </w:r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31">
    <w:multiLevelType w:val="hybridMultilevel"/>
    <w:lvl w:ilvl="0">
      <w:start w:val="1"/>
      <w:numFmt w:val="decimal"/>
      <w:isLgl w:val="false"/>
      <w:suff w:val="tab"/>
      <w:lvlText w:val="%1."/>
      <w:lvlJc w:val="left"/>
      <w:pPr>
        <w:ind w:left="284" w:hanging="284"/>
        <w:tabs>
          <w:tab w:val="num" w:pos="397" w:leader="none"/>
        </w:tabs>
      </w:pPr>
      <w:rPr>
        <w:b w:val="0"/>
      </w:r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32">
    <w:multiLevelType w:val="hybridMultilevel"/>
    <w:lvl w:ilvl="0">
      <w:start w:val="1"/>
      <w:numFmt w:val="decimal"/>
      <w:isLgl w:val="false"/>
      <w:suff w:val="tab"/>
      <w:lvlText w:val="%1."/>
      <w:lvlJc w:val="left"/>
      <w:pPr>
        <w:ind w:left="2519" w:hanging="392"/>
      </w:pPr>
      <w:rPr>
        <w:rFonts w:hint="default" w:ascii="Times New Roman" w:hAnsi="Times New Roman" w:eastAsia="Times New Roman" w:cs="Times New Roman"/>
        <w:b w:val="0"/>
        <w:bCs w:val="0"/>
        <w:i w:val="0"/>
        <w:iCs w:val="0"/>
        <w:color w:val="auto"/>
        <w:sz w:val="24"/>
        <w:szCs w:val="24"/>
      </w:rPr>
    </w:lvl>
    <w:lvl w:ilvl="1">
      <w:start w:val="1"/>
      <w:numFmt w:val="decimal"/>
      <w:isLgl w:val="false"/>
      <w:suff w:val="tab"/>
      <w:lvlText w:val="%1.%2."/>
      <w:lvlJc w:val="left"/>
      <w:pPr>
        <w:ind w:left="221" w:hanging="461"/>
      </w:pPr>
      <w:rPr>
        <w:rFonts w:hint="default" w:ascii="Times New Roman" w:hAnsi="Times New Roman" w:eastAsia="Times New Roman" w:cs="Times New Roman"/>
        <w:b w:val="0"/>
        <w:bCs w:val="0"/>
        <w:i w:val="0"/>
        <w:iCs w:val="0"/>
        <w:strike w:val="0"/>
        <w:color w:val="auto"/>
        <w:sz w:val="24"/>
        <w:szCs w:val="24"/>
      </w:rPr>
    </w:lvl>
    <w:lvl w:ilvl="2">
      <w:start w:val="1"/>
      <w:numFmt w:val="bullet"/>
      <w:isLgl w:val="false"/>
      <w:suff w:val="tab"/>
      <w:lvlText w:val="•"/>
      <w:lvlJc w:val="left"/>
      <w:pPr>
        <w:ind w:left="2137" w:hanging="461"/>
      </w:pPr>
      <w:rPr>
        <w:rFonts w:hint="default"/>
      </w:rPr>
    </w:lvl>
    <w:lvl w:ilvl="3">
      <w:start w:val="1"/>
      <w:numFmt w:val="bullet"/>
      <w:isLgl w:val="false"/>
      <w:suff w:val="tab"/>
      <w:lvlText w:val="•"/>
      <w:lvlJc w:val="left"/>
      <w:pPr>
        <w:ind w:left="3095" w:hanging="461"/>
      </w:pPr>
      <w:rPr>
        <w:rFonts w:hint="default"/>
      </w:rPr>
    </w:lvl>
    <w:lvl w:ilvl="4">
      <w:start w:val="1"/>
      <w:numFmt w:val="bullet"/>
      <w:isLgl w:val="false"/>
      <w:suff w:val="tab"/>
      <w:lvlText w:val="•"/>
      <w:lvlJc w:val="left"/>
      <w:pPr>
        <w:ind w:left="4054" w:hanging="461"/>
      </w:pPr>
      <w:rPr>
        <w:rFonts w:hint="default"/>
      </w:rPr>
    </w:lvl>
    <w:lvl w:ilvl="5">
      <w:start w:val="1"/>
      <w:numFmt w:val="bullet"/>
      <w:isLgl w:val="false"/>
      <w:suff w:val="tab"/>
      <w:lvlText w:val="•"/>
      <w:lvlJc w:val="left"/>
      <w:pPr>
        <w:ind w:left="5013" w:hanging="461"/>
      </w:pPr>
      <w:rPr>
        <w:rFonts w:hint="default"/>
      </w:rPr>
    </w:lvl>
    <w:lvl w:ilvl="6">
      <w:start w:val="1"/>
      <w:numFmt w:val="bullet"/>
      <w:isLgl w:val="false"/>
      <w:suff w:val="tab"/>
      <w:lvlText w:val="•"/>
      <w:lvlJc w:val="left"/>
      <w:pPr>
        <w:ind w:left="5971" w:hanging="461"/>
      </w:pPr>
      <w:rPr>
        <w:rFonts w:hint="default"/>
      </w:rPr>
    </w:lvl>
    <w:lvl w:ilvl="7">
      <w:start w:val="1"/>
      <w:numFmt w:val="bullet"/>
      <w:isLgl w:val="false"/>
      <w:suff w:val="tab"/>
      <w:lvlText w:val="•"/>
      <w:lvlJc w:val="left"/>
      <w:pPr>
        <w:ind w:left="6930" w:hanging="461"/>
      </w:pPr>
      <w:rPr>
        <w:rFonts w:hint="default"/>
      </w:rPr>
    </w:lvl>
    <w:lvl w:ilvl="8">
      <w:start w:val="1"/>
      <w:numFmt w:val="bullet"/>
      <w:isLgl w:val="false"/>
      <w:suff w:val="tab"/>
      <w:lvlText w:val="•"/>
      <w:lvlJc w:val="left"/>
      <w:pPr>
        <w:ind w:left="7889" w:hanging="461"/>
      </w:pPr>
      <w:rPr>
        <w:rFonts w:hint="default"/>
      </w:rPr>
    </w:lvl>
  </w:abstractNum>
  <w:num w:numId="1">
    <w:abstractNumId w:val="3"/>
  </w:num>
  <w:num w:numId="2">
    <w:abstractNumId w:val="8"/>
  </w:num>
  <w:num w:numId="3">
    <w:abstractNumId w:val="20"/>
  </w:num>
  <w:num w:numId="4">
    <w:abstractNumId w:val="28"/>
  </w:num>
  <w:num w:numId="5">
    <w:abstractNumId w:val="12"/>
  </w:num>
  <w:num w:numId="6">
    <w:abstractNumId w:val="7"/>
  </w:num>
  <w:num w:numId="7">
    <w:abstractNumId w:val="14"/>
  </w:num>
  <w:num w:numId="8">
    <w:abstractNumId w:val="2"/>
  </w:num>
  <w:num w:numId="9">
    <w:abstractNumId w:val="25"/>
  </w:num>
  <w:num w:numId="10">
    <w:abstractNumId w:val="15"/>
  </w:num>
  <w:num w:numId="11">
    <w:abstractNumId w:val="22"/>
  </w:num>
  <w:num w:numId="12">
    <w:abstractNumId w:val="0"/>
  </w:num>
  <w:num w:numId="13">
    <w:abstractNumId w:val="16"/>
  </w:num>
  <w:num w:numId="14">
    <w:abstractNumId w:val="21"/>
  </w:num>
  <w:num w:numId="15">
    <w:abstractNumId w:val="26"/>
  </w:num>
  <w:num w:numId="16">
    <w:abstractNumId w:val="9"/>
  </w:num>
  <w:num w:numId="17">
    <w:abstractNumId w:val="18"/>
  </w:num>
  <w:num w:numId="18">
    <w:abstractNumId w:val="24"/>
  </w:num>
  <w:num w:numId="19">
    <w:abstractNumId w:val="13"/>
  </w:num>
  <w:num w:numId="20">
    <w:abstractNumId w:val="17"/>
  </w:num>
  <w:num w:numId="21">
    <w:abstractNumId w:val="10"/>
  </w:num>
  <w:num w:numId="22">
    <w:abstractNumId w:val="27"/>
  </w:num>
  <w:num w:numId="23">
    <w:abstractNumId w:val="1"/>
  </w:num>
  <w:num w:numId="24">
    <w:abstractNumId w:val="11"/>
  </w:num>
  <w:num w:numId="25">
    <w:abstractNumId w:val="23"/>
  </w:num>
  <w:num w:numId="26">
    <w:abstractNumId w:val="5"/>
  </w:num>
  <w:num w:numId="27">
    <w:abstractNumId w:val="6"/>
  </w:num>
  <w:num w:numId="28">
    <w:abstractNumId w:val="19"/>
  </w:num>
  <w:num w:numId="29">
    <w:abstractNumId w:val="4"/>
  </w:num>
  <w:num w:numId="30">
    <w:abstractNumId w:val="29"/>
  </w:num>
  <w:num w:numId="31">
    <w:abstractNumId w:val="30"/>
  </w:num>
  <w:num w:numId="32">
    <w:abstractNumId w:val="31"/>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tru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ru-RU" w:eastAsia="en-US" w:bidi="ar-SA"/>
      </w:rPr>
    </w:rPrDefault>
    <w:pPrDefault>
      <w:pPr>
        <w:spacing w:before="0" w:beforeAutospacing="0" w:after="160" w:afterAutospacing="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54" w:default="1">
    <w:name w:val="Normal"/>
    <w:qFormat/>
    <w:pPr>
      <w:spacing w:after="0" w:line="240" w:lineRule="auto"/>
      <w:widowControl w:val="off"/>
    </w:pPr>
    <w:rPr>
      <w:rFonts w:ascii="Times New Roman" w:hAnsi="Times New Roman" w:eastAsia="Times New Roman" w:cs="Times New Roman"/>
      <w:sz w:val="20"/>
      <w:szCs w:val="20"/>
      <w:lang w:eastAsia="ar-SA"/>
    </w:rPr>
  </w:style>
  <w:style w:type="character" w:styleId="755" w:default="1">
    <w:name w:val="Default Paragraph Font"/>
    <w:uiPriority w:val="1"/>
    <w:semiHidden/>
    <w:unhideWhenUsed/>
  </w:style>
  <w:style w:type="table" w:styleId="756" w:default="1">
    <w:name w:val="Normal Table"/>
    <w:uiPriority w:val="99"/>
    <w:semiHidden/>
    <w:unhideWhenUsed/>
    <w:qFormat/>
    <w:tblPr>
      <w:tblInd w:w="0" w:type="dxa"/>
      <w:tblCellMar>
        <w:left w:w="108" w:type="dxa"/>
        <w:top w:w="0" w:type="dxa"/>
        <w:right w:w="108" w:type="dxa"/>
        <w:bottom w:w="0" w:type="dxa"/>
      </w:tblCellMar>
    </w:tblPr>
  </w:style>
  <w:style w:type="numbering" w:styleId="757" w:default="1">
    <w:name w:val="No List"/>
    <w:uiPriority w:val="99"/>
    <w:semiHidden/>
    <w:unhideWhenUsed/>
  </w:style>
  <w:style w:type="character" w:styleId="758" w:customStyle="1">
    <w:name w:val="Heading 2 Char"/>
    <w:basedOn w:val="755"/>
    <w:link w:val="902"/>
    <w:uiPriority w:val="9"/>
    <w:rPr>
      <w:rFonts w:ascii="Arial" w:hAnsi="Arial" w:eastAsia="Arial" w:cs="Arial"/>
      <w:sz w:val="34"/>
    </w:rPr>
  </w:style>
  <w:style w:type="character" w:styleId="759" w:customStyle="1">
    <w:name w:val="Heading 3 Char"/>
    <w:basedOn w:val="755"/>
    <w:link w:val="903"/>
    <w:uiPriority w:val="9"/>
    <w:rPr>
      <w:rFonts w:ascii="Arial" w:hAnsi="Arial" w:eastAsia="Arial" w:cs="Arial"/>
      <w:sz w:val="30"/>
      <w:szCs w:val="30"/>
    </w:rPr>
  </w:style>
  <w:style w:type="character" w:styleId="760" w:customStyle="1">
    <w:name w:val="Heading 4 Char"/>
    <w:basedOn w:val="755"/>
    <w:link w:val="904"/>
    <w:uiPriority w:val="9"/>
    <w:rPr>
      <w:rFonts w:ascii="Arial" w:hAnsi="Arial" w:eastAsia="Arial" w:cs="Arial"/>
      <w:b/>
      <w:bCs/>
      <w:sz w:val="26"/>
      <w:szCs w:val="26"/>
    </w:rPr>
  </w:style>
  <w:style w:type="character" w:styleId="761" w:customStyle="1">
    <w:name w:val="Heading 5 Char"/>
    <w:basedOn w:val="755"/>
    <w:link w:val="905"/>
    <w:uiPriority w:val="9"/>
    <w:rPr>
      <w:rFonts w:ascii="Arial" w:hAnsi="Arial" w:eastAsia="Arial" w:cs="Arial"/>
      <w:b/>
      <w:bCs/>
      <w:sz w:val="24"/>
      <w:szCs w:val="24"/>
    </w:rPr>
  </w:style>
  <w:style w:type="character" w:styleId="762" w:customStyle="1">
    <w:name w:val="Heading 6 Char"/>
    <w:basedOn w:val="755"/>
    <w:link w:val="906"/>
    <w:uiPriority w:val="9"/>
    <w:rPr>
      <w:rFonts w:ascii="Arial" w:hAnsi="Arial" w:eastAsia="Arial" w:cs="Arial"/>
      <w:b/>
      <w:bCs/>
      <w:sz w:val="22"/>
      <w:szCs w:val="22"/>
    </w:rPr>
  </w:style>
  <w:style w:type="character" w:styleId="763" w:customStyle="1">
    <w:name w:val="Heading 7 Char"/>
    <w:basedOn w:val="755"/>
    <w:link w:val="907"/>
    <w:uiPriority w:val="9"/>
    <w:rPr>
      <w:rFonts w:ascii="Arial" w:hAnsi="Arial" w:eastAsia="Arial" w:cs="Arial"/>
      <w:b/>
      <w:bCs/>
      <w:i/>
      <w:iCs/>
      <w:sz w:val="22"/>
      <w:szCs w:val="22"/>
    </w:rPr>
  </w:style>
  <w:style w:type="character" w:styleId="764" w:customStyle="1">
    <w:name w:val="Heading 8 Char"/>
    <w:basedOn w:val="755"/>
    <w:link w:val="908"/>
    <w:uiPriority w:val="9"/>
    <w:rPr>
      <w:rFonts w:ascii="Arial" w:hAnsi="Arial" w:eastAsia="Arial" w:cs="Arial"/>
      <w:i/>
      <w:iCs/>
      <w:sz w:val="22"/>
      <w:szCs w:val="22"/>
    </w:rPr>
  </w:style>
  <w:style w:type="character" w:styleId="765" w:customStyle="1">
    <w:name w:val="Heading 9 Char"/>
    <w:basedOn w:val="755"/>
    <w:link w:val="909"/>
    <w:uiPriority w:val="9"/>
    <w:rPr>
      <w:rFonts w:ascii="Arial" w:hAnsi="Arial" w:eastAsia="Arial" w:cs="Arial"/>
      <w:i/>
      <w:iCs/>
      <w:sz w:val="21"/>
      <w:szCs w:val="21"/>
    </w:rPr>
  </w:style>
  <w:style w:type="character" w:styleId="766" w:customStyle="1">
    <w:name w:val="Title Char"/>
    <w:basedOn w:val="755"/>
    <w:link w:val="994"/>
    <w:uiPriority w:val="10"/>
    <w:rPr>
      <w:sz w:val="48"/>
      <w:szCs w:val="48"/>
    </w:rPr>
  </w:style>
  <w:style w:type="character" w:styleId="767" w:customStyle="1">
    <w:name w:val="Subtitle Char"/>
    <w:basedOn w:val="755"/>
    <w:link w:val="1008"/>
    <w:uiPriority w:val="11"/>
    <w:rPr>
      <w:sz w:val="24"/>
      <w:szCs w:val="24"/>
    </w:rPr>
  </w:style>
  <w:style w:type="character" w:styleId="768" w:customStyle="1">
    <w:name w:val="Quote Char"/>
    <w:link w:val="1131"/>
    <w:uiPriority w:val="29"/>
    <w:rPr>
      <w:i/>
    </w:rPr>
  </w:style>
  <w:style w:type="character" w:styleId="769" w:customStyle="1">
    <w:name w:val="Intense Quote Char"/>
    <w:link w:val="1133"/>
    <w:uiPriority w:val="30"/>
    <w:rPr>
      <w:i/>
    </w:rPr>
  </w:style>
  <w:style w:type="character" w:styleId="770" w:customStyle="1">
    <w:name w:val="Header Char"/>
    <w:basedOn w:val="755"/>
    <w:link w:val="1020"/>
    <w:uiPriority w:val="99"/>
  </w:style>
  <w:style w:type="character" w:styleId="771" w:customStyle="1">
    <w:name w:val="Footer Char"/>
    <w:basedOn w:val="755"/>
    <w:link w:val="1011"/>
    <w:uiPriority w:val="99"/>
  </w:style>
  <w:style w:type="character" w:styleId="772" w:customStyle="1">
    <w:name w:val="Caption Char"/>
    <w:link w:val="1011"/>
    <w:uiPriority w:val="99"/>
  </w:style>
  <w:style w:type="table" w:styleId="773" w:customStyle="1">
    <w:name w:val="Table Grid Light"/>
    <w:basedOn w:val="756"/>
    <w:uiPriority w:val="59"/>
    <w:pPr>
      <w:spacing w:after="0" w:line="240" w:lineRule="auto"/>
    </w:pPr>
    <w:tblPr>
      <w:tblInd w:w="0" w:type="dxa"/>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left w:w="108" w:type="dxa"/>
        <w:top w:w="0" w:type="dxa"/>
        <w:right w:w="108" w:type="dxa"/>
        <w:bottom w:w="0" w:type="dxa"/>
      </w:tblCellMar>
    </w:tblPr>
  </w:style>
  <w:style w:type="table" w:styleId="774" w:customStyle="1">
    <w:name w:val="Plain Table 1"/>
    <w:basedOn w:val="756"/>
    <w:uiPriority w:val="59"/>
    <w:pPr>
      <w:spacing w:after="0" w:line="240" w:lineRule="auto"/>
    </w:pPr>
    <w:tblPr>
      <w:tblInd w:w="0" w:type="dxa"/>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left w:w="108" w:type="dxa"/>
        <w:top w:w="0" w:type="dxa"/>
        <w:right w:w="108" w:type="dxa"/>
        <w:bottom w:w="0" w:type="dxa"/>
      </w:tblCellMar>
    </w:tblPr>
    <w:tblStylePr w:type="band1Horz">
      <w:tcPr>
        <w:shd w:val="clear" w:color="f2f2f2" w:themeColor="text1" w:themeTint="00" w:fill="f2f2f2" w:themeFill="text1" w:themeFillTint="00"/>
      </w:tcPr>
    </w:tblStylePr>
    <w:tblStylePr w:type="band1Vert">
      <w:tcPr>
        <w:shd w:val="clear" w:color="f2f2f2" w:themeColor="text1" w:themeTint="00" w:fill="f2f2f2" w:themeFill="text1" w:themeFillTint="00"/>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75" w:customStyle="1">
    <w:name w:val="Plain Table 2"/>
    <w:basedOn w:val="756"/>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76" w:customStyle="1">
    <w:name w:val="Plain Table 3"/>
    <w:basedOn w:val="756"/>
    <w:uiPriority w:val="99"/>
    <w:pPr>
      <w:spacing w:after="0" w:line="240" w:lineRule="auto"/>
    </w:pPr>
    <w:tblPr>
      <w:tblStyleRowBandSize w:val="1"/>
      <w:tblStyleColBandSize w:val="1"/>
      <w:tblInd w:w="0" w:type="dxa"/>
      <w:tblCellMar>
        <w:left w:w="108" w:type="dxa"/>
        <w:top w:w="0" w:type="dxa"/>
        <w:right w:w="108" w:type="dxa"/>
        <w:bottom w:w="0" w:type="dxa"/>
      </w:tblCellMar>
    </w:tblPr>
    <w:tblStylePr w:type="band1Horz">
      <w:rPr>
        <w:rFonts w:ascii="Arial" w:hAnsi="Arial"/>
        <w:color w:val="404040"/>
        <w:sz w:val="22"/>
      </w:rPr>
      <w:tcPr>
        <w:shd w:val="clear" w:color="f2f2f2" w:themeColor="text1" w:themeTint="00" w:fill="f2f2f2" w:themeFill="text1" w:themeFillTint="00"/>
      </w:tcPr>
    </w:tblStylePr>
    <w:tblStylePr w:type="band1Vert">
      <w:rPr>
        <w:rFonts w:ascii="Arial" w:hAnsi="Arial"/>
        <w:color w:val="404040"/>
        <w:sz w:val="22"/>
      </w:rPr>
      <w:tcPr>
        <w:shd w:val="clear" w:color="f2f2f2" w:themeColor="text1" w:themeTint="00" w:fill="f2f2f2" w:themeFill="text1" w:themeFillTint="00"/>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77" w:customStyle="1">
    <w:name w:val="Plain Table 4"/>
    <w:basedOn w:val="756"/>
    <w:uiPriority w:val="99"/>
    <w:pPr>
      <w:spacing w:after="0" w:line="240" w:lineRule="auto"/>
    </w:pPr>
    <w:tblPr>
      <w:tblStyleRowBandSize w:val="1"/>
      <w:tblStyleColBandSize w:val="1"/>
      <w:tblInd w:w="0" w:type="dxa"/>
      <w:tblCellMar>
        <w:left w:w="108" w:type="dxa"/>
        <w:top w:w="0" w:type="dxa"/>
        <w:right w:w="108" w:type="dxa"/>
        <w:bottom w:w="0" w:type="dxa"/>
      </w:tblCellMar>
    </w:tblPr>
    <w:tblStylePr w:type="band1Horz">
      <w:rPr>
        <w:rFonts w:ascii="Arial" w:hAnsi="Arial"/>
        <w:color w:val="404040"/>
        <w:sz w:val="22"/>
      </w:rPr>
      <w:tcPr>
        <w:shd w:val="clear" w:color="f2f2f2" w:themeColor="text1" w:themeTint="00" w:fill="f2f2f2" w:themeFill="text1" w:themeFillTint="00"/>
      </w:tcPr>
    </w:tblStylePr>
    <w:tblStylePr w:type="band1Vert">
      <w:rPr>
        <w:rFonts w:ascii="Arial" w:hAnsi="Arial"/>
        <w:color w:val="404040"/>
        <w:sz w:val="22"/>
      </w:rPr>
      <w:tcPr>
        <w:shd w:val="clear" w:color="f2f2f2" w:themeColor="text1" w:themeTint="00" w:fill="f2f2f2" w:themeFill="text1" w:themeFillTint="00"/>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78" w:customStyle="1">
    <w:name w:val="Plain Table 5"/>
    <w:basedOn w:val="756"/>
    <w:uiPriority w:val="99"/>
    <w:pPr>
      <w:spacing w:after="0" w:line="240" w:lineRule="auto"/>
    </w:pPr>
    <w:tblPr>
      <w:tblStyleRowBandSize w:val="1"/>
      <w:tblStyleColBandSize w:val="1"/>
      <w:tblInd w:w="0" w:type="dxa"/>
      <w:tblCellMar>
        <w:left w:w="108" w:type="dxa"/>
        <w:top w:w="0" w:type="dxa"/>
        <w:right w:w="108" w:type="dxa"/>
        <w:bottom w:w="0" w:type="dxa"/>
      </w:tblCellMar>
    </w:tblPr>
    <w:tblStylePr w:type="band1Horz">
      <w:rPr>
        <w:rFonts w:ascii="Arial" w:hAnsi="Arial"/>
        <w:color w:val="404040"/>
        <w:sz w:val="22"/>
      </w:rPr>
      <w:tcPr>
        <w:shd w:val="clear" w:color="f2f2f2" w:themeColor="text1" w:themeTint="00" w:fill="f2f2f2" w:themeFill="text1" w:themeFillTint="00"/>
      </w:tcPr>
    </w:tblStylePr>
    <w:tblStylePr w:type="band1Vert">
      <w:rPr>
        <w:rFonts w:ascii="Arial" w:hAnsi="Arial"/>
        <w:color w:val="404040"/>
        <w:sz w:val="22"/>
      </w:rPr>
      <w:tcPr>
        <w:shd w:val="clear" w:color="f2f2f2" w:themeColor="text1" w:themeTint="00" w:fill="f2f2f2" w:themeFill="text1" w:themeFillTint="00"/>
      </w:tcPr>
    </w:tblStylePr>
    <w:tblStylePr w:type="firstCol">
      <w:rPr>
        <w:i/>
        <w:color w:val="404040"/>
      </w:rPr>
      <w:pPr>
        <w:jc w:val="right"/>
      </w:pPr>
      <w:tcPr>
        <w:shd w:val="clear" w:color="ffffff" w:fill="auto"/>
        <w:tcBorders>
          <w:right w:val="single" w:color="404040" w:sz="4" w:space="0"/>
        </w:tcBorders>
      </w:tcPr>
    </w:tblStylePr>
    <w:tblStylePr w:type="firstRow">
      <w:rPr>
        <w:i/>
        <w:color w:val="404040"/>
      </w:rPr>
      <w:tcPr>
        <w:shd w:val="clear" w:color="ffffff" w:fill="auto"/>
        <w:tcBorders>
          <w:left w:val="none" w:color="000000" w:sz="4" w:space="0"/>
          <w:bottom w:val="single" w:color="404040" w:sz="4" w:space="0"/>
          <w:right w:val="none" w:color="000000" w:sz="4" w:space="0"/>
        </w:tcBorders>
      </w:tcPr>
    </w:tblStylePr>
    <w:tblStylePr w:type="lastCol">
      <w:rPr>
        <w:i/>
        <w:color w:val="404040"/>
      </w:rPr>
      <w:tcPr>
        <w:shd w:val="clear" w:color="ffffff" w:fill="auto"/>
        <w:tcBorders>
          <w:left w:val="single" w:color="404040" w:sz="4" w:space="0"/>
        </w:tcBorders>
      </w:tcPr>
    </w:tblStylePr>
    <w:tblStylePr w:type="lastRow">
      <w:rPr>
        <w:i/>
        <w:color w:val="404040"/>
      </w:rPr>
      <w:tcPr>
        <w:shd w:val="clear" w:color="ffffff" w:fill="auto"/>
        <w:tcBorders>
          <w:top w:val="single" w:color="404040" w:sz="4" w:space="0"/>
          <w:left w:val="none" w:color="000000" w:sz="4" w:space="0"/>
          <w:right w:val="none" w:color="000000" w:sz="4" w:space="0"/>
        </w:tcBorders>
      </w:tcPr>
    </w:tblStylePr>
  </w:style>
  <w:style w:type="table" w:styleId="779" w:customStyle="1">
    <w:name w:val="Grid Table 1 Light"/>
    <w:basedOn w:val="756"/>
    <w:uiPriority w:val="99"/>
    <w:pPr>
      <w:spacing w:after="0" w:line="240" w:lineRule="auto"/>
    </w:pPr>
    <w:tblPr>
      <w:tblStyleRowBandSize w:val="1"/>
      <w:tblStyleColBandSize w:val="1"/>
      <w:tblInd w:w="0" w:type="dxa"/>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CellMar>
        <w:left w:w="108" w:type="dxa"/>
        <w:top w:w="0" w:type="dxa"/>
        <w:right w:w="108" w:type="dxa"/>
        <w:bottom w:w="0" w:type="dxa"/>
      </w:tblCellMar>
    </w:tbl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firstCol">
      <w:rPr>
        <w:b/>
        <w:color w:val="404040"/>
      </w:rPr>
    </w:tblStylePr>
    <w:tblStylePr w:type="firstRow">
      <w:rPr>
        <w:b/>
        <w:color w:val="404040"/>
      </w:rPr>
      <w:tcPr>
        <w:tcBorders>
          <w:bottom w:val="single" w:color="6A6A6A" w:themeColor="text1" w:themeTint="95" w:sz="12" w:space="0"/>
        </w:tcBorders>
      </w:tcPr>
    </w:tblStylePr>
    <w:tblStylePr w:type="lastCol">
      <w:rPr>
        <w:b/>
        <w:color w:val="404040"/>
      </w:rPr>
    </w:tblStylePr>
    <w:tblStylePr w:type="lastRow">
      <w:rPr>
        <w:b/>
        <w:color w:val="404040"/>
      </w:rPr>
    </w:tblStylePr>
  </w:style>
  <w:style w:type="table" w:styleId="780" w:customStyle="1">
    <w:name w:val="Grid Table 1 Light - Accent 1"/>
    <w:basedOn w:val="756"/>
    <w:uiPriority w:val="99"/>
    <w:pPr>
      <w:spacing w:after="0" w:line="240" w:lineRule="auto"/>
    </w:pPr>
    <w:tblPr>
      <w:tblStyleRowBandSize w:val="1"/>
      <w:tblStyleColBandSize w:val="1"/>
      <w:tblInd w:w="0" w:type="dxa"/>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CellMar>
        <w:left w:w="108" w:type="dxa"/>
        <w:top w:w="0" w:type="dxa"/>
        <w:right w:w="108" w:type="dxa"/>
        <w:bottom w:w="0" w:type="dxa"/>
      </w:tblCellMar>
    </w:tbl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firstCol">
      <w:rPr>
        <w:b/>
        <w:color w:val="404040"/>
      </w:rPr>
    </w:tblStylePr>
    <w:tblStylePr w:type="firstRow">
      <w:rPr>
        <w:b/>
        <w:color w:val="404040"/>
      </w:rPr>
      <w:tcPr>
        <w:tcBorders>
          <w:bottom w:val="single" w:color="9EC4E6" w:themeColor="accent1" w:themeTint="95" w:sz="12" w:space="0"/>
        </w:tcBorders>
      </w:tcPr>
    </w:tblStylePr>
    <w:tblStylePr w:type="lastCol">
      <w:rPr>
        <w:b/>
        <w:color w:val="404040"/>
      </w:rPr>
    </w:tblStylePr>
    <w:tblStylePr w:type="lastRow">
      <w:rPr>
        <w:b/>
        <w:color w:val="404040"/>
      </w:rPr>
    </w:tblStylePr>
  </w:style>
  <w:style w:type="table" w:styleId="781" w:customStyle="1">
    <w:name w:val="Grid Table 1 Light - Accent 2"/>
    <w:basedOn w:val="756"/>
    <w:uiPriority w:val="99"/>
    <w:pPr>
      <w:spacing w:after="0" w:line="240" w:lineRule="auto"/>
    </w:pPr>
    <w:tblPr>
      <w:tblStyleRowBandSize w:val="1"/>
      <w:tblStyleColBandSize w:val="1"/>
      <w:tblInd w:w="0" w:type="dxa"/>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CellMar>
        <w:left w:w="108" w:type="dxa"/>
        <w:top w:w="0" w:type="dxa"/>
        <w:right w:w="108" w:type="dxa"/>
        <w:bottom w:w="0" w:type="dxa"/>
      </w:tblCellMar>
    </w:tbl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firstCol">
      <w:rPr>
        <w:b/>
        <w:color w:val="404040"/>
      </w:rPr>
    </w:tblStylePr>
    <w:tblStylePr w:type="firstRow">
      <w:rPr>
        <w:b/>
        <w:color w:val="404040"/>
      </w:rPr>
      <w:tcPr>
        <w:tcBorders>
          <w:bottom w:val="single" w:color="F4B286" w:themeColor="accent2" w:themeTint="95" w:sz="12" w:space="0"/>
        </w:tcBorders>
      </w:tcPr>
    </w:tblStylePr>
    <w:tblStylePr w:type="lastCol">
      <w:rPr>
        <w:b/>
        <w:color w:val="404040"/>
      </w:rPr>
    </w:tblStylePr>
    <w:tblStylePr w:type="lastRow">
      <w:rPr>
        <w:b/>
        <w:color w:val="404040"/>
      </w:rPr>
    </w:tblStylePr>
  </w:style>
  <w:style w:type="table" w:styleId="782" w:customStyle="1">
    <w:name w:val="Grid Table 1 Light - Accent 3"/>
    <w:basedOn w:val="756"/>
    <w:uiPriority w:val="99"/>
    <w:pPr>
      <w:spacing w:after="0" w:line="240" w:lineRule="auto"/>
    </w:pPr>
    <w:tblPr>
      <w:tblStyleRowBandSize w:val="1"/>
      <w:tblStyleColBandSize w:val="1"/>
      <w:tblInd w:w="0" w:type="dxa"/>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CellMar>
        <w:left w:w="108" w:type="dxa"/>
        <w:top w:w="0" w:type="dxa"/>
        <w:right w:w="108" w:type="dxa"/>
        <w:bottom w:w="0" w:type="dxa"/>
      </w:tblCellMar>
    </w:tbl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firstCol">
      <w:rPr>
        <w:b/>
        <w:color w:val="404040"/>
      </w:rPr>
    </w:tblStylePr>
    <w:tblStylePr w:type="firstRow">
      <w:rPr>
        <w:b/>
        <w:color w:val="404040"/>
      </w:rPr>
      <w:tcPr>
        <w:tcBorders>
          <w:bottom w:val="single" w:color="CACACA" w:themeColor="accent3" w:themeTint="95" w:sz="12" w:space="0"/>
        </w:tcBorders>
      </w:tcPr>
    </w:tblStylePr>
    <w:tblStylePr w:type="lastCol">
      <w:rPr>
        <w:b/>
        <w:color w:val="404040"/>
      </w:rPr>
    </w:tblStylePr>
    <w:tblStylePr w:type="lastRow">
      <w:rPr>
        <w:b/>
        <w:color w:val="404040"/>
      </w:rPr>
    </w:tblStylePr>
  </w:style>
  <w:style w:type="table" w:styleId="783" w:customStyle="1">
    <w:name w:val="Grid Table 1 Light - Accent 4"/>
    <w:basedOn w:val="756"/>
    <w:uiPriority w:val="99"/>
    <w:pPr>
      <w:spacing w:after="0" w:line="240" w:lineRule="auto"/>
    </w:pPr>
    <w:tblPr>
      <w:tblStyleRowBandSize w:val="1"/>
      <w:tblStyleColBandSize w:val="1"/>
      <w:tblInd w:w="0" w:type="dxa"/>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CellMar>
        <w:left w:w="108" w:type="dxa"/>
        <w:top w:w="0" w:type="dxa"/>
        <w:right w:w="108" w:type="dxa"/>
        <w:bottom w:w="0" w:type="dxa"/>
      </w:tblCellMar>
    </w:tbl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firstCol">
      <w:rPr>
        <w:b/>
        <w:color w:val="404040"/>
      </w:rPr>
    </w:tblStylePr>
    <w:tblStylePr w:type="firstRow">
      <w:rPr>
        <w:b/>
        <w:color w:val="404040"/>
      </w:rPr>
      <w:tcPr>
        <w:tcBorders>
          <w:bottom w:val="single" w:color="FFDA6A" w:themeColor="accent4" w:themeTint="95" w:sz="12" w:space="0"/>
        </w:tcBorders>
      </w:tcPr>
    </w:tblStylePr>
    <w:tblStylePr w:type="lastCol">
      <w:rPr>
        <w:b/>
        <w:color w:val="404040"/>
      </w:rPr>
    </w:tblStylePr>
    <w:tblStylePr w:type="lastRow">
      <w:rPr>
        <w:b/>
        <w:color w:val="404040"/>
      </w:rPr>
    </w:tblStylePr>
  </w:style>
  <w:style w:type="table" w:styleId="784" w:customStyle="1">
    <w:name w:val="Grid Table 1 Light - Accent 5"/>
    <w:basedOn w:val="756"/>
    <w:uiPriority w:val="99"/>
    <w:pPr>
      <w:spacing w:after="0" w:line="240" w:lineRule="auto"/>
    </w:pPr>
    <w:tblPr>
      <w:tblStyleRowBandSize w:val="1"/>
      <w:tblStyleColBandSize w:val="1"/>
      <w:tblInd w:w="0" w:type="dxa"/>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CellMar>
        <w:left w:w="108" w:type="dxa"/>
        <w:top w:w="0" w:type="dxa"/>
        <w:right w:w="108" w:type="dxa"/>
        <w:bottom w:w="0" w:type="dxa"/>
      </w:tblCellMar>
    </w:tblPr>
    <w:tblStylePr w:type="band1Horz">
      <w:rPr>
        <w:rFonts w:ascii="Arial" w:hAnsi="Arial"/>
        <w:color w:val="404040"/>
        <w:sz w:val="22"/>
      </w:r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tblStylePr w:type="firstCol">
      <w:rPr>
        <w:b/>
        <w:color w:val="404040"/>
      </w:rPr>
    </w:tblStylePr>
    <w:tblStylePr w:type="firstRow">
      <w:rPr>
        <w:b/>
        <w:color w:val="404040"/>
      </w:rPr>
      <w:tcPr>
        <w:tcBorders>
          <w:bottom w:val="single" w:color="91ACDC" w:themeColor="accent5" w:themeTint="95" w:sz="12" w:space="0"/>
        </w:tcBorders>
      </w:tcPr>
    </w:tblStylePr>
    <w:tblStylePr w:type="lastCol">
      <w:rPr>
        <w:b/>
        <w:color w:val="404040"/>
      </w:rPr>
    </w:tblStylePr>
    <w:tblStylePr w:type="lastRow">
      <w:rPr>
        <w:b/>
        <w:color w:val="404040"/>
      </w:rPr>
    </w:tblStylePr>
  </w:style>
  <w:style w:type="table" w:styleId="785" w:customStyle="1">
    <w:name w:val="Grid Table 1 Light - Accent 6"/>
    <w:basedOn w:val="756"/>
    <w:uiPriority w:val="99"/>
    <w:pPr>
      <w:spacing w:after="0" w:line="240" w:lineRule="auto"/>
    </w:pPr>
    <w:tblPr>
      <w:tblStyleRowBandSize w:val="1"/>
      <w:tblStyleColBandSize w:val="1"/>
      <w:tblInd w:w="0" w:type="dxa"/>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CellMar>
        <w:left w:w="108" w:type="dxa"/>
        <w:top w:w="0" w:type="dxa"/>
        <w:right w:w="108" w:type="dxa"/>
        <w:bottom w:w="0" w:type="dxa"/>
      </w:tblCellMar>
    </w:tbl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firstCol">
      <w:rPr>
        <w:b/>
        <w:color w:val="404040"/>
      </w:rPr>
    </w:tblStylePr>
    <w:tblStylePr w:type="firstRow">
      <w:rPr>
        <w:b/>
        <w:color w:val="404040"/>
      </w:rPr>
      <w:tcPr>
        <w:tcBorders>
          <w:bottom w:val="single" w:color="AAD190" w:themeColor="accent6" w:themeTint="95" w:sz="12" w:space="0"/>
        </w:tcBorders>
      </w:tcPr>
    </w:tblStylePr>
    <w:tblStylePr w:type="lastCol">
      <w:rPr>
        <w:b/>
        <w:color w:val="404040"/>
      </w:rPr>
    </w:tblStylePr>
    <w:tblStylePr w:type="lastRow">
      <w:rPr>
        <w:b/>
        <w:color w:val="404040"/>
      </w:rPr>
    </w:tblStylePr>
  </w:style>
  <w:style w:type="table" w:styleId="786" w:customStyle="1">
    <w:name w:val="Grid Table 2"/>
    <w:basedOn w:val="756"/>
    <w:uiPriority w:val="99"/>
    <w:pPr>
      <w:spacing w:after="0" w:line="240" w:lineRule="auto"/>
    </w:pPr>
    <w:tblPr>
      <w:tblStyleRowBandSize w:val="1"/>
      <w:tblStyleColBandSize w:val="1"/>
      <w:tblInd w:w="0" w:type="dxa"/>
      <w:tblBorders>
        <w:bottom w:val="single" w:color="6A6A6A" w:themeColor="text1" w:themeTint="95" w:sz="4" w:space="0"/>
        <w:insideH w:val="single" w:color="6A6A6A" w:themeColor="text1" w:themeTint="95" w:sz="4" w:space="0"/>
        <w:insideV w:val="single" w:color="6A6A6A" w:themeColor="text1" w:themeTint="95" w:sz="4" w:space="0"/>
      </w:tblBorders>
      <w:tblCellMar>
        <w:left w:w="108" w:type="dxa"/>
        <w:top w:w="0" w:type="dxa"/>
        <w:right w:w="108" w:type="dxa"/>
        <w:bottom w:w="0" w:type="dxa"/>
      </w:tblCellMar>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style>
  <w:style w:type="table" w:styleId="787" w:customStyle="1">
    <w:name w:val="Grid Table 2 - Accent 1"/>
    <w:basedOn w:val="756"/>
    <w:uiPriority w:val="99"/>
    <w:pPr>
      <w:spacing w:after="0" w:line="240" w:lineRule="auto"/>
    </w:pPr>
    <w:tblPr>
      <w:tblStyleRowBandSize w:val="1"/>
      <w:tblStyleColBandSize w:val="1"/>
      <w:tblInd w:w="0" w:type="dxa"/>
      <w:tblBorders>
        <w:bottom w:val="single" w:color="68A2D8" w:themeColor="accent1" w:themeTint="EA" w:sz="4" w:space="0"/>
        <w:insideH w:val="single" w:color="68A2D8" w:themeColor="accent1" w:themeTint="EA" w:sz="4" w:space="0"/>
        <w:insideV w:val="single" w:color="68A2D8" w:themeColor="accent1" w:themeTint="EA" w:sz="4" w:space="0"/>
      </w:tblBorders>
      <w:tblCellMar>
        <w:left w:w="108" w:type="dxa"/>
        <w:top w:w="0" w:type="dxa"/>
        <w:right w:w="108" w:type="dxa"/>
        <w:bottom w:w="0" w:type="dxa"/>
      </w:tblCellMar>
    </w:tblPr>
    <w:tblStylePr w:type="band1Horz">
      <w:rPr>
        <w:rFonts w:ascii="Arial" w:hAnsi="Arial"/>
        <w:color w:val="404040"/>
        <w:sz w:val="22"/>
      </w:rPr>
      <w:tcPr>
        <w:shd w:val="clear" w:color="ddeaf6" w:themeColor="accent1" w:themeTint="34" w:fill="ddeaf6" w:themeFill="accent1" w:themeFillTint="34"/>
      </w:tcPr>
    </w:tblStylePr>
    <w:tblStylePr w:type="band1Vert">
      <w:rPr>
        <w:rFonts w:ascii="Arial" w:hAnsi="Arial"/>
        <w:color w:val="404040"/>
        <w:sz w:val="22"/>
      </w:rPr>
      <w:tcPr>
        <w:shd w:val="clear" w:color="ddeaf6" w:themeColor="accent1" w:themeTint="34" w:fill="ddeaf6" w:themeFill="accen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8A2D8" w:themeColor="accent1" w:themeTint="E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8A2D8" w:themeColor="accent1" w:themeTint="EA" w:sz="4" w:space="0"/>
          <w:left w:val="none" w:color="000000" w:sz="4" w:space="0"/>
          <w:bottom w:val="none" w:color="000000" w:sz="4" w:space="0"/>
          <w:right w:val="none" w:color="000000" w:sz="4" w:space="0"/>
        </w:tcBorders>
      </w:tcPr>
    </w:tblStylePr>
  </w:style>
  <w:style w:type="table" w:styleId="788" w:customStyle="1">
    <w:name w:val="Grid Table 2 - Accent 2"/>
    <w:basedOn w:val="756"/>
    <w:uiPriority w:val="99"/>
    <w:pPr>
      <w:spacing w:after="0" w:line="240" w:lineRule="auto"/>
    </w:pPr>
    <w:tblPr>
      <w:tblStyleRowBandSize w:val="1"/>
      <w:tblStyleColBandSize w:val="1"/>
      <w:tblInd w:w="0" w:type="dxa"/>
      <w:tblBorders>
        <w:bottom w:val="single" w:color="F4B184" w:themeColor="accent2" w:themeTint="97" w:sz="4" w:space="0"/>
        <w:insideH w:val="single" w:color="F4B184" w:themeColor="accent2" w:themeTint="97" w:sz="4" w:space="0"/>
        <w:insideV w:val="single" w:color="F4B184" w:themeColor="accent2" w:themeTint="97" w:sz="4" w:space="0"/>
      </w:tblBorders>
      <w:tblCellMar>
        <w:left w:w="108" w:type="dxa"/>
        <w:top w:w="0" w:type="dxa"/>
        <w:right w:w="108" w:type="dxa"/>
        <w:bottom w:w="0" w:type="dxa"/>
      </w:tblCellMar>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4B184" w:themeColor="accent2" w:themeTint="97"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4B184" w:themeColor="accent2" w:themeTint="97" w:sz="4" w:space="0"/>
          <w:left w:val="none" w:color="000000" w:sz="4" w:space="0"/>
          <w:bottom w:val="none" w:color="000000" w:sz="4" w:space="0"/>
          <w:right w:val="none" w:color="000000" w:sz="4" w:space="0"/>
        </w:tcBorders>
      </w:tcPr>
    </w:tblStylePr>
  </w:style>
  <w:style w:type="table" w:styleId="789" w:customStyle="1">
    <w:name w:val="Grid Table 2 - Accent 3"/>
    <w:basedOn w:val="756"/>
    <w:uiPriority w:val="99"/>
    <w:pPr>
      <w:spacing w:after="0" w:line="240" w:lineRule="auto"/>
    </w:pPr>
    <w:tblPr>
      <w:tblStyleRowBandSize w:val="1"/>
      <w:tblStyleColBandSize w:val="1"/>
      <w:tblInd w:w="0" w:type="dxa"/>
      <w:tblBorders>
        <w:bottom w:val="single" w:color="A5A5A5" w:themeColor="accent3" w:themeTint="FE" w:sz="4" w:space="0"/>
        <w:insideH w:val="single" w:color="A5A5A5" w:themeColor="accent3" w:themeTint="FE" w:sz="4" w:space="0"/>
        <w:insideV w:val="single" w:color="A5A5A5" w:themeColor="accent3" w:themeTint="FE" w:sz="4" w:space="0"/>
      </w:tblBorders>
      <w:tblCellMar>
        <w:left w:w="108" w:type="dxa"/>
        <w:top w:w="0" w:type="dxa"/>
        <w:right w:w="108" w:type="dxa"/>
        <w:bottom w:w="0" w:type="dxa"/>
      </w:tblCellMar>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A5A5A5" w:themeColor="accent3" w:themeTint="FE"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A5A5A5" w:themeColor="accent3" w:themeTint="FE" w:sz="4" w:space="0"/>
          <w:left w:val="none" w:color="000000" w:sz="4" w:space="0"/>
          <w:bottom w:val="none" w:color="000000" w:sz="4" w:space="0"/>
          <w:right w:val="none" w:color="000000" w:sz="4" w:space="0"/>
        </w:tcBorders>
      </w:tcPr>
    </w:tblStylePr>
  </w:style>
  <w:style w:type="table" w:styleId="790" w:customStyle="1">
    <w:name w:val="Grid Table 2 - Accent 4"/>
    <w:basedOn w:val="756"/>
    <w:uiPriority w:val="99"/>
    <w:pPr>
      <w:spacing w:after="0" w:line="240" w:lineRule="auto"/>
    </w:pPr>
    <w:tblPr>
      <w:tblStyleRowBandSize w:val="1"/>
      <w:tblStyleColBandSize w:val="1"/>
      <w:tblInd w:w="0" w:type="dxa"/>
      <w:tblBorders>
        <w:bottom w:val="single" w:color="FFD865" w:themeColor="accent4" w:themeTint="9A" w:sz="4" w:space="0"/>
        <w:insideH w:val="single" w:color="FFD865" w:themeColor="accent4" w:themeTint="9A" w:sz="4" w:space="0"/>
        <w:insideV w:val="single" w:color="FFD865" w:themeColor="accent4" w:themeTint="9A" w:sz="4" w:space="0"/>
      </w:tblBorders>
      <w:tblCellMar>
        <w:left w:w="108" w:type="dxa"/>
        <w:top w:w="0" w:type="dxa"/>
        <w:right w:w="108" w:type="dxa"/>
        <w:bottom w:w="0" w:type="dxa"/>
      </w:tblCellMar>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FD865" w:themeColor="accent4" w:themeTint="9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FD865" w:themeColor="accent4" w:themeTint="9A" w:sz="4" w:space="0"/>
          <w:left w:val="none" w:color="000000" w:sz="4" w:space="0"/>
          <w:bottom w:val="none" w:color="000000" w:sz="4" w:space="0"/>
          <w:right w:val="none" w:color="000000" w:sz="4" w:space="0"/>
        </w:tcBorders>
      </w:tcPr>
    </w:tblStylePr>
  </w:style>
  <w:style w:type="table" w:styleId="791" w:customStyle="1">
    <w:name w:val="Grid Table 2 - Accent 5"/>
    <w:basedOn w:val="756"/>
    <w:uiPriority w:val="99"/>
    <w:pPr>
      <w:spacing w:after="0" w:line="240" w:lineRule="auto"/>
    </w:pPr>
    <w:tblPr>
      <w:tblStyleRowBandSize w:val="1"/>
      <w:tblStyleColBandSize w:val="1"/>
      <w:tblInd w:w="0" w:type="dxa"/>
      <w:tblBorders>
        <w:bottom w:val="single" w:color="4472C4" w:themeColor="accent5" w:sz="4" w:space="0"/>
        <w:insideH w:val="single" w:color="4472C4" w:themeColor="accent5" w:sz="4" w:space="0"/>
        <w:insideV w:val="single" w:color="4472C4" w:themeColor="accent5" w:sz="4" w:space="0"/>
      </w:tblBorders>
      <w:tblCellMar>
        <w:left w:w="108" w:type="dxa"/>
        <w:top w:w="0" w:type="dxa"/>
        <w:right w:w="108" w:type="dxa"/>
        <w:bottom w:w="0" w:type="dxa"/>
      </w:tblCellMar>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4472C4" w:themeColor="accent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4472C4" w:themeColor="accent5" w:sz="4" w:space="0"/>
          <w:left w:val="none" w:color="000000" w:sz="4" w:space="0"/>
          <w:bottom w:val="none" w:color="000000" w:sz="4" w:space="0"/>
          <w:right w:val="none" w:color="000000" w:sz="4" w:space="0"/>
        </w:tcBorders>
      </w:tcPr>
    </w:tblStylePr>
  </w:style>
  <w:style w:type="table" w:styleId="792" w:customStyle="1">
    <w:name w:val="Grid Table 2 - Accent 6"/>
    <w:basedOn w:val="756"/>
    <w:uiPriority w:val="99"/>
    <w:pPr>
      <w:spacing w:after="0" w:line="240" w:lineRule="auto"/>
    </w:pPr>
    <w:tblPr>
      <w:tblStyleRowBandSize w:val="1"/>
      <w:tblStyleColBandSize w:val="1"/>
      <w:tblInd w:w="0" w:type="dxa"/>
      <w:tblBorders>
        <w:bottom w:val="single" w:color="70AD47" w:themeColor="accent6" w:sz="4" w:space="0"/>
        <w:insideH w:val="single" w:color="70AD47" w:themeColor="accent6" w:sz="4" w:space="0"/>
        <w:insideV w:val="single" w:color="70AD47" w:themeColor="accent6" w:sz="4" w:space="0"/>
      </w:tblBorders>
      <w:tblCellMar>
        <w:left w:w="108" w:type="dxa"/>
        <w:top w:w="0" w:type="dxa"/>
        <w:right w:w="108" w:type="dxa"/>
        <w:bottom w:w="0" w:type="dxa"/>
      </w:tblCellMar>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70AD47" w:themeColor="accent6"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70AD47" w:themeColor="accent6" w:sz="4" w:space="0"/>
          <w:left w:val="none" w:color="000000" w:sz="4" w:space="0"/>
          <w:bottom w:val="none" w:color="000000" w:sz="4" w:space="0"/>
          <w:right w:val="none" w:color="000000" w:sz="4" w:space="0"/>
        </w:tcBorders>
      </w:tcPr>
    </w:tblStylePr>
  </w:style>
  <w:style w:type="table" w:styleId="793" w:customStyle="1">
    <w:name w:val="Grid Table 3"/>
    <w:basedOn w:val="756"/>
    <w:uiPriority w:val="99"/>
    <w:pPr>
      <w:spacing w:after="0" w:line="240" w:lineRule="auto"/>
    </w:pPr>
    <w:tblPr>
      <w:tblStyleRowBandSize w:val="1"/>
      <w:tblStyleColBandSize w:val="1"/>
      <w:tblInd w:w="0" w:type="dxa"/>
      <w:tblBorders>
        <w:bottom w:val="single" w:color="6A6A6A" w:themeColor="text1" w:themeTint="95" w:sz="4" w:space="0"/>
        <w:insideH w:val="single" w:color="6A6A6A" w:themeColor="text1" w:themeTint="95" w:sz="4" w:space="0"/>
        <w:insideV w:val="single" w:color="6A6A6A" w:themeColor="text1" w:themeTint="95" w:sz="4" w:space="0"/>
      </w:tblBorders>
      <w:tblCellMar>
        <w:left w:w="108" w:type="dxa"/>
        <w:top w:w="0" w:type="dxa"/>
        <w:right w:w="108" w:type="dxa"/>
        <w:bottom w:w="0" w:type="dxa"/>
      </w:tblCellMar>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94" w:customStyle="1">
    <w:name w:val="Grid Table 3 - Accent 1"/>
    <w:basedOn w:val="756"/>
    <w:uiPriority w:val="99"/>
    <w:pPr>
      <w:spacing w:after="0" w:line="240" w:lineRule="auto"/>
    </w:pPr>
    <w:tblPr>
      <w:tblStyleRowBandSize w:val="1"/>
      <w:tblStyleColBandSize w:val="1"/>
      <w:tblInd w:w="0" w:type="dxa"/>
      <w:tblBorders>
        <w:bottom w:val="single" w:color="68A2D8" w:themeColor="accent1" w:themeTint="EA" w:sz="4" w:space="0"/>
        <w:insideH w:val="single" w:color="68A2D8" w:themeColor="accent1" w:themeTint="EA" w:sz="4" w:space="0"/>
        <w:insideV w:val="single" w:color="68A2D8" w:themeColor="accent1" w:themeTint="EA" w:sz="4" w:space="0"/>
      </w:tblBorders>
      <w:tblCellMar>
        <w:left w:w="108" w:type="dxa"/>
        <w:top w:w="0" w:type="dxa"/>
        <w:right w:w="108" w:type="dxa"/>
        <w:bottom w:w="0" w:type="dxa"/>
      </w:tblCellMar>
    </w:tblPr>
    <w:tblStylePr w:type="band1Horz">
      <w:rPr>
        <w:rFonts w:ascii="Arial" w:hAnsi="Arial"/>
        <w:color w:val="404040"/>
        <w:sz w:val="22"/>
      </w:rPr>
      <w:tcPr>
        <w:shd w:val="clear" w:color="ddeaf6" w:themeColor="accent1" w:themeTint="34" w:fill="ddeaf6" w:themeFill="accent1" w:themeFillTint="34"/>
      </w:tcPr>
    </w:tblStylePr>
    <w:tblStylePr w:type="band1Vert">
      <w:rPr>
        <w:rFonts w:ascii="Arial" w:hAnsi="Arial"/>
        <w:color w:val="404040"/>
        <w:sz w:val="22"/>
      </w:rPr>
      <w:tcPr>
        <w:shd w:val="clear" w:color="ddeaf6" w:themeColor="accent1" w:themeTint="34" w:fill="ddeaf6" w:themeFill="accen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95" w:customStyle="1">
    <w:name w:val="Grid Table 3 - Accent 2"/>
    <w:basedOn w:val="756"/>
    <w:uiPriority w:val="99"/>
    <w:pPr>
      <w:spacing w:after="0" w:line="240" w:lineRule="auto"/>
    </w:pPr>
    <w:tblPr>
      <w:tblStyleRowBandSize w:val="1"/>
      <w:tblStyleColBandSize w:val="1"/>
      <w:tblInd w:w="0" w:type="dxa"/>
      <w:tblBorders>
        <w:bottom w:val="single" w:color="F4B184" w:themeColor="accent2" w:themeTint="97" w:sz="4" w:space="0"/>
        <w:insideH w:val="single" w:color="F4B184" w:themeColor="accent2" w:themeTint="97" w:sz="4" w:space="0"/>
        <w:insideV w:val="single" w:color="F4B184" w:themeColor="accent2" w:themeTint="97" w:sz="4" w:space="0"/>
      </w:tblBorders>
      <w:tblCellMar>
        <w:left w:w="108" w:type="dxa"/>
        <w:top w:w="0" w:type="dxa"/>
        <w:right w:w="108" w:type="dxa"/>
        <w:bottom w:w="0" w:type="dxa"/>
      </w:tblCellMar>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96" w:customStyle="1">
    <w:name w:val="Grid Table 3 - Accent 3"/>
    <w:basedOn w:val="756"/>
    <w:uiPriority w:val="99"/>
    <w:pPr>
      <w:spacing w:after="0" w:line="240" w:lineRule="auto"/>
    </w:pPr>
    <w:tblPr>
      <w:tblStyleRowBandSize w:val="1"/>
      <w:tblStyleColBandSize w:val="1"/>
      <w:tblInd w:w="0" w:type="dxa"/>
      <w:tblBorders>
        <w:bottom w:val="single" w:color="A5A5A5" w:themeColor="accent3" w:themeTint="FE" w:sz="4" w:space="0"/>
        <w:insideH w:val="single" w:color="A5A5A5" w:themeColor="accent3" w:themeTint="FE" w:sz="4" w:space="0"/>
        <w:insideV w:val="single" w:color="A5A5A5" w:themeColor="accent3" w:themeTint="FE" w:sz="4" w:space="0"/>
      </w:tblBorders>
      <w:tblCellMar>
        <w:left w:w="108" w:type="dxa"/>
        <w:top w:w="0" w:type="dxa"/>
        <w:right w:w="108" w:type="dxa"/>
        <w:bottom w:w="0" w:type="dxa"/>
      </w:tblCellMar>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97" w:customStyle="1">
    <w:name w:val="Grid Table 3 - Accent 4"/>
    <w:basedOn w:val="756"/>
    <w:uiPriority w:val="99"/>
    <w:pPr>
      <w:spacing w:after="0" w:line="240" w:lineRule="auto"/>
    </w:pPr>
    <w:tblPr>
      <w:tblStyleRowBandSize w:val="1"/>
      <w:tblStyleColBandSize w:val="1"/>
      <w:tblInd w:w="0" w:type="dxa"/>
      <w:tblBorders>
        <w:bottom w:val="single" w:color="FFD865" w:themeColor="accent4" w:themeTint="9A" w:sz="4" w:space="0"/>
        <w:insideH w:val="single" w:color="FFD865" w:themeColor="accent4" w:themeTint="9A" w:sz="4" w:space="0"/>
        <w:insideV w:val="single" w:color="FFD865" w:themeColor="accent4" w:themeTint="9A" w:sz="4" w:space="0"/>
      </w:tblBorders>
      <w:tblCellMar>
        <w:left w:w="108" w:type="dxa"/>
        <w:top w:w="0" w:type="dxa"/>
        <w:right w:w="108" w:type="dxa"/>
        <w:bottom w:w="0" w:type="dxa"/>
      </w:tblCellMar>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98" w:customStyle="1">
    <w:name w:val="Grid Table 3 - Accent 5"/>
    <w:basedOn w:val="756"/>
    <w:uiPriority w:val="99"/>
    <w:pPr>
      <w:spacing w:after="0" w:line="240" w:lineRule="auto"/>
    </w:pPr>
    <w:tblPr>
      <w:tblStyleRowBandSize w:val="1"/>
      <w:tblStyleColBandSize w:val="1"/>
      <w:tblInd w:w="0" w:type="dxa"/>
      <w:tblBorders>
        <w:bottom w:val="single" w:color="4472C4" w:themeColor="accent5" w:sz="4" w:space="0"/>
        <w:insideH w:val="single" w:color="4472C4" w:themeColor="accent5" w:sz="4" w:space="0"/>
        <w:insideV w:val="single" w:color="4472C4" w:themeColor="accent5" w:sz="4" w:space="0"/>
      </w:tblBorders>
      <w:tblCellMar>
        <w:left w:w="108" w:type="dxa"/>
        <w:top w:w="0" w:type="dxa"/>
        <w:right w:w="108" w:type="dxa"/>
        <w:bottom w:w="0" w:type="dxa"/>
      </w:tblCellMar>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99" w:customStyle="1">
    <w:name w:val="Grid Table 3 - Accent 6"/>
    <w:basedOn w:val="756"/>
    <w:uiPriority w:val="99"/>
    <w:pPr>
      <w:spacing w:after="0" w:line="240" w:lineRule="auto"/>
    </w:pPr>
    <w:tblPr>
      <w:tblStyleRowBandSize w:val="1"/>
      <w:tblStyleColBandSize w:val="1"/>
      <w:tblInd w:w="0" w:type="dxa"/>
      <w:tblBorders>
        <w:bottom w:val="single" w:color="70AD47" w:themeColor="accent6" w:sz="4" w:space="0"/>
        <w:insideH w:val="single" w:color="70AD47" w:themeColor="accent6" w:sz="4" w:space="0"/>
        <w:insideV w:val="single" w:color="70AD47" w:themeColor="accent6" w:sz="4" w:space="0"/>
      </w:tblBorders>
      <w:tblCellMar>
        <w:left w:w="108" w:type="dxa"/>
        <w:top w:w="0" w:type="dxa"/>
        <w:right w:w="108" w:type="dxa"/>
        <w:bottom w:w="0" w:type="dxa"/>
      </w:tblCellMar>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00" w:customStyle="1">
    <w:name w:val="Grid Table 4"/>
    <w:basedOn w:val="756"/>
    <w:uiPriority w:val="59"/>
    <w:pPr>
      <w:spacing w:after="0" w:line="240" w:lineRule="auto"/>
    </w:pPr>
    <w:tblPr>
      <w:tblStyleRowBandSize w:val="1"/>
      <w:tblStyleColBandSize w:val="1"/>
      <w:tblInd w:w="0" w:type="dxa"/>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CellMar>
        <w:left w:w="108" w:type="dxa"/>
        <w:top w:w="0" w:type="dxa"/>
        <w:right w:w="108" w:type="dxa"/>
        <w:bottom w:w="0" w:type="dxa"/>
      </w:tblCellMar>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01" w:customStyle="1">
    <w:name w:val="Grid Table 4 - Accent 1"/>
    <w:basedOn w:val="756"/>
    <w:uiPriority w:val="59"/>
    <w:pPr>
      <w:spacing w:after="0" w:line="240" w:lineRule="auto"/>
    </w:pPr>
    <w:tblPr>
      <w:tblStyleRowBandSize w:val="1"/>
      <w:tblStyleColBandSize w:val="1"/>
      <w:tblInd w:w="0" w:type="dxa"/>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CellMar>
        <w:left w:w="108" w:type="dxa"/>
        <w:top w:w="0" w:type="dxa"/>
        <w:right w:w="108" w:type="dxa"/>
        <w:bottom w:w="0" w:type="dxa"/>
      </w:tblCellMar>
    </w:tblPr>
    <w:tblStylePr w:type="band1Horz">
      <w:rPr>
        <w:rFonts w:ascii="Arial" w:hAnsi="Arial"/>
        <w:color w:val="404040"/>
        <w:sz w:val="22"/>
      </w:rPr>
      <w:tcPr>
        <w:shd w:val="clear" w:color="deebf6" w:themeColor="accent1" w:themeTint="32" w:fill="deebf6" w:themeFill="accent1" w:themeFillTint="32"/>
      </w:tcPr>
    </w:tblStylePr>
    <w:tblStylePr w:type="band1Vert">
      <w:rPr>
        <w:rFonts w:ascii="Arial" w:hAnsi="Arial"/>
        <w:color w:val="404040"/>
        <w:sz w:val="22"/>
      </w:rPr>
      <w:tcPr>
        <w:shd w:val="clear" w:color="deebf6" w:themeColor="accent1" w:themeTint="32" w:fill="deebf6" w:themeFill="accent1" w:themeFillTint="32"/>
      </w:tcPr>
    </w:tblStylePr>
    <w:tblStylePr w:type="firstCol">
      <w:rPr>
        <w:b/>
        <w:color w:val="404040"/>
      </w:rPr>
    </w:tblStylePr>
    <w:tblStylePr w:type="firstRow">
      <w:rPr>
        <w:rFonts w:ascii="Arial" w:hAnsi="Arial"/>
        <w:b/>
        <w:color w:val="ffffff"/>
        <w:sz w:val="22"/>
      </w:rPr>
      <w:tcPr>
        <w:shd w:val="clear" w:color="68a2d8" w:themeColor="accent1" w:themeTint="EA" w:fill="68a2d8" w:themeFill="accent1" w:themeFillTint="EA"/>
        <w:tcBorders>
          <w:top w:val="single" w:color="68A2D8" w:themeColor="accent1" w:themeTint="EA" w:sz="4" w:space="0"/>
          <w:left w:val="single" w:color="68A2D8" w:themeColor="accent1" w:themeTint="EA" w:sz="4" w:space="0"/>
          <w:bottom w:val="single" w:color="68A2D8" w:themeColor="accent1" w:themeTint="EA" w:sz="4" w:space="0"/>
          <w:right w:val="single" w:color="68A2D8" w:themeColor="accent1" w:themeTint="EA" w:sz="4" w:space="0"/>
        </w:tcBorders>
      </w:tcPr>
    </w:tblStylePr>
    <w:tblStylePr w:type="lastCol">
      <w:rPr>
        <w:b/>
        <w:color w:val="404040"/>
      </w:rPr>
    </w:tblStylePr>
    <w:tblStylePr w:type="lastRow">
      <w:rPr>
        <w:b/>
        <w:color w:val="404040"/>
      </w:rPr>
      <w:tcPr>
        <w:tcBorders>
          <w:top w:val="single" w:color="68A2D8" w:themeColor="accent1" w:themeTint="EA" w:sz="4" w:space="0"/>
        </w:tcBorders>
      </w:tcPr>
    </w:tblStylePr>
  </w:style>
  <w:style w:type="table" w:styleId="802" w:customStyle="1">
    <w:name w:val="Grid Table 4 - Accent 2"/>
    <w:basedOn w:val="756"/>
    <w:uiPriority w:val="59"/>
    <w:pPr>
      <w:spacing w:after="0" w:line="240" w:lineRule="auto"/>
    </w:pPr>
    <w:tblPr>
      <w:tblStyleRowBandSize w:val="1"/>
      <w:tblStyleColBandSize w:val="1"/>
      <w:tblInd w:w="0" w:type="dxa"/>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CellMar>
        <w:left w:w="108" w:type="dxa"/>
        <w:top w:w="0" w:type="dxa"/>
        <w:right w:w="108" w:type="dxa"/>
        <w:bottom w:w="0" w:type="dxa"/>
      </w:tblCellMar>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4b184" w:themeColor="accent2" w:themeTint="97" w:fill="f4b184" w:themeFill="accent2" w:themeFillTint="97"/>
        <w:tc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cBorders>
      </w:tcPr>
    </w:tblStylePr>
    <w:tblStylePr w:type="lastCol">
      <w:rPr>
        <w:b/>
        <w:color w:val="404040"/>
      </w:rPr>
    </w:tblStylePr>
    <w:tblStylePr w:type="lastRow">
      <w:rPr>
        <w:b/>
        <w:color w:val="404040"/>
      </w:rPr>
      <w:tcPr>
        <w:tcBorders>
          <w:top w:val="single" w:color="F4B184" w:themeColor="accent2" w:themeTint="97" w:sz="4" w:space="0"/>
        </w:tcBorders>
      </w:tcPr>
    </w:tblStylePr>
  </w:style>
  <w:style w:type="table" w:styleId="803" w:customStyle="1">
    <w:name w:val="Grid Table 4 - Accent 3"/>
    <w:basedOn w:val="756"/>
    <w:uiPriority w:val="59"/>
    <w:pPr>
      <w:spacing w:after="0" w:line="240" w:lineRule="auto"/>
    </w:pPr>
    <w:tblPr>
      <w:tblStyleRowBandSize w:val="1"/>
      <w:tblStyleColBandSize w:val="1"/>
      <w:tblInd w:w="0" w:type="dxa"/>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CellMar>
        <w:left w:w="108" w:type="dxa"/>
        <w:top w:w="0" w:type="dxa"/>
        <w:right w:w="108" w:type="dxa"/>
        <w:bottom w:w="0" w:type="dxa"/>
      </w:tblCellMar>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b/>
        <w:color w:val="404040"/>
      </w:rPr>
    </w:tblStylePr>
    <w:tblStylePr w:type="firstRow">
      <w:rPr>
        <w:rFonts w:ascii="Arial" w:hAnsi="Arial"/>
        <w:b/>
        <w:color w:val="ffffff"/>
        <w:sz w:val="22"/>
      </w:rPr>
      <w:tcPr>
        <w:shd w:val="clear" w:color="a5a5a5" w:themeColor="accent3" w:themeTint="FE" w:fill="a5a5a5" w:themeFill="accent3" w:themeFillTint="FE"/>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tcPr>
    </w:tblStylePr>
    <w:tblStylePr w:type="lastCol">
      <w:rPr>
        <w:b/>
        <w:color w:val="404040"/>
      </w:rPr>
    </w:tblStylePr>
    <w:tblStylePr w:type="lastRow">
      <w:rPr>
        <w:b/>
        <w:color w:val="404040"/>
      </w:rPr>
      <w:tcPr>
        <w:tcBorders>
          <w:top w:val="single" w:color="A5A5A5" w:themeColor="accent3" w:themeTint="FE" w:sz="4" w:space="0"/>
        </w:tcBorders>
      </w:tcPr>
    </w:tblStylePr>
  </w:style>
  <w:style w:type="table" w:styleId="804" w:customStyle="1">
    <w:name w:val="Grid Table 4 - Accent 4"/>
    <w:basedOn w:val="756"/>
    <w:uiPriority w:val="59"/>
    <w:pPr>
      <w:spacing w:after="0" w:line="240" w:lineRule="auto"/>
    </w:pPr>
    <w:tblPr>
      <w:tblStyleRowBandSize w:val="1"/>
      <w:tblStyleColBandSize w:val="1"/>
      <w:tblInd w:w="0" w:type="dxa"/>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CellMar>
        <w:left w:w="108" w:type="dxa"/>
        <w:top w:w="0" w:type="dxa"/>
        <w:right w:w="108" w:type="dxa"/>
        <w:bottom w:w="0" w:type="dxa"/>
      </w:tblCellMar>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b/>
        <w:color w:val="404040"/>
      </w:rPr>
    </w:tblStylePr>
    <w:tblStylePr w:type="firstRow">
      <w:rPr>
        <w:rFonts w:ascii="Arial" w:hAnsi="Arial"/>
        <w:b/>
        <w:color w:val="ffffff"/>
        <w:sz w:val="22"/>
      </w:rPr>
      <w:tcPr>
        <w:shd w:val="clear" w:color="ffd865" w:themeColor="accent4" w:themeTint="9A" w:fill="ffd865" w:themeFill="accent4" w:themeFillTint="9A"/>
        <w:tc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cBorders>
      </w:tcPr>
    </w:tblStylePr>
    <w:tblStylePr w:type="lastCol">
      <w:rPr>
        <w:b/>
        <w:color w:val="404040"/>
      </w:rPr>
    </w:tblStylePr>
    <w:tblStylePr w:type="lastRow">
      <w:rPr>
        <w:b/>
        <w:color w:val="404040"/>
      </w:rPr>
      <w:tcPr>
        <w:tcBorders>
          <w:top w:val="single" w:color="FFD865" w:themeColor="accent4" w:themeTint="9A" w:sz="4" w:space="0"/>
        </w:tcBorders>
      </w:tcPr>
    </w:tblStylePr>
  </w:style>
  <w:style w:type="table" w:styleId="805" w:customStyle="1">
    <w:name w:val="Grid Table 4 - Accent 5"/>
    <w:basedOn w:val="756"/>
    <w:uiPriority w:val="59"/>
    <w:pPr>
      <w:spacing w:after="0" w:line="240" w:lineRule="auto"/>
    </w:pPr>
    <w:tblPr>
      <w:tblStyleRowBandSize w:val="1"/>
      <w:tblStyleColBandSize w:val="1"/>
      <w:tblInd w:w="0" w:type="dxa"/>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CellMar>
        <w:left w:w="108" w:type="dxa"/>
        <w:top w:w="0" w:type="dxa"/>
        <w:right w:w="108" w:type="dxa"/>
        <w:bottom w:w="0" w:type="dxa"/>
      </w:tblCellMar>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b/>
        <w:color w:val="404040"/>
      </w:rPr>
    </w:tblStylePr>
    <w:tblStylePr w:type="firstRow">
      <w:rPr>
        <w:rFonts w:ascii="Arial" w:hAnsi="Arial"/>
        <w:b/>
        <w:color w:val="ffffff"/>
        <w:sz w:val="22"/>
      </w:rPr>
      <w:tcPr>
        <w:shd w:val="clear" w:color="4472c4" w:themeColor="accent5" w:fill="4472c4" w:themeFill="accent5"/>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lastCol">
      <w:rPr>
        <w:b/>
        <w:color w:val="404040"/>
      </w:rPr>
    </w:tblStylePr>
    <w:tblStylePr w:type="lastRow">
      <w:rPr>
        <w:b/>
        <w:color w:val="404040"/>
      </w:rPr>
      <w:tcPr>
        <w:tcBorders>
          <w:top w:val="single" w:color="4472C4" w:themeColor="accent5" w:sz="4" w:space="0"/>
        </w:tcBorders>
      </w:tcPr>
    </w:tblStylePr>
  </w:style>
  <w:style w:type="table" w:styleId="806" w:customStyle="1">
    <w:name w:val="Grid Table 4 - Accent 6"/>
    <w:basedOn w:val="756"/>
    <w:uiPriority w:val="59"/>
    <w:pPr>
      <w:spacing w:after="0" w:line="240" w:lineRule="auto"/>
    </w:pPr>
    <w:tblPr>
      <w:tblStyleRowBandSize w:val="1"/>
      <w:tblStyleColBandSize w:val="1"/>
      <w:tblInd w:w="0" w:type="dxa"/>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CellMar>
        <w:left w:w="108" w:type="dxa"/>
        <w:top w:w="0" w:type="dxa"/>
        <w:right w:w="108" w:type="dxa"/>
        <w:bottom w:w="0" w:type="dxa"/>
      </w:tblCellMar>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b/>
        <w:color w:val="404040"/>
      </w:rPr>
    </w:tblStylePr>
    <w:tblStylePr w:type="firstRow">
      <w:rPr>
        <w:rFonts w:ascii="Arial" w:hAnsi="Arial"/>
        <w:b/>
        <w:color w:val="ffffff"/>
        <w:sz w:val="22"/>
      </w:rPr>
      <w:tcPr>
        <w:shd w:val="clear" w:color="70ad47" w:themeColor="accent6" w:fill="70ad47" w:themeFill="accent6"/>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lastCol">
      <w:rPr>
        <w:b/>
        <w:color w:val="404040"/>
      </w:rPr>
    </w:tblStylePr>
    <w:tblStylePr w:type="lastRow">
      <w:rPr>
        <w:b/>
        <w:color w:val="404040"/>
      </w:rPr>
      <w:tcPr>
        <w:tcBorders>
          <w:top w:val="single" w:color="70AD47" w:themeColor="accent6" w:sz="4" w:space="0"/>
        </w:tcBorders>
      </w:tcPr>
    </w:tblStylePr>
  </w:style>
  <w:style w:type="table" w:styleId="807" w:customStyle="1">
    <w:name w:val="Grid Table 5 Dark"/>
    <w:basedOn w:val="756"/>
    <w:uiPriority w:val="99"/>
    <w:pPr>
      <w:spacing w:after="0" w:line="240" w:lineRule="auto"/>
    </w:pPr>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CellMar>
        <w:left w:w="108" w:type="dxa"/>
        <w:top w:w="0" w:type="dxa"/>
        <w:right w:w="108" w:type="dxa"/>
        <w:bottom w:w="0" w:type="dxa"/>
      </w:tblCellMar>
    </w:tblPr>
    <w:tblStylePr w:type="band1Horz">
      <w:tcPr>
        <w:shd w:val="clear" w:color="8a8a8a" w:themeColor="text1" w:themeTint="75" w:fill="8a8a8a" w:themeFill="text1" w:themeFillTint="75"/>
      </w:tcPr>
    </w:tblStylePr>
    <w:tblStylePr w:type="band1Vert">
      <w:tcPr>
        <w:shd w:val="clear" w:color="8a8a8a" w:themeColor="text1" w:themeTint="75" w:fill="8a8a8a" w:themeFill="text1" w:themeFillTint="75"/>
      </w:tcPr>
    </w:tblStylePr>
    <w:tblStylePr w:type="firstCol">
      <w:rPr>
        <w:rFonts w:ascii="Arial" w:hAnsi="Arial"/>
        <w:b/>
        <w:color w:val="ffffff"/>
        <w:sz w:val="22"/>
      </w:rPr>
      <w:tcPr>
        <w:shd w:val="clear" w:color="000000" w:themeColor="text1" w:fill="000000" w:themeFill="text1"/>
      </w:tcPr>
    </w:tblStylePr>
    <w:tblStylePr w:type="firstRow">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lastRow">
      <w:rPr>
        <w:rFonts w:ascii="Arial" w:hAnsi="Arial"/>
        <w:b/>
        <w:color w:val="ffffff"/>
        <w:sz w:val="22"/>
      </w:rPr>
      <w:tcPr>
        <w:shd w:val="clear" w:color="000000" w:themeColor="text1" w:fill="000000" w:themeFill="text1"/>
        <w:tcBorders>
          <w:top w:val="single" w:color="FFFFFF" w:themeColor="light1" w:sz="4" w:space="0"/>
        </w:tcBorders>
      </w:tcPr>
    </w:tblStylePr>
  </w:style>
  <w:style w:type="table" w:styleId="808" w:customStyle="1">
    <w:name w:val="Grid Table 5 Dark- Accent 1"/>
    <w:basedOn w:val="756"/>
    <w:uiPriority w:val="99"/>
    <w:pPr>
      <w:spacing w:after="0" w:line="240" w:lineRule="auto"/>
    </w:pPr>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deaf6" w:themeColor="accent1" w:themeTint="34" w:fill="ddeaf6" w:themeFill="accent1" w:themeFillTint="34"/>
      <w:tblCellMar>
        <w:left w:w="108" w:type="dxa"/>
        <w:top w:w="0" w:type="dxa"/>
        <w:right w:w="108" w:type="dxa"/>
        <w:bottom w:w="0" w:type="dxa"/>
      </w:tblCellMar>
    </w:tblPr>
    <w:tblStylePr w:type="band1Horz">
      <w:tcPr>
        <w:shd w:val="clear" w:color="b3d0eb" w:themeColor="accent1" w:themeTint="75" w:fill="b3d0eb" w:themeFill="accent1" w:themeFillTint="75"/>
      </w:tcPr>
    </w:tblStylePr>
    <w:tblStylePr w:type="band1Vert">
      <w:tcPr>
        <w:shd w:val="clear" w:color="b3d0eb" w:themeColor="accent1" w:themeTint="75" w:fill="b3d0eb" w:themeFill="accent1" w:themeFillTint="75"/>
      </w:tcPr>
    </w:tblStylePr>
    <w:tblStylePr w:type="firstCol">
      <w:rPr>
        <w:rFonts w:ascii="Arial" w:hAnsi="Arial"/>
        <w:b/>
        <w:color w:val="ffffff"/>
        <w:sz w:val="22"/>
      </w:rPr>
      <w:tcPr>
        <w:shd w:val="clear" w:color="5b9bd5" w:themeColor="accent1" w:fill="5b9bd5" w:themeFill="accent1"/>
      </w:tcPr>
    </w:tblStylePr>
    <w:tblStylePr w:type="firstRow">
      <w:rPr>
        <w:rFonts w:ascii="Arial" w:hAnsi="Arial"/>
        <w:b/>
        <w:color w:val="ffffff"/>
        <w:sz w:val="22"/>
      </w:rPr>
      <w:tcPr>
        <w:shd w:val="clear" w:color="5b9bd5" w:themeColor="accent1" w:fill="5b9bd5" w:themeFill="accent1"/>
      </w:tcPr>
    </w:tblStylePr>
    <w:tblStylePr w:type="lastCol">
      <w:rPr>
        <w:rFonts w:ascii="Arial" w:hAnsi="Arial"/>
        <w:b/>
        <w:color w:val="ffffff"/>
        <w:sz w:val="22"/>
      </w:rPr>
      <w:tcPr>
        <w:shd w:val="clear" w:color="5b9bd5" w:themeColor="accent1" w:fill="5b9bd5" w:themeFill="accent1"/>
      </w:tcPr>
    </w:tblStylePr>
    <w:tblStylePr w:type="lastRow">
      <w:rPr>
        <w:rFonts w:ascii="Arial" w:hAnsi="Arial"/>
        <w:b/>
        <w:color w:val="ffffff"/>
        <w:sz w:val="22"/>
      </w:rPr>
      <w:tcPr>
        <w:shd w:val="clear" w:color="5b9bd5" w:themeColor="accent1" w:fill="5b9bd5" w:themeFill="accent1"/>
        <w:tcBorders>
          <w:top w:val="single" w:color="FFFFFF" w:themeColor="light1" w:sz="4" w:space="0"/>
        </w:tcBorders>
      </w:tcPr>
    </w:tblStylePr>
  </w:style>
  <w:style w:type="table" w:styleId="809" w:customStyle="1">
    <w:name w:val="Grid Table 5 Dark - Accent 2"/>
    <w:basedOn w:val="756"/>
    <w:uiPriority w:val="99"/>
    <w:pPr>
      <w:spacing w:after="0" w:line="240" w:lineRule="auto"/>
    </w:pPr>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be5d6" w:themeColor="accent2" w:themeTint="32" w:fill="fbe5d6" w:themeFill="accent2" w:themeFillTint="32"/>
      <w:tblCellMar>
        <w:left w:w="108" w:type="dxa"/>
        <w:top w:w="0" w:type="dxa"/>
        <w:right w:w="108" w:type="dxa"/>
        <w:bottom w:w="0" w:type="dxa"/>
      </w:tblCellMar>
    </w:tblPr>
    <w:tblStylePr w:type="band1Horz">
      <w:tcPr>
        <w:shd w:val="clear" w:color="f6c3a0" w:themeColor="accent2" w:themeTint="75" w:fill="f6c3a0" w:themeFill="accent2" w:themeFillTint="75"/>
      </w:tcPr>
    </w:tblStylePr>
    <w:tblStylePr w:type="band1Vert">
      <w:tcPr>
        <w:shd w:val="clear" w:color="f6c3a0" w:themeColor="accent2" w:themeTint="75" w:fill="f6c3a0" w:themeFill="accent2" w:themeFillTint="75"/>
      </w:tcPr>
    </w:tblStylePr>
    <w:tblStylePr w:type="firstCol">
      <w:rPr>
        <w:rFonts w:ascii="Arial" w:hAnsi="Arial"/>
        <w:b/>
        <w:color w:val="ffffff"/>
        <w:sz w:val="22"/>
      </w:rPr>
      <w:tcPr>
        <w:shd w:val="clear" w:color="ed7d31" w:themeColor="accent2" w:fill="ed7d31" w:themeFill="accent2"/>
      </w:tcPr>
    </w:tblStylePr>
    <w:tblStylePr w:type="firstRow">
      <w:rPr>
        <w:rFonts w:ascii="Arial" w:hAnsi="Arial"/>
        <w:b/>
        <w:color w:val="ffffff"/>
        <w:sz w:val="22"/>
      </w:rPr>
      <w:tcPr>
        <w:shd w:val="clear" w:color="ed7d31" w:themeColor="accent2" w:fill="ed7d31" w:themeFill="accent2"/>
      </w:tcPr>
    </w:tblStylePr>
    <w:tblStylePr w:type="lastCol">
      <w:rPr>
        <w:rFonts w:ascii="Arial" w:hAnsi="Arial"/>
        <w:b/>
        <w:color w:val="ffffff"/>
        <w:sz w:val="22"/>
      </w:rPr>
      <w:tcPr>
        <w:shd w:val="clear" w:color="ed7d31" w:themeColor="accent2" w:fill="ed7d31" w:themeFill="accent2"/>
      </w:tcPr>
    </w:tblStylePr>
    <w:tblStylePr w:type="lastRow">
      <w:rPr>
        <w:rFonts w:ascii="Arial" w:hAnsi="Arial"/>
        <w:b/>
        <w:color w:val="ffffff"/>
        <w:sz w:val="22"/>
      </w:rPr>
      <w:tcPr>
        <w:shd w:val="clear" w:color="ed7d31" w:themeColor="accent2" w:fill="ed7d31" w:themeFill="accent2"/>
        <w:tcBorders>
          <w:top w:val="single" w:color="FFFFFF" w:themeColor="light1" w:sz="4" w:space="0"/>
        </w:tcBorders>
      </w:tcPr>
    </w:tblStylePr>
  </w:style>
  <w:style w:type="table" w:styleId="810" w:customStyle="1">
    <w:name w:val="Grid Table 5 Dark - Accent 3"/>
    <w:basedOn w:val="756"/>
    <w:uiPriority w:val="99"/>
    <w:pPr>
      <w:spacing w:after="0" w:line="240" w:lineRule="auto"/>
    </w:pPr>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cecec" w:themeColor="accent3" w:themeTint="34" w:fill="ececec" w:themeFill="accent3" w:themeFillTint="34"/>
      <w:tblCellMar>
        <w:left w:w="108" w:type="dxa"/>
        <w:top w:w="0" w:type="dxa"/>
        <w:right w:w="108" w:type="dxa"/>
        <w:bottom w:w="0" w:type="dxa"/>
      </w:tblCellMar>
    </w:tblPr>
    <w:tblStylePr w:type="band1Horz">
      <w:tcPr>
        <w:shd w:val="clear" w:color="d5d5d5" w:themeColor="accent3" w:themeTint="75" w:fill="d5d5d5" w:themeFill="accent3" w:themeFillTint="75"/>
      </w:tcPr>
    </w:tblStylePr>
    <w:tblStylePr w:type="band1Vert">
      <w:tcPr>
        <w:shd w:val="clear" w:color="d5d5d5" w:themeColor="accent3" w:themeTint="75" w:fill="d5d5d5" w:themeFill="accent3" w:themeFillTint="75"/>
      </w:tcPr>
    </w:tblStylePr>
    <w:tblStylePr w:type="firstCol">
      <w:rPr>
        <w:rFonts w:ascii="Arial" w:hAnsi="Arial"/>
        <w:b/>
        <w:color w:val="ffffff"/>
        <w:sz w:val="22"/>
      </w:rPr>
      <w:tcPr>
        <w:shd w:val="clear" w:color="a5a5a5" w:themeColor="accent3" w:fill="a5a5a5" w:themeFill="accent3"/>
      </w:tcPr>
    </w:tblStylePr>
    <w:tblStylePr w:type="firstRow">
      <w:rPr>
        <w:rFonts w:ascii="Arial" w:hAnsi="Arial"/>
        <w:b/>
        <w:color w:val="ffffff"/>
        <w:sz w:val="22"/>
      </w:rPr>
      <w:tcPr>
        <w:shd w:val="clear" w:color="a5a5a5" w:themeColor="accent3" w:fill="a5a5a5" w:themeFill="accent3"/>
      </w:tcPr>
    </w:tblStylePr>
    <w:tblStylePr w:type="lastCol">
      <w:rPr>
        <w:rFonts w:ascii="Arial" w:hAnsi="Arial"/>
        <w:b/>
        <w:color w:val="ffffff"/>
        <w:sz w:val="22"/>
      </w:rPr>
      <w:tcPr>
        <w:shd w:val="clear" w:color="a5a5a5" w:themeColor="accent3" w:fill="a5a5a5" w:themeFill="accent3"/>
      </w:tcPr>
    </w:tblStylePr>
    <w:tblStylePr w:type="lastRow">
      <w:rPr>
        <w:rFonts w:ascii="Arial" w:hAnsi="Arial"/>
        <w:b/>
        <w:color w:val="ffffff"/>
        <w:sz w:val="22"/>
      </w:rPr>
      <w:tcPr>
        <w:shd w:val="clear" w:color="a5a5a5" w:themeColor="accent3" w:fill="a5a5a5" w:themeFill="accent3"/>
        <w:tcBorders>
          <w:top w:val="single" w:color="FFFFFF" w:themeColor="light1" w:sz="4" w:space="0"/>
        </w:tcBorders>
      </w:tcPr>
    </w:tblStylePr>
  </w:style>
  <w:style w:type="table" w:styleId="811" w:customStyle="1">
    <w:name w:val="Grid Table 5 Dark- Accent 4"/>
    <w:basedOn w:val="756"/>
    <w:uiPriority w:val="99"/>
    <w:pPr>
      <w:spacing w:after="0" w:line="240" w:lineRule="auto"/>
    </w:pPr>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ff2cb" w:themeColor="accent4" w:themeTint="34" w:fill="fff2cb" w:themeFill="accent4" w:themeFillTint="34"/>
      <w:tblCellMar>
        <w:left w:w="108" w:type="dxa"/>
        <w:top w:w="0" w:type="dxa"/>
        <w:right w:w="108" w:type="dxa"/>
        <w:bottom w:w="0" w:type="dxa"/>
      </w:tblCellMar>
    </w:tblPr>
    <w:tblStylePr w:type="band1Horz">
      <w:tcPr>
        <w:shd w:val="clear" w:color="ffe28a" w:themeColor="accent4" w:themeTint="75" w:fill="ffe28a" w:themeFill="accent4" w:themeFillTint="75"/>
      </w:tcPr>
    </w:tblStylePr>
    <w:tblStylePr w:type="band1Vert">
      <w:tcPr>
        <w:shd w:val="clear" w:color="ffe28a" w:themeColor="accent4" w:themeTint="75" w:fill="ffe28a" w:themeFill="accent4" w:themeFillTint="75"/>
      </w:tcPr>
    </w:tblStylePr>
    <w:tblStylePr w:type="firstCol">
      <w:rPr>
        <w:rFonts w:ascii="Arial" w:hAnsi="Arial"/>
        <w:b/>
        <w:color w:val="ffffff"/>
        <w:sz w:val="22"/>
      </w:rPr>
      <w:tcPr>
        <w:shd w:val="clear" w:color="ffc000" w:themeColor="accent4" w:fill="ffc000" w:themeFill="accent4"/>
      </w:tcPr>
    </w:tblStylePr>
    <w:tblStylePr w:type="firstRow">
      <w:rPr>
        <w:rFonts w:ascii="Arial" w:hAnsi="Arial"/>
        <w:b/>
        <w:color w:val="ffffff"/>
        <w:sz w:val="22"/>
      </w:rPr>
      <w:tcPr>
        <w:shd w:val="clear" w:color="ffc000" w:themeColor="accent4" w:fill="ffc000" w:themeFill="accent4"/>
      </w:tcPr>
    </w:tblStylePr>
    <w:tblStylePr w:type="lastCol">
      <w:rPr>
        <w:rFonts w:ascii="Arial" w:hAnsi="Arial"/>
        <w:b/>
        <w:color w:val="ffffff"/>
        <w:sz w:val="22"/>
      </w:rPr>
      <w:tcPr>
        <w:shd w:val="clear" w:color="ffc000" w:themeColor="accent4" w:fill="ffc000" w:themeFill="accent4"/>
      </w:tcPr>
    </w:tblStylePr>
    <w:tblStylePr w:type="lastRow">
      <w:rPr>
        <w:rFonts w:ascii="Arial" w:hAnsi="Arial"/>
        <w:b/>
        <w:color w:val="ffffff"/>
        <w:sz w:val="22"/>
      </w:rPr>
      <w:tcPr>
        <w:shd w:val="clear" w:color="ffc000" w:themeColor="accent4" w:fill="ffc000" w:themeFill="accent4"/>
        <w:tcBorders>
          <w:top w:val="single" w:color="FFFFFF" w:themeColor="light1" w:sz="4" w:space="0"/>
        </w:tcBorders>
      </w:tcPr>
    </w:tblStylePr>
  </w:style>
  <w:style w:type="table" w:styleId="812" w:customStyle="1">
    <w:name w:val="Grid Table 5 Dark - Accent 5"/>
    <w:basedOn w:val="756"/>
    <w:uiPriority w:val="99"/>
    <w:pPr>
      <w:spacing w:after="0" w:line="240" w:lineRule="auto"/>
    </w:pPr>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8e2f3" w:themeColor="accent5" w:themeTint="34" w:fill="d8e2f3" w:themeFill="accent5" w:themeFillTint="34"/>
      <w:tblCellMar>
        <w:left w:w="108" w:type="dxa"/>
        <w:top w:w="0" w:type="dxa"/>
        <w:right w:w="108" w:type="dxa"/>
        <w:bottom w:w="0" w:type="dxa"/>
      </w:tblCellMar>
    </w:tblPr>
    <w:tblStylePr w:type="band1Horz">
      <w:tcPr>
        <w:shd w:val="clear" w:color="a9bee4" w:themeColor="accent5" w:themeTint="75" w:fill="a9bee4" w:themeFill="accent5" w:themeFillTint="75"/>
      </w:tcPr>
    </w:tblStylePr>
    <w:tblStylePr w:type="band1Vert">
      <w:tcPr>
        <w:shd w:val="clear" w:color="a9bee4" w:themeColor="accent5" w:themeTint="75" w:fill="a9bee4" w:themeFill="accent5" w:themeFillTint="75"/>
      </w:tcPr>
    </w:tblStylePr>
    <w:tblStylePr w:type="firstCol">
      <w:rPr>
        <w:rFonts w:ascii="Arial" w:hAnsi="Arial"/>
        <w:b/>
        <w:color w:val="ffffff"/>
        <w:sz w:val="22"/>
      </w:rPr>
      <w:tcPr>
        <w:shd w:val="clear" w:color="4472c4" w:themeColor="accent5" w:fill="4472c4" w:themeFill="accent5"/>
      </w:tcPr>
    </w:tblStylePr>
    <w:tblStylePr w:type="firstRow">
      <w:rPr>
        <w:rFonts w:ascii="Arial" w:hAnsi="Arial"/>
        <w:b/>
        <w:color w:val="ffffff"/>
        <w:sz w:val="22"/>
      </w:rPr>
      <w:tcPr>
        <w:shd w:val="clear" w:color="4472c4" w:themeColor="accent5" w:fill="4472c4" w:themeFill="accent5"/>
      </w:tcPr>
    </w:tblStylePr>
    <w:tblStylePr w:type="lastCol">
      <w:rPr>
        <w:rFonts w:ascii="Arial" w:hAnsi="Arial"/>
        <w:b/>
        <w:color w:val="ffffff"/>
        <w:sz w:val="22"/>
      </w:rPr>
      <w:tcPr>
        <w:shd w:val="clear" w:color="4472c4" w:themeColor="accent5" w:fill="4472c4" w:themeFill="accent5"/>
      </w:tcPr>
    </w:tblStylePr>
    <w:tblStylePr w:type="lastRow">
      <w:rPr>
        <w:rFonts w:ascii="Arial" w:hAnsi="Arial"/>
        <w:b/>
        <w:color w:val="ffffff"/>
        <w:sz w:val="22"/>
      </w:rPr>
      <w:tcPr>
        <w:shd w:val="clear" w:color="4472c4" w:themeColor="accent5" w:fill="4472c4" w:themeFill="accent5"/>
        <w:tcBorders>
          <w:top w:val="single" w:color="FFFFFF" w:themeColor="light1" w:sz="4" w:space="0"/>
        </w:tcBorders>
      </w:tcPr>
    </w:tblStylePr>
  </w:style>
  <w:style w:type="table" w:styleId="813" w:customStyle="1">
    <w:name w:val="Grid Table 5 Dark - Accent 6"/>
    <w:basedOn w:val="756"/>
    <w:uiPriority w:val="99"/>
    <w:pPr>
      <w:spacing w:after="0" w:line="240" w:lineRule="auto"/>
    </w:pPr>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1efd8" w:themeColor="accent6" w:themeTint="34" w:fill="e1efd8" w:themeFill="accent6" w:themeFillTint="34"/>
      <w:tblCellMar>
        <w:left w:w="108" w:type="dxa"/>
        <w:top w:w="0" w:type="dxa"/>
        <w:right w:w="108" w:type="dxa"/>
        <w:bottom w:w="0" w:type="dxa"/>
      </w:tblCellMar>
    </w:tblPr>
    <w:tblStylePr w:type="band1Horz">
      <w:tcPr>
        <w:shd w:val="clear" w:color="bcdba8" w:themeColor="accent6" w:themeTint="75" w:fill="bcdba8" w:themeFill="accent6" w:themeFillTint="75"/>
      </w:tcPr>
    </w:tblStylePr>
    <w:tblStylePr w:type="band1Vert">
      <w:tcPr>
        <w:shd w:val="clear" w:color="bcdba8" w:themeColor="accent6" w:themeTint="75" w:fill="bcdba8" w:themeFill="accent6" w:themeFillTint="75"/>
      </w:tcPr>
    </w:tblStylePr>
    <w:tblStylePr w:type="firstCol">
      <w:rPr>
        <w:rFonts w:ascii="Arial" w:hAnsi="Arial"/>
        <w:b/>
        <w:color w:val="ffffff"/>
        <w:sz w:val="22"/>
      </w:rPr>
      <w:tcPr>
        <w:shd w:val="clear" w:color="70ad47" w:themeColor="accent6" w:fill="70ad47" w:themeFill="accent6"/>
      </w:tcPr>
    </w:tblStylePr>
    <w:tblStylePr w:type="firstRow">
      <w:rPr>
        <w:rFonts w:ascii="Arial" w:hAnsi="Arial"/>
        <w:b/>
        <w:color w:val="ffffff"/>
        <w:sz w:val="22"/>
      </w:rPr>
      <w:tcPr>
        <w:shd w:val="clear" w:color="70ad47" w:themeColor="accent6" w:fill="70ad47" w:themeFill="accent6"/>
      </w:tcPr>
    </w:tblStylePr>
    <w:tblStylePr w:type="lastCol">
      <w:rPr>
        <w:rFonts w:ascii="Arial" w:hAnsi="Arial"/>
        <w:b/>
        <w:color w:val="ffffff"/>
        <w:sz w:val="22"/>
      </w:rPr>
      <w:tcPr>
        <w:shd w:val="clear" w:color="70ad47" w:themeColor="accent6" w:fill="70ad47" w:themeFill="accent6"/>
      </w:tcPr>
    </w:tblStylePr>
    <w:tblStylePr w:type="lastRow">
      <w:rPr>
        <w:rFonts w:ascii="Arial" w:hAnsi="Arial"/>
        <w:b/>
        <w:color w:val="ffffff"/>
        <w:sz w:val="22"/>
      </w:rPr>
      <w:tcPr>
        <w:shd w:val="clear" w:color="70ad47" w:themeColor="accent6" w:fill="70ad47" w:themeFill="accent6"/>
        <w:tcBorders>
          <w:top w:val="single" w:color="FFFFFF" w:themeColor="light1" w:sz="4" w:space="0"/>
        </w:tcBorders>
      </w:tcPr>
    </w:tblStylePr>
  </w:style>
  <w:style w:type="table" w:styleId="814" w:customStyle="1">
    <w:name w:val="Grid Table 6 Colorful"/>
    <w:basedOn w:val="756"/>
    <w:uiPriority w:val="99"/>
    <w:pPr>
      <w:spacing w:after="0" w:line="240" w:lineRule="auto"/>
    </w:pPr>
    <w:tblPr>
      <w:tblStyleRowBandSize w:val="1"/>
      <w:tblStyleColBandSize w:val="1"/>
      <w:tblInd w:w="0" w:type="dxa"/>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108" w:type="dxa"/>
        <w:top w:w="0" w:type="dxa"/>
        <w:right w:w="108" w:type="dxa"/>
        <w:bottom w:w="0" w:type="dxa"/>
      </w:tblCellMar>
    </w:tblPr>
    <w:tblStylePr w:type="band1Horz">
      <w:rPr>
        <w:rFonts w:ascii="Arial" w:hAnsi="Arial"/>
        <w:color w:val="7f7f7f" w:themeColor="text1" w:themeTint="80" w:themeShade="95"/>
        <w:sz w:val="22"/>
      </w:rPr>
      <w:tcPr>
        <w:shd w:val="clear" w:color="cbcbcb" w:themeColor="text1" w:themeTint="34" w:fill="cbcbcb" w:themeFill="text1" w:themeFillTint="34"/>
      </w:tcPr>
    </w:tblStylePr>
    <w:tblStylePr w:type="band1Vert">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themeColor="text1" w:themeTint="80"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815" w:customStyle="1">
    <w:name w:val="Grid Table 6 Colorful - Accent 1"/>
    <w:basedOn w:val="756"/>
    <w:uiPriority w:val="99"/>
    <w:pPr>
      <w:spacing w:after="0" w:line="240" w:lineRule="auto"/>
    </w:pPr>
    <w:tblPr>
      <w:tblStyleRowBandSize w:val="1"/>
      <w:tblStyleColBandSize w:val="1"/>
      <w:tblInd w:w="0" w:type="dxa"/>
      <w:tblBorders>
        <w:top w:val="single" w:color="ACCCEA" w:themeColor="accent1" w:themeTint="80" w:sz="4" w:space="0"/>
        <w:left w:val="single" w:color="ACCCEA" w:themeColor="accent1" w:themeTint="80" w:sz="4" w:space="0"/>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CellMar>
        <w:left w:w="108" w:type="dxa"/>
        <w:top w:w="0" w:type="dxa"/>
        <w:right w:w="108" w:type="dxa"/>
        <w:bottom w:w="0" w:type="dxa"/>
      </w:tblCellMar>
    </w:tblPr>
    <w:tblStylePr w:type="band1Horz">
      <w:rPr>
        <w:rFonts w:ascii="Arial" w:hAnsi="Arial"/>
        <w:color w:val="acccea" w:themeColor="accent1" w:themeTint="80" w:themeShade="95"/>
        <w:sz w:val="22"/>
      </w:rPr>
      <w:tcPr>
        <w:shd w:val="clear" w:color="ddeaf6" w:themeColor="accent1" w:themeTint="34" w:fill="ddeaf6" w:themeFill="accent1" w:themeFillTint="34"/>
      </w:tcPr>
    </w:tblStylePr>
    <w:tblStylePr w:type="band1Vert">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tblStylePr w:type="firstCol">
      <w:rPr>
        <w:b/>
        <w:color w:val="acccea" w:themeColor="accent1" w:themeTint="80" w:themeShade="95"/>
      </w:rPr>
    </w:tblStylePr>
    <w:tblStylePr w:type="firstRow">
      <w:rPr>
        <w:b/>
        <w:color w:val="acccea" w:themeColor="accent1" w:themeTint="80" w:themeShade="95"/>
      </w:rPr>
      <w:tcPr>
        <w:tcBorders>
          <w:bottom w:val="single" w:color="ACCCEA" w:themeColor="accent1" w:themeTint="80" w:sz="12" w:space="0"/>
        </w:tcBorders>
      </w:tcPr>
    </w:tblStylePr>
    <w:tblStylePr w:type="lastCol">
      <w:rPr>
        <w:b/>
        <w:color w:val="acccea" w:themeColor="accent1" w:themeTint="80" w:themeShade="95"/>
      </w:rPr>
    </w:tblStylePr>
    <w:tblStylePr w:type="lastRow">
      <w:rPr>
        <w:b/>
        <w:color w:val="acccea" w:themeColor="accent1" w:themeTint="80" w:themeShade="95"/>
      </w:rPr>
    </w:tblStylePr>
  </w:style>
  <w:style w:type="table" w:styleId="816" w:customStyle="1">
    <w:name w:val="Grid Table 6 Colorful - Accent 2"/>
    <w:basedOn w:val="756"/>
    <w:uiPriority w:val="99"/>
    <w:pPr>
      <w:spacing w:after="0" w:line="240" w:lineRule="auto"/>
    </w:pPr>
    <w:tblPr>
      <w:tblStyleRowBandSize w:val="1"/>
      <w:tblStyleColBandSize w:val="1"/>
      <w:tblInd w:w="0" w:type="dxa"/>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CellMar>
        <w:left w:w="108" w:type="dxa"/>
        <w:top w:w="0" w:type="dxa"/>
        <w:right w:w="108" w:type="dxa"/>
        <w:bottom w:w="0" w:type="dxa"/>
      </w:tblCellMar>
    </w:tblPr>
    <w:tblStylePr w:type="band1Horz">
      <w:rPr>
        <w:rFonts w:ascii="Arial" w:hAnsi="Arial"/>
        <w:color w:val="f4b184" w:themeColor="accent2" w:themeTint="97" w:themeShade="95"/>
        <w:sz w:val="22"/>
      </w:rPr>
      <w:tcPr>
        <w:shd w:val="clear" w:color="fbe5d6" w:themeColor="accent2" w:themeTint="32" w:fill="fbe5d6" w:themeFill="accent2" w:themeFillTint="32"/>
      </w:tcPr>
    </w:tblStylePr>
    <w:tblStylePr w:type="band1Vert">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F4B184" w:themeColor="accent2" w:themeTint="97" w:sz="12" w:space="0"/>
        </w:tcBorders>
      </w:tcPr>
    </w:tblStylePr>
    <w:tblStylePr w:type="lastCol">
      <w:rPr>
        <w:b/>
        <w:color w:val="f4b184" w:themeColor="accent2" w:themeTint="97" w:themeShade="95"/>
      </w:rPr>
    </w:tblStylePr>
    <w:tblStylePr w:type="lastRow">
      <w:rPr>
        <w:b/>
        <w:color w:val="f4b184" w:themeColor="accent2" w:themeTint="97" w:themeShade="95"/>
      </w:rPr>
    </w:tblStylePr>
  </w:style>
  <w:style w:type="table" w:styleId="817" w:customStyle="1">
    <w:name w:val="Grid Table 6 Colorful - Accent 3"/>
    <w:basedOn w:val="756"/>
    <w:uiPriority w:val="99"/>
    <w:pPr>
      <w:spacing w:after="0" w:line="240" w:lineRule="auto"/>
    </w:pPr>
    <w:tblPr>
      <w:tblStyleRowBandSize w:val="1"/>
      <w:tblStyleColBandSize w:val="1"/>
      <w:tblInd w:w="0" w:type="dxa"/>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CellMar>
        <w:left w:w="108" w:type="dxa"/>
        <w:top w:w="0" w:type="dxa"/>
        <w:right w:w="108" w:type="dxa"/>
        <w:bottom w:w="0" w:type="dxa"/>
      </w:tblCellMar>
    </w:tblPr>
    <w:tblStylePr w:type="band1Horz">
      <w:rPr>
        <w:rFonts w:ascii="Arial" w:hAnsi="Arial"/>
        <w:color w:val="a5a5a5" w:themeColor="accent3" w:themeTint="FE" w:themeShade="95"/>
        <w:sz w:val="22"/>
      </w:rPr>
      <w:tcPr>
        <w:shd w:val="clear" w:color="ececec" w:themeColor="accent3" w:themeTint="34" w:fill="ececec" w:themeFill="accent3" w:themeFillTint="34"/>
      </w:tcPr>
    </w:tblStylePr>
    <w:tblStylePr w:type="band1Vert">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tblStylePr w:type="firstCol">
      <w:rPr>
        <w:b/>
        <w:color w:val="a5a5a5" w:themeColor="accent3" w:themeTint="FE" w:themeShade="95"/>
      </w:rPr>
    </w:tblStylePr>
    <w:tblStylePr w:type="firstRow">
      <w:rPr>
        <w:b/>
        <w:color w:val="a5a5a5" w:themeColor="accent3" w:themeTint="FE" w:themeShade="95"/>
      </w:rPr>
      <w:tcPr>
        <w:tcBorders>
          <w:bottom w:val="single" w:color="A5A5A5" w:themeColor="accent3" w:themeTint="FE" w:sz="12" w:space="0"/>
        </w:tcBorders>
      </w:tcPr>
    </w:tblStylePr>
    <w:tblStylePr w:type="lastCol">
      <w:rPr>
        <w:b/>
        <w:color w:val="a5a5a5" w:themeColor="accent3" w:themeTint="FE" w:themeShade="95"/>
      </w:rPr>
    </w:tblStylePr>
    <w:tblStylePr w:type="lastRow">
      <w:rPr>
        <w:b/>
        <w:color w:val="a5a5a5" w:themeColor="accent3" w:themeTint="FE" w:themeShade="95"/>
      </w:rPr>
    </w:tblStylePr>
  </w:style>
  <w:style w:type="table" w:styleId="818" w:customStyle="1">
    <w:name w:val="Grid Table 6 Colorful - Accent 4"/>
    <w:basedOn w:val="756"/>
    <w:uiPriority w:val="99"/>
    <w:pPr>
      <w:spacing w:after="0" w:line="240" w:lineRule="auto"/>
    </w:pPr>
    <w:tblPr>
      <w:tblStyleRowBandSize w:val="1"/>
      <w:tblStyleColBandSize w:val="1"/>
      <w:tblInd w:w="0" w:type="dxa"/>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CellMar>
        <w:left w:w="108" w:type="dxa"/>
        <w:top w:w="0" w:type="dxa"/>
        <w:right w:w="108" w:type="dxa"/>
        <w:bottom w:w="0" w:type="dxa"/>
      </w:tblCellMar>
    </w:tblPr>
    <w:tblStylePr w:type="band1Horz">
      <w:rPr>
        <w:rFonts w:ascii="Arial" w:hAnsi="Arial"/>
        <w:color w:val="ffd865" w:themeColor="accent4" w:themeTint="9A" w:themeShade="95"/>
        <w:sz w:val="22"/>
      </w:rPr>
      <w:tcPr>
        <w:shd w:val="clear" w:color="fff2cb" w:themeColor="accent4" w:themeTint="34" w:fill="fff2cb" w:themeFill="accent4" w:themeFillTint="34"/>
      </w:tcPr>
    </w:tblStylePr>
    <w:tblStylePr w:type="band1Vert">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D865" w:themeColor="accent4" w:themeTint="9A" w:sz="12" w:space="0"/>
        </w:tcBorders>
      </w:tcPr>
    </w:tblStylePr>
    <w:tblStylePr w:type="lastCol">
      <w:rPr>
        <w:b/>
        <w:color w:val="ffd865" w:themeColor="accent4" w:themeTint="9A" w:themeShade="95"/>
      </w:rPr>
    </w:tblStylePr>
    <w:tblStylePr w:type="lastRow">
      <w:rPr>
        <w:b/>
        <w:color w:val="ffd865" w:themeColor="accent4" w:themeTint="9A" w:themeShade="95"/>
      </w:rPr>
    </w:tblStylePr>
  </w:style>
  <w:style w:type="table" w:styleId="819" w:customStyle="1">
    <w:name w:val="Grid Table 6 Colorful - Accent 5"/>
    <w:basedOn w:val="756"/>
    <w:uiPriority w:val="99"/>
    <w:pPr>
      <w:spacing w:after="0" w:line="240" w:lineRule="auto"/>
    </w:pPr>
    <w:tblPr>
      <w:tblStyleRowBandSize w:val="1"/>
      <w:tblStyleColBandSize w:val="1"/>
      <w:tblInd w:w="0" w:type="dxa"/>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CellMar>
        <w:left w:w="108" w:type="dxa"/>
        <w:top w:w="0" w:type="dxa"/>
        <w:right w:w="108" w:type="dxa"/>
        <w:bottom w:w="0" w:type="dxa"/>
      </w:tblCellMar>
    </w:tblPr>
    <w:tblStylePr w:type="band1Horz">
      <w:rPr>
        <w:rFonts w:ascii="Arial" w:hAnsi="Arial"/>
        <w:color w:val="254175" w:themeColor="accent5" w:themeShade="95"/>
        <w:sz w:val="22"/>
      </w:rPr>
      <w:tcPr>
        <w:shd w:val="clear" w:color="d8e2f3" w:themeColor="accent5" w:themeTint="34" w:fill="d8e2f3" w:themeFill="accent5" w:themeFillTint="34"/>
      </w:tcPr>
    </w:tblStylePr>
    <w:tblStylePr w:type="band1Vert">
      <w:tcPr>
        <w:shd w:val="clear" w:color="d8e2f3" w:themeColor="accent5" w:themeTint="34" w:fill="d8e2f3" w:themeFill="accent5" w:themeFillTint="34"/>
      </w:tcPr>
    </w:tblStylePr>
    <w:tblStylePr w:type="band2Horz">
      <w:rPr>
        <w:rFonts w:ascii="Arial" w:hAnsi="Arial"/>
        <w:color w:val="254175" w:themeColor="accent5" w:themeShade="95"/>
        <w:sz w:val="22"/>
      </w:rPr>
    </w:tblStylePr>
    <w:tblStylePr w:type="firstCol">
      <w:rPr>
        <w:b/>
        <w:color w:val="254175" w:themeColor="accent5" w:themeShade="95"/>
      </w:rPr>
    </w:tblStylePr>
    <w:tblStylePr w:type="firstRow">
      <w:rPr>
        <w:b/>
        <w:color w:val="254175" w:themeColor="accent5" w:themeShade="95"/>
      </w:rPr>
      <w:tcPr>
        <w:tcBorders>
          <w:bottom w:val="single" w:color="4472C4" w:themeColor="accent5" w:sz="12" w:space="0"/>
        </w:tcBorders>
      </w:tcPr>
    </w:tblStylePr>
    <w:tblStylePr w:type="lastCol">
      <w:rPr>
        <w:b/>
        <w:color w:val="254175" w:themeColor="accent5" w:themeShade="95"/>
      </w:rPr>
    </w:tblStylePr>
    <w:tblStylePr w:type="lastRow">
      <w:rPr>
        <w:b/>
        <w:color w:val="254175" w:themeColor="accent5" w:themeShade="95"/>
      </w:rPr>
    </w:tblStylePr>
  </w:style>
  <w:style w:type="table" w:styleId="820" w:customStyle="1">
    <w:name w:val="Grid Table 6 Colorful - Accent 6"/>
    <w:basedOn w:val="756"/>
    <w:uiPriority w:val="99"/>
    <w:pPr>
      <w:spacing w:after="0" w:line="240" w:lineRule="auto"/>
    </w:pPr>
    <w:tblPr>
      <w:tblStyleRowBandSize w:val="1"/>
      <w:tblStyleColBandSize w:val="1"/>
      <w:tblInd w:w="0" w:type="dxa"/>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CellMar>
        <w:left w:w="108" w:type="dxa"/>
        <w:top w:w="0" w:type="dxa"/>
        <w:right w:w="108" w:type="dxa"/>
        <w:bottom w:w="0" w:type="dxa"/>
      </w:tblCellMar>
    </w:tblPr>
    <w:tblStylePr w:type="band1Horz">
      <w:rPr>
        <w:rFonts w:ascii="Arial" w:hAnsi="Arial"/>
        <w:color w:val="254175" w:themeColor="accent5" w:themeShade="95"/>
        <w:sz w:val="22"/>
      </w:rPr>
      <w:tcPr>
        <w:shd w:val="clear" w:color="e1efd8" w:themeColor="accent6" w:themeTint="34" w:fill="e1efd8" w:themeFill="accent6" w:themeFillTint="34"/>
      </w:tcPr>
    </w:tblStylePr>
    <w:tblStylePr w:type="band1Vert">
      <w:tcPr>
        <w:shd w:val="clear" w:color="e1efd8" w:themeColor="accent6" w:themeTint="34" w:fill="e1efd8" w:themeFill="accent6" w:themeFillTint="34"/>
      </w:tcPr>
    </w:tblStylePr>
    <w:tblStylePr w:type="band2Horz">
      <w:rPr>
        <w:rFonts w:ascii="Arial" w:hAnsi="Arial"/>
        <w:color w:val="254175" w:themeColor="accent5" w:themeShade="95"/>
        <w:sz w:val="22"/>
      </w:rPr>
    </w:tblStylePr>
    <w:tblStylePr w:type="firstCol">
      <w:rPr>
        <w:b/>
        <w:color w:val="254175" w:themeColor="accent5" w:themeShade="95"/>
      </w:rPr>
    </w:tblStylePr>
    <w:tblStylePr w:type="firstRow">
      <w:rPr>
        <w:b/>
        <w:color w:val="254175" w:themeColor="accent5" w:themeShade="95"/>
      </w:rPr>
      <w:tcPr>
        <w:tcBorders>
          <w:bottom w:val="single" w:color="70AD47" w:themeColor="accent6" w:sz="12" w:space="0"/>
        </w:tcBorders>
      </w:tcPr>
    </w:tblStylePr>
    <w:tblStylePr w:type="lastCol">
      <w:rPr>
        <w:b/>
        <w:color w:val="254175" w:themeColor="accent5" w:themeShade="95"/>
      </w:rPr>
    </w:tblStylePr>
    <w:tblStylePr w:type="lastRow">
      <w:rPr>
        <w:b/>
        <w:color w:val="254175" w:themeColor="accent5" w:themeShade="95"/>
      </w:rPr>
    </w:tblStylePr>
  </w:style>
  <w:style w:type="table" w:styleId="821" w:customStyle="1">
    <w:name w:val="Grid Table 7 Colorful"/>
    <w:basedOn w:val="756"/>
    <w:uiPriority w:val="99"/>
    <w:pPr>
      <w:spacing w:after="0" w:line="240" w:lineRule="auto"/>
    </w:pPr>
    <w:tblPr>
      <w:tblStyleRowBandSize w:val="1"/>
      <w:tblStyleColBandSize w:val="1"/>
      <w:tblInd w:w="0" w:type="dxa"/>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108" w:type="dxa"/>
        <w:top w:w="0" w:type="dxa"/>
        <w:right w:w="108" w:type="dxa"/>
        <w:bottom w:w="0" w:type="dxa"/>
      </w:tblCellMar>
    </w:tblPr>
    <w:tblStylePr w:type="band1Horz">
      <w:rPr>
        <w:rFonts w:ascii="Arial" w:hAnsi="Arial"/>
        <w:color w:val="7f7f7f" w:themeColor="text1" w:themeTint="80" w:themeShade="95"/>
        <w:sz w:val="22"/>
      </w:rPr>
      <w:tcPr>
        <w:shd w:val="clear" w:color="f2f2f2" w:themeColor="text1" w:themeTint="00" w:fill="f2f2f2" w:themeFill="text1" w:themeFillTint="00"/>
      </w:tcPr>
    </w:tblStylePr>
    <w:tblStylePr w:type="band1Vert">
      <w:tcPr>
        <w:shd w:val="clear" w:color="f2f2f2" w:themeColor="text1" w:themeTint="00" w:fill="f2f2f2" w:themeFill="text1" w:themeFillTint="0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822" w:customStyle="1">
    <w:name w:val="Grid Table 7 Colorful - Accent 1"/>
    <w:basedOn w:val="756"/>
    <w:uiPriority w:val="99"/>
    <w:pPr>
      <w:spacing w:after="0" w:line="240" w:lineRule="auto"/>
    </w:pPr>
    <w:tblPr>
      <w:tblStyleRowBandSize w:val="1"/>
      <w:tblStyleColBandSize w:val="1"/>
      <w:tblInd w:w="0" w:type="dxa"/>
      <w:tblBorders>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CellMar>
        <w:left w:w="108" w:type="dxa"/>
        <w:top w:w="0" w:type="dxa"/>
        <w:right w:w="108" w:type="dxa"/>
        <w:bottom w:w="0" w:type="dxa"/>
      </w:tblCellMar>
    </w:tblPr>
    <w:tblStylePr w:type="band1Horz">
      <w:rPr>
        <w:rFonts w:ascii="Arial" w:hAnsi="Arial"/>
        <w:color w:val="acccea" w:themeColor="accent1" w:themeTint="80" w:themeShade="95"/>
        <w:sz w:val="22"/>
      </w:rPr>
      <w:tcPr>
        <w:shd w:val="clear" w:color="ddeaf6" w:themeColor="accent1" w:themeTint="34" w:fill="ddeaf6" w:themeFill="accent1" w:themeFillTint="34"/>
      </w:tcPr>
    </w:tblStylePr>
    <w:tblStylePr w:type="band1Vert">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tblStylePr w:type="firstCol">
      <w:rPr>
        <w:rFonts w:ascii="Arial" w:hAnsi="Arial"/>
        <w:i/>
        <w:color w:val="acccea" w:themeColor="accent1" w:themeTint="80" w:themeShade="95"/>
        <w:sz w:val="22"/>
      </w:rPr>
      <w:pPr>
        <w:jc w:val="right"/>
      </w:pPr>
      <w:tcPr>
        <w:shd w:val="clear" w:color="ffffff" w:fill="auto"/>
        <w:tcBorders>
          <w:top w:val="none" w:color="000000" w:sz="4" w:space="0"/>
          <w:left w:val="none" w:color="000000" w:sz="4" w:space="0"/>
          <w:bottom w:val="none" w:color="000000" w:sz="4" w:space="0"/>
          <w:right w:val="single" w:color="ACCCEA" w:themeColor="accent1" w:themeTint="80" w:sz="4" w:space="0"/>
        </w:tcBorders>
      </w:tcPr>
    </w:tblStylePr>
    <w:tblStylePr w:type="firstRow">
      <w:rPr>
        <w:rFonts w:ascii="Arial" w:hAnsi="Arial"/>
        <w:b/>
        <w:color w:val="acccea" w:themeColor="accent1" w:themeTint="80" w:themeShade="95"/>
        <w:sz w:val="22"/>
      </w:rPr>
      <w:tcPr>
        <w:shd w:val="clear" w:color="ffffff" w:themeColor="light1" w:fill="ffffff" w:themeFill="light1"/>
        <w:tcBorders>
          <w:top w:val="none" w:color="000000" w:sz="4" w:space="0"/>
          <w:left w:val="none" w:color="000000" w:sz="4" w:space="0"/>
          <w:bottom w:val="single" w:color="ACCCEA" w:themeColor="accent1" w:themeTint="80" w:sz="4" w:space="0"/>
          <w:right w:val="none" w:color="000000" w:sz="4" w:space="0"/>
        </w:tcBorders>
      </w:tcPr>
    </w:tblStylePr>
    <w:tblStylePr w:type="lastCol">
      <w:rPr>
        <w:rFonts w:ascii="Arial" w:hAnsi="Arial"/>
        <w:i/>
        <w:color w:val="acccea" w:themeColor="accent1" w:themeTint="80" w:themeShade="95"/>
        <w:sz w:val="22"/>
      </w:rPr>
      <w:tcPr>
        <w:shd w:val="clear" w:color="ffffff" w:fill="auto"/>
        <w:tcBorders>
          <w:top w:val="none" w:color="000000" w:sz="4" w:space="0"/>
          <w:left w:val="single" w:color="ACCCEA" w:themeColor="accent1" w:themeTint="80" w:sz="4" w:space="0"/>
          <w:bottom w:val="none" w:color="000000" w:sz="4" w:space="0"/>
          <w:right w:val="none" w:color="000000" w:sz="4" w:space="0"/>
        </w:tcBorders>
      </w:tcPr>
    </w:tblStylePr>
    <w:tblStylePr w:type="lastRow">
      <w:rPr>
        <w:rFonts w:ascii="Arial" w:hAnsi="Arial"/>
        <w:b/>
        <w:color w:val="acccea" w:themeColor="accent1" w:themeTint="80" w:themeShade="95"/>
        <w:sz w:val="22"/>
      </w:rPr>
      <w:tcPr>
        <w:shd w:val="clear" w:color="ffffff" w:themeColor="light1" w:fill="ffffff" w:themeFill="light1"/>
        <w:tcBorders>
          <w:top w:val="single" w:color="ACCCEA" w:themeColor="accent1" w:themeTint="80" w:sz="4" w:space="0"/>
          <w:left w:val="none" w:color="000000" w:sz="4" w:space="0"/>
          <w:bottom w:val="none" w:color="000000" w:sz="4" w:space="0"/>
          <w:right w:val="none" w:color="000000" w:sz="4" w:space="0"/>
        </w:tcBorders>
      </w:tcPr>
    </w:tblStylePr>
  </w:style>
  <w:style w:type="table" w:styleId="823" w:customStyle="1">
    <w:name w:val="Grid Table 7 Colorful - Accent 2"/>
    <w:basedOn w:val="756"/>
    <w:uiPriority w:val="99"/>
    <w:pPr>
      <w:spacing w:after="0" w:line="240" w:lineRule="auto"/>
    </w:pPr>
    <w:tblPr>
      <w:tblStyleRowBandSize w:val="1"/>
      <w:tblStyleColBandSize w:val="1"/>
      <w:tblInd w:w="0" w:type="dxa"/>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CellMar>
        <w:left w:w="108" w:type="dxa"/>
        <w:top w:w="0" w:type="dxa"/>
        <w:right w:w="108" w:type="dxa"/>
        <w:bottom w:w="0" w:type="dxa"/>
      </w:tblCellMar>
    </w:tblPr>
    <w:tblStylePr w:type="band1Horz">
      <w:rPr>
        <w:rFonts w:ascii="Arial" w:hAnsi="Arial"/>
        <w:color w:val="f4b184" w:themeColor="accent2" w:themeTint="97" w:themeShade="95"/>
        <w:sz w:val="22"/>
      </w:rPr>
      <w:tcPr>
        <w:shd w:val="clear" w:color="fbe5d6" w:themeColor="accent2" w:themeTint="32" w:fill="fbe5d6" w:themeFill="accent2" w:themeFillTint="32"/>
      </w:tcPr>
    </w:tblStylePr>
    <w:tblStylePr w:type="band1Vert">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tblStylePr w:type="firstCol">
      <w:rPr>
        <w:rFonts w:ascii="Arial" w:hAnsi="Arial"/>
        <w:i/>
        <w:color w:val="f4b184"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F4B184" w:themeColor="accent2" w:themeTint="97" w:sz="4" w:space="0"/>
        </w:tcBorders>
      </w:tcPr>
    </w:tblStylePr>
    <w:tblStylePr w:type="firstRow">
      <w:rPr>
        <w:rFonts w:ascii="Arial" w:hAnsi="Arial"/>
        <w:b/>
        <w:color w:val="f4b184" w:themeColor="accent2" w:themeTint="97" w:themeShade="95"/>
        <w:sz w:val="22"/>
      </w:rPr>
      <w:tcPr>
        <w:shd w:val="clear" w:color="ffffff" w:themeColor="light1" w:fill="ffffff" w:themeFill="light1"/>
        <w:tcBorders>
          <w:top w:val="none" w:color="000000" w:sz="4" w:space="0"/>
          <w:left w:val="none" w:color="000000" w:sz="4" w:space="0"/>
          <w:bottom w:val="single" w:color="F4B184" w:themeColor="accent2" w:themeTint="97" w:sz="4" w:space="0"/>
          <w:right w:val="none" w:color="000000" w:sz="4" w:space="0"/>
        </w:tcBorders>
      </w:tcPr>
    </w:tblStylePr>
    <w:tblStylePr w:type="lastCol">
      <w:rPr>
        <w:rFonts w:ascii="Arial" w:hAnsi="Arial"/>
        <w:i/>
        <w:color w:val="f4b184" w:themeColor="accent2" w:themeTint="97" w:themeShade="95"/>
        <w:sz w:val="22"/>
      </w:rPr>
      <w:tcPr>
        <w:shd w:val="clear" w:color="ffffff" w:fill="auto"/>
        <w:tcBorders>
          <w:top w:val="none" w:color="000000" w:sz="4" w:space="0"/>
          <w:left w:val="single" w:color="F4B184" w:themeColor="accent2" w:themeTint="97" w:sz="4" w:space="0"/>
          <w:bottom w:val="none" w:color="000000" w:sz="4" w:space="0"/>
          <w:right w:val="none" w:color="000000" w:sz="4" w:space="0"/>
        </w:tcBorders>
      </w:tcPr>
    </w:tblStylePr>
    <w:tblStylePr w:type="lastRow">
      <w:rPr>
        <w:rFonts w:ascii="Arial" w:hAnsi="Arial"/>
        <w:b/>
        <w:color w:val="f4b184" w:themeColor="accent2" w:themeTint="97" w:themeShade="95"/>
        <w:sz w:val="22"/>
      </w:rPr>
      <w:tcPr>
        <w:shd w:val="clear" w:color="ffffff" w:themeColor="light1" w:fill="ffffff" w:themeFill="light1"/>
        <w:tcBorders>
          <w:top w:val="single" w:color="F4B184" w:themeColor="accent2" w:themeTint="97" w:sz="4" w:space="0"/>
          <w:left w:val="none" w:color="000000" w:sz="4" w:space="0"/>
          <w:bottom w:val="none" w:color="000000" w:sz="4" w:space="0"/>
          <w:right w:val="none" w:color="000000" w:sz="4" w:space="0"/>
        </w:tcBorders>
      </w:tcPr>
    </w:tblStylePr>
  </w:style>
  <w:style w:type="table" w:styleId="824" w:customStyle="1">
    <w:name w:val="Grid Table 7 Colorful - Accent 3"/>
    <w:basedOn w:val="756"/>
    <w:uiPriority w:val="99"/>
    <w:pPr>
      <w:spacing w:after="0" w:line="240" w:lineRule="auto"/>
    </w:pPr>
    <w:tblPr>
      <w:tblStyleRowBandSize w:val="1"/>
      <w:tblStyleColBandSize w:val="1"/>
      <w:tblInd w:w="0" w:type="dxa"/>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CellMar>
        <w:left w:w="108" w:type="dxa"/>
        <w:top w:w="0" w:type="dxa"/>
        <w:right w:w="108" w:type="dxa"/>
        <w:bottom w:w="0" w:type="dxa"/>
      </w:tblCellMar>
    </w:tblPr>
    <w:tblStylePr w:type="band1Horz">
      <w:rPr>
        <w:rFonts w:ascii="Arial" w:hAnsi="Arial"/>
        <w:color w:val="a5a5a5" w:themeColor="accent3" w:themeTint="FE" w:themeShade="95"/>
        <w:sz w:val="22"/>
      </w:rPr>
      <w:tcPr>
        <w:shd w:val="clear" w:color="ececec" w:themeColor="accent3" w:themeTint="34" w:fill="ececec" w:themeFill="accent3" w:themeFillTint="34"/>
      </w:tcPr>
    </w:tblStylePr>
    <w:tblStylePr w:type="band1Vert">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tblStylePr w:type="firstCol">
      <w:rPr>
        <w:rFonts w:ascii="Arial" w:hAnsi="Arial"/>
        <w:i/>
        <w:color w:val="a5a5a5" w:themeColor="accent3" w:themeTint="FE" w:themeShade="95"/>
        <w:sz w:val="22"/>
      </w:rPr>
      <w:pPr>
        <w:jc w:val="right"/>
      </w:pPr>
      <w:tcPr>
        <w:shd w:val="clear" w:color="ffffff" w:fill="auto"/>
        <w:tcBorders>
          <w:top w:val="none" w:color="000000" w:sz="4" w:space="0"/>
          <w:left w:val="none" w:color="000000" w:sz="4" w:space="0"/>
          <w:bottom w:val="none" w:color="000000" w:sz="4" w:space="0"/>
          <w:right w:val="single" w:color="A5A5A5" w:themeColor="accent3" w:themeTint="FE" w:sz="4" w:space="0"/>
        </w:tcBorders>
      </w:tcPr>
    </w:tblStylePr>
    <w:tblStylePr w:type="firstRow">
      <w:rPr>
        <w:rFonts w:ascii="Arial" w:hAnsi="Arial"/>
        <w:b/>
        <w:color w:val="a5a5a5" w:themeColor="accent3" w:themeTint="FE" w:themeShade="95"/>
        <w:sz w:val="22"/>
      </w:rPr>
      <w:tcPr>
        <w:shd w:val="clear" w:color="ffffff" w:themeColor="light1" w:fill="ffffff" w:themeFill="light1"/>
        <w:tcBorders>
          <w:top w:val="none" w:color="000000" w:sz="4" w:space="0"/>
          <w:left w:val="none" w:color="000000" w:sz="4" w:space="0"/>
          <w:bottom w:val="single" w:color="A5A5A5" w:themeColor="accent3" w:themeTint="FE" w:sz="4" w:space="0"/>
          <w:right w:val="none" w:color="000000" w:sz="4" w:space="0"/>
        </w:tcBorders>
      </w:tcPr>
    </w:tblStylePr>
    <w:tblStylePr w:type="lastCol">
      <w:rPr>
        <w:rFonts w:ascii="Arial" w:hAnsi="Arial"/>
        <w:i/>
        <w:color w:val="a5a5a5" w:themeColor="accent3" w:themeTint="FE" w:themeShade="95"/>
        <w:sz w:val="22"/>
      </w:rPr>
      <w:tcPr>
        <w:shd w:val="clear" w:color="ffffff" w:fill="auto"/>
        <w:tcBorders>
          <w:top w:val="none" w:color="000000" w:sz="4" w:space="0"/>
          <w:left w:val="single" w:color="A5A5A5" w:themeColor="accent3" w:themeTint="FE" w:sz="4" w:space="0"/>
          <w:bottom w:val="none" w:color="000000" w:sz="4" w:space="0"/>
          <w:right w:val="none" w:color="000000" w:sz="4" w:space="0"/>
        </w:tcBorders>
      </w:tcPr>
    </w:tblStylePr>
    <w:tblStylePr w:type="lastRow">
      <w:rPr>
        <w:rFonts w:ascii="Arial" w:hAnsi="Arial"/>
        <w:b/>
        <w:color w:val="a5a5a5" w:themeColor="accent3" w:themeTint="FE" w:themeShade="95"/>
        <w:sz w:val="22"/>
      </w:rPr>
      <w:tcPr>
        <w:shd w:val="clear" w:color="ffffff" w:themeColor="light1" w:fill="ffffff" w:themeFill="light1"/>
        <w:tcBorders>
          <w:top w:val="single" w:color="A5A5A5" w:themeColor="accent3" w:themeTint="FE" w:sz="4" w:space="0"/>
          <w:left w:val="none" w:color="000000" w:sz="4" w:space="0"/>
          <w:bottom w:val="none" w:color="000000" w:sz="4" w:space="0"/>
          <w:right w:val="none" w:color="000000" w:sz="4" w:space="0"/>
        </w:tcBorders>
      </w:tcPr>
    </w:tblStylePr>
  </w:style>
  <w:style w:type="table" w:styleId="825" w:customStyle="1">
    <w:name w:val="Grid Table 7 Colorful - Accent 4"/>
    <w:basedOn w:val="756"/>
    <w:uiPriority w:val="99"/>
    <w:pPr>
      <w:spacing w:after="0" w:line="240" w:lineRule="auto"/>
    </w:pPr>
    <w:tblPr>
      <w:tblStyleRowBandSize w:val="1"/>
      <w:tblStyleColBandSize w:val="1"/>
      <w:tblInd w:w="0" w:type="dxa"/>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CellMar>
        <w:left w:w="108" w:type="dxa"/>
        <w:top w:w="0" w:type="dxa"/>
        <w:right w:w="108" w:type="dxa"/>
        <w:bottom w:w="0" w:type="dxa"/>
      </w:tblCellMar>
    </w:tblPr>
    <w:tblStylePr w:type="band1Horz">
      <w:rPr>
        <w:rFonts w:ascii="Arial" w:hAnsi="Arial"/>
        <w:color w:val="ffd865" w:themeColor="accent4" w:themeTint="9A" w:themeShade="95"/>
        <w:sz w:val="22"/>
      </w:rPr>
      <w:tcPr>
        <w:shd w:val="clear" w:color="fff2cb" w:themeColor="accent4" w:themeTint="34" w:fill="fff2cb" w:themeFill="accent4" w:themeFillTint="34"/>
      </w:tcPr>
    </w:tblStylePr>
    <w:tblStylePr w:type="band1Vert">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tblStylePr w:type="firstCol">
      <w:rPr>
        <w:rFonts w:ascii="Arial" w:hAnsi="Arial"/>
        <w:i/>
        <w:color w:val="ffd865"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FFD865" w:themeColor="accent4" w:themeTint="9A" w:sz="4" w:space="0"/>
        </w:tcBorders>
      </w:tcPr>
    </w:tblStylePr>
    <w:tblStylePr w:type="firstRow">
      <w:rPr>
        <w:rFonts w:ascii="Arial" w:hAnsi="Arial"/>
        <w:b/>
        <w:color w:val="ffd865" w:themeColor="accent4" w:themeTint="9A" w:themeShade="95"/>
        <w:sz w:val="22"/>
      </w:rPr>
      <w:tcPr>
        <w:shd w:val="clear" w:color="ffffff" w:themeColor="light1" w:fill="ffffff" w:themeFill="light1"/>
        <w:tcBorders>
          <w:top w:val="none" w:color="000000" w:sz="4" w:space="0"/>
          <w:left w:val="none" w:color="000000" w:sz="4" w:space="0"/>
          <w:bottom w:val="single" w:color="FFD865" w:themeColor="accent4" w:themeTint="9A" w:sz="4" w:space="0"/>
          <w:right w:val="none" w:color="000000" w:sz="4" w:space="0"/>
        </w:tcBorders>
      </w:tcPr>
    </w:tblStylePr>
    <w:tblStylePr w:type="lastCol">
      <w:rPr>
        <w:rFonts w:ascii="Arial" w:hAnsi="Arial"/>
        <w:i/>
        <w:color w:val="ffd865" w:themeColor="accent4" w:themeTint="9A" w:themeShade="95"/>
        <w:sz w:val="22"/>
      </w:rPr>
      <w:tcPr>
        <w:shd w:val="clear" w:color="ffffff" w:fill="auto"/>
        <w:tcBorders>
          <w:top w:val="none" w:color="000000" w:sz="4" w:space="0"/>
          <w:left w:val="single" w:color="FFD865" w:themeColor="accent4" w:themeTint="9A" w:sz="4" w:space="0"/>
          <w:bottom w:val="none" w:color="000000" w:sz="4" w:space="0"/>
          <w:right w:val="none" w:color="000000" w:sz="4" w:space="0"/>
        </w:tcBorders>
      </w:tcPr>
    </w:tblStylePr>
    <w:tblStylePr w:type="lastRow">
      <w:rPr>
        <w:rFonts w:ascii="Arial" w:hAnsi="Arial"/>
        <w:b/>
        <w:color w:val="ffd865" w:themeColor="accent4" w:themeTint="9A" w:themeShade="95"/>
        <w:sz w:val="22"/>
      </w:rPr>
      <w:tcPr>
        <w:shd w:val="clear" w:color="ffffff" w:themeColor="light1" w:fill="ffffff" w:themeFill="light1"/>
        <w:tcBorders>
          <w:top w:val="single" w:color="FFD865" w:themeColor="accent4" w:themeTint="9A" w:sz="4" w:space="0"/>
          <w:left w:val="none" w:color="000000" w:sz="4" w:space="0"/>
          <w:bottom w:val="none" w:color="000000" w:sz="4" w:space="0"/>
          <w:right w:val="none" w:color="000000" w:sz="4" w:space="0"/>
        </w:tcBorders>
      </w:tcPr>
    </w:tblStylePr>
  </w:style>
  <w:style w:type="table" w:styleId="826" w:customStyle="1">
    <w:name w:val="Grid Table 7 Colorful - Accent 5"/>
    <w:basedOn w:val="756"/>
    <w:uiPriority w:val="99"/>
    <w:pPr>
      <w:spacing w:after="0" w:line="240" w:lineRule="auto"/>
    </w:pPr>
    <w:tblPr>
      <w:tblStyleRowBandSize w:val="1"/>
      <w:tblStyleColBandSize w:val="1"/>
      <w:tblInd w:w="0" w:type="dxa"/>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CellMar>
        <w:left w:w="108" w:type="dxa"/>
        <w:top w:w="0" w:type="dxa"/>
        <w:right w:w="108" w:type="dxa"/>
        <w:bottom w:w="0" w:type="dxa"/>
      </w:tblCellMar>
    </w:tblPr>
    <w:tblStylePr w:type="band1Horz">
      <w:rPr>
        <w:rFonts w:ascii="Arial" w:hAnsi="Arial"/>
        <w:color w:val="254175" w:themeColor="accent5" w:themeShade="95"/>
        <w:sz w:val="22"/>
      </w:rPr>
      <w:tcPr>
        <w:shd w:val="clear" w:color="d8e2f3" w:themeColor="accent5" w:themeTint="34" w:fill="d8e2f3" w:themeFill="accent5" w:themeFillTint="34"/>
      </w:tcPr>
    </w:tblStylePr>
    <w:tblStylePr w:type="band1Vert">
      <w:tcPr>
        <w:shd w:val="clear" w:color="d8e2f3" w:themeColor="accent5" w:themeTint="34" w:fill="d8e2f3" w:themeFill="accent5" w:themeFillTint="34"/>
      </w:tcPr>
    </w:tblStylePr>
    <w:tblStylePr w:type="band2Horz">
      <w:rPr>
        <w:rFonts w:ascii="Arial" w:hAnsi="Arial"/>
        <w:color w:val="254175" w:themeColor="accent5" w:themeShade="95"/>
        <w:sz w:val="22"/>
      </w:rPr>
    </w:tblStylePr>
    <w:tblStylePr w:type="firstCol">
      <w:rPr>
        <w:rFonts w:ascii="Arial" w:hAnsi="Arial"/>
        <w:i/>
        <w:color w:val="254175" w:themeColor="accent5" w:themeShade="95"/>
        <w:sz w:val="22"/>
      </w:rPr>
      <w:pPr>
        <w:jc w:val="right"/>
      </w:pPr>
      <w:tcPr>
        <w:shd w:val="clear" w:color="ffffff" w:fill="auto"/>
        <w:tcBorders>
          <w:top w:val="none" w:color="000000" w:sz="4" w:space="0"/>
          <w:left w:val="none" w:color="000000" w:sz="4" w:space="0"/>
          <w:bottom w:val="none" w:color="000000" w:sz="4" w:space="0"/>
          <w:right w:val="single" w:color="95AFDD" w:themeColor="accent5" w:themeTint="90" w:sz="4" w:space="0"/>
        </w:tcBorders>
      </w:tcPr>
    </w:tblStylePr>
    <w:tblStylePr w:type="firstRow">
      <w:rPr>
        <w:rFonts w:ascii="Arial" w:hAnsi="Arial"/>
        <w:b/>
        <w:color w:val="254175" w:themeColor="accent5" w:themeShade="95"/>
        <w:sz w:val="22"/>
      </w:rPr>
      <w:tcPr>
        <w:shd w:val="clear" w:color="ffffff" w:themeColor="light1" w:fill="ffffff" w:themeFill="light1"/>
        <w:tcBorders>
          <w:top w:val="none" w:color="000000" w:sz="4" w:space="0"/>
          <w:left w:val="none" w:color="000000" w:sz="4" w:space="0"/>
          <w:bottom w:val="single" w:color="95AFDD" w:themeColor="accent5" w:themeTint="90" w:sz="4" w:space="0"/>
          <w:right w:val="none" w:color="000000" w:sz="4" w:space="0"/>
        </w:tcBorders>
      </w:tcPr>
    </w:tblStylePr>
    <w:tblStylePr w:type="lastCol">
      <w:rPr>
        <w:rFonts w:ascii="Arial" w:hAnsi="Arial"/>
        <w:i/>
        <w:color w:val="254175" w:themeColor="accent5" w:themeShade="95"/>
        <w:sz w:val="22"/>
      </w:rPr>
      <w:tcPr>
        <w:shd w:val="clear" w:color="ffffff" w:fill="auto"/>
        <w:tcBorders>
          <w:top w:val="none" w:color="000000" w:sz="4" w:space="0"/>
          <w:left w:val="single" w:color="95AFDD" w:themeColor="accent5" w:themeTint="90" w:sz="4" w:space="0"/>
          <w:bottom w:val="none" w:color="000000" w:sz="4" w:space="0"/>
          <w:right w:val="none" w:color="000000" w:sz="4" w:space="0"/>
        </w:tcBorders>
      </w:tcPr>
    </w:tblStylePr>
    <w:tblStylePr w:type="lastRow">
      <w:rPr>
        <w:rFonts w:ascii="Arial" w:hAnsi="Arial"/>
        <w:b/>
        <w:color w:val="254175" w:themeColor="accent5" w:themeShade="95"/>
        <w:sz w:val="22"/>
      </w:rPr>
      <w:tcPr>
        <w:shd w:val="clear" w:color="ffffff" w:themeColor="light1" w:fill="ffffff" w:themeFill="light1"/>
        <w:tcBorders>
          <w:top w:val="single" w:color="95AFDD" w:themeColor="accent5" w:themeTint="90" w:sz="4" w:space="0"/>
          <w:left w:val="none" w:color="000000" w:sz="4" w:space="0"/>
          <w:bottom w:val="none" w:color="000000" w:sz="4" w:space="0"/>
          <w:right w:val="none" w:color="000000" w:sz="4" w:space="0"/>
        </w:tcBorders>
      </w:tcPr>
    </w:tblStylePr>
  </w:style>
  <w:style w:type="table" w:styleId="827" w:customStyle="1">
    <w:name w:val="Grid Table 7 Colorful - Accent 6"/>
    <w:basedOn w:val="756"/>
    <w:uiPriority w:val="99"/>
    <w:pPr>
      <w:spacing w:after="0" w:line="240" w:lineRule="auto"/>
    </w:pPr>
    <w:tblPr>
      <w:tblStyleRowBandSize w:val="1"/>
      <w:tblStyleColBandSize w:val="1"/>
      <w:tblInd w:w="0" w:type="dxa"/>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CellMar>
        <w:left w:w="108" w:type="dxa"/>
        <w:top w:w="0" w:type="dxa"/>
        <w:right w:w="108" w:type="dxa"/>
        <w:bottom w:w="0" w:type="dxa"/>
      </w:tblCellMar>
    </w:tblPr>
    <w:tblStylePr w:type="band1Horz">
      <w:rPr>
        <w:rFonts w:ascii="Arial" w:hAnsi="Arial"/>
        <w:color w:val="416429" w:themeColor="accent6" w:themeShade="95"/>
        <w:sz w:val="22"/>
      </w:rPr>
      <w:tcPr>
        <w:shd w:val="clear" w:color="e1efd8" w:themeColor="accent6" w:themeTint="34" w:fill="e1efd8" w:themeFill="accent6" w:themeFillTint="34"/>
      </w:tcPr>
    </w:tblStylePr>
    <w:tblStylePr w:type="band1Vert">
      <w:tcPr>
        <w:shd w:val="clear" w:color="e1efd8" w:themeColor="accent6" w:themeTint="34" w:fill="e1efd8" w:themeFill="accent6" w:themeFillTint="34"/>
      </w:tcPr>
    </w:tblStylePr>
    <w:tblStylePr w:type="band2Horz">
      <w:rPr>
        <w:rFonts w:ascii="Arial" w:hAnsi="Arial"/>
        <w:color w:val="416429" w:themeColor="accent6" w:themeShade="95"/>
        <w:sz w:val="22"/>
      </w:rPr>
    </w:tblStylePr>
    <w:tblStylePr w:type="firstCol">
      <w:rPr>
        <w:rFonts w:ascii="Arial" w:hAnsi="Arial"/>
        <w:i/>
        <w:color w:val="416429" w:themeColor="accent6" w:themeShade="95"/>
        <w:sz w:val="22"/>
      </w:rPr>
      <w:pPr>
        <w:jc w:val="right"/>
      </w:pPr>
      <w:tcPr>
        <w:shd w:val="clear" w:color="ffffff" w:fill="auto"/>
        <w:tcBorders>
          <w:top w:val="none" w:color="000000" w:sz="4" w:space="0"/>
          <w:left w:val="none" w:color="000000" w:sz="4" w:space="0"/>
          <w:bottom w:val="none" w:color="000000" w:sz="4" w:space="0"/>
          <w:right w:val="single" w:color="ADD394" w:themeColor="accent6" w:themeTint="90" w:sz="4" w:space="0"/>
        </w:tcBorders>
      </w:tcPr>
    </w:tblStylePr>
    <w:tblStylePr w:type="firstRow">
      <w:rPr>
        <w:rFonts w:ascii="Arial" w:hAnsi="Arial"/>
        <w:b/>
        <w:color w:val="416429" w:themeColor="accent6" w:themeShade="95"/>
        <w:sz w:val="22"/>
      </w:rPr>
      <w:tcPr>
        <w:shd w:val="clear" w:color="ffffff" w:themeColor="light1" w:fill="ffffff" w:themeFill="light1"/>
        <w:tcBorders>
          <w:top w:val="none" w:color="000000" w:sz="4" w:space="0"/>
          <w:left w:val="none" w:color="000000" w:sz="4" w:space="0"/>
          <w:bottom w:val="single" w:color="ADD394" w:themeColor="accent6" w:themeTint="90" w:sz="4" w:space="0"/>
          <w:right w:val="none" w:color="000000" w:sz="4" w:space="0"/>
        </w:tcBorders>
      </w:tcPr>
    </w:tblStylePr>
    <w:tblStylePr w:type="lastCol">
      <w:rPr>
        <w:rFonts w:ascii="Arial" w:hAnsi="Arial"/>
        <w:i/>
        <w:color w:val="416429" w:themeColor="accent6" w:themeShade="95"/>
        <w:sz w:val="22"/>
      </w:rPr>
      <w:tcPr>
        <w:shd w:val="clear" w:color="ffffff" w:fill="auto"/>
        <w:tcBorders>
          <w:top w:val="none" w:color="000000" w:sz="4" w:space="0"/>
          <w:left w:val="single" w:color="ADD394" w:themeColor="accent6" w:themeTint="90" w:sz="4" w:space="0"/>
          <w:bottom w:val="none" w:color="000000" w:sz="4" w:space="0"/>
          <w:right w:val="none" w:color="000000" w:sz="4" w:space="0"/>
        </w:tcBorders>
      </w:tcPr>
    </w:tblStylePr>
    <w:tblStylePr w:type="lastRow">
      <w:rPr>
        <w:rFonts w:ascii="Arial" w:hAnsi="Arial"/>
        <w:b/>
        <w:color w:val="416429" w:themeColor="accent6" w:themeShade="95"/>
        <w:sz w:val="22"/>
      </w:rPr>
      <w:tcPr>
        <w:shd w:val="clear" w:color="ffffff" w:themeColor="light1" w:fill="ffffff" w:themeFill="light1"/>
        <w:tcBorders>
          <w:top w:val="single" w:color="ADD394" w:themeColor="accent6" w:themeTint="90" w:sz="4" w:space="0"/>
          <w:left w:val="none" w:color="000000" w:sz="4" w:space="0"/>
          <w:bottom w:val="none" w:color="000000" w:sz="4" w:space="0"/>
          <w:right w:val="none" w:color="000000" w:sz="4" w:space="0"/>
        </w:tcBorders>
      </w:tcPr>
    </w:tblStylePr>
  </w:style>
  <w:style w:type="table" w:styleId="828" w:customStyle="1">
    <w:name w:val="List Table 1 Light"/>
    <w:basedOn w:val="756"/>
    <w:uiPriority w:val="99"/>
    <w:pPr>
      <w:spacing w:after="0" w:line="240" w:lineRule="auto"/>
    </w:pPr>
    <w:tblPr>
      <w:tblStyleRowBandSize w:val="1"/>
      <w:tblStyleColBandSize w:val="1"/>
      <w:tblInd w:w="0" w:type="dxa"/>
      <w:tblCellMar>
        <w:left w:w="108" w:type="dxa"/>
        <w:top w:w="0" w:type="dxa"/>
        <w:right w:w="108" w:type="dxa"/>
        <w:bottom w:w="0" w:type="dxa"/>
      </w:tblCellMar>
    </w:tblPr>
    <w:tblStylePr w:type="band1Horz">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29" w:customStyle="1">
    <w:name w:val="List Table 1 Light - Accent 1"/>
    <w:basedOn w:val="756"/>
    <w:uiPriority w:val="99"/>
    <w:pPr>
      <w:spacing w:after="0" w:line="240" w:lineRule="auto"/>
    </w:pPr>
    <w:tblPr>
      <w:tblStyleRowBandSize w:val="1"/>
      <w:tblStyleColBandSize w:val="1"/>
      <w:tblInd w:w="0" w:type="dxa"/>
      <w:tblCellMar>
        <w:left w:w="108" w:type="dxa"/>
        <w:top w:w="0" w:type="dxa"/>
        <w:right w:w="108" w:type="dxa"/>
        <w:bottom w:w="0" w:type="dxa"/>
      </w:tblCellMar>
    </w:tblPr>
    <w:tblStylePr w:type="band1Horz">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5B9BD5" w:themeColor="accent1" w:sz="4" w:space="0"/>
          <w:right w:val="none" w:color="000000" w:sz="4" w:space="0"/>
        </w:tcBorders>
      </w:tcPr>
    </w:tblStylePr>
    <w:tblStylePr w:type="lastCol">
      <w:rPr>
        <w:b/>
        <w:color w:val="404040"/>
      </w:rPr>
    </w:tblStylePr>
    <w:tblStylePr w:type="lastRow">
      <w:rPr>
        <w:b/>
        <w:color w:val="404040"/>
      </w:rPr>
      <w:tcPr>
        <w:tcBorders>
          <w:top w:val="single" w:color="5B9BD5" w:themeColor="accent1" w:sz="4" w:space="0"/>
          <w:left w:val="none" w:color="000000" w:sz="4" w:space="0"/>
          <w:bottom w:val="none" w:color="000000" w:sz="4" w:space="0"/>
          <w:right w:val="none" w:color="000000" w:sz="4" w:space="0"/>
        </w:tcBorders>
      </w:tcPr>
    </w:tblStylePr>
  </w:style>
  <w:style w:type="table" w:styleId="830" w:customStyle="1">
    <w:name w:val="List Table 1 Light - Accent 2"/>
    <w:basedOn w:val="756"/>
    <w:uiPriority w:val="99"/>
    <w:pPr>
      <w:spacing w:after="0" w:line="240" w:lineRule="auto"/>
    </w:pPr>
    <w:tblPr>
      <w:tblStyleRowBandSize w:val="1"/>
      <w:tblStyleColBandSize w:val="1"/>
      <w:tblInd w:w="0" w:type="dxa"/>
      <w:tblCellMar>
        <w:left w:w="108" w:type="dxa"/>
        <w:top w:w="0" w:type="dxa"/>
        <w:right w:w="108" w:type="dxa"/>
        <w:bottom w:w="0" w:type="dxa"/>
      </w:tblCellMar>
    </w:tblPr>
    <w:tblStylePr w:type="band1Horz">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ED7D31" w:themeColor="accent2" w:sz="4" w:space="0"/>
          <w:right w:val="none" w:color="000000" w:sz="4" w:space="0"/>
        </w:tcBorders>
      </w:tcPr>
    </w:tblStylePr>
    <w:tblStylePr w:type="lastCol">
      <w:rPr>
        <w:b/>
        <w:color w:val="404040"/>
      </w:rPr>
    </w:tblStylePr>
    <w:tblStylePr w:type="lastRow">
      <w:rPr>
        <w:b/>
        <w:color w:val="404040"/>
      </w:rPr>
      <w:tcPr>
        <w:tcBorders>
          <w:top w:val="single" w:color="ED7D31" w:themeColor="accent2" w:sz="4" w:space="0"/>
          <w:left w:val="none" w:color="000000" w:sz="4" w:space="0"/>
          <w:bottom w:val="none" w:color="000000" w:sz="4" w:space="0"/>
          <w:right w:val="none" w:color="000000" w:sz="4" w:space="0"/>
        </w:tcBorders>
      </w:tcPr>
    </w:tblStylePr>
  </w:style>
  <w:style w:type="table" w:styleId="831" w:customStyle="1">
    <w:name w:val="List Table 1 Light - Accent 3"/>
    <w:basedOn w:val="756"/>
    <w:uiPriority w:val="99"/>
    <w:pPr>
      <w:spacing w:after="0" w:line="240" w:lineRule="auto"/>
    </w:pPr>
    <w:tblPr>
      <w:tblStyleRowBandSize w:val="1"/>
      <w:tblStyleColBandSize w:val="1"/>
      <w:tblInd w:w="0" w:type="dxa"/>
      <w:tblCellMar>
        <w:left w:w="108" w:type="dxa"/>
        <w:top w:w="0" w:type="dxa"/>
        <w:right w:w="108" w:type="dxa"/>
        <w:bottom w:w="0" w:type="dxa"/>
      </w:tblCellMar>
    </w:tblPr>
    <w:tblStylePr w:type="band1Horz">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A5A5A5" w:themeColor="accent3" w:sz="4" w:space="0"/>
          <w:right w:val="none" w:color="000000" w:sz="4" w:space="0"/>
        </w:tcBorders>
      </w:tcPr>
    </w:tblStylePr>
    <w:tblStylePr w:type="lastCol">
      <w:rPr>
        <w:b/>
        <w:color w:val="404040"/>
      </w:rPr>
    </w:tblStylePr>
    <w:tblStylePr w:type="lastRow">
      <w:rPr>
        <w:b/>
        <w:color w:val="404040"/>
      </w:rPr>
      <w:tcPr>
        <w:tcBorders>
          <w:top w:val="single" w:color="A5A5A5" w:themeColor="accent3" w:sz="4" w:space="0"/>
          <w:left w:val="none" w:color="000000" w:sz="4" w:space="0"/>
          <w:bottom w:val="none" w:color="000000" w:sz="4" w:space="0"/>
          <w:right w:val="none" w:color="000000" w:sz="4" w:space="0"/>
        </w:tcBorders>
      </w:tcPr>
    </w:tblStylePr>
  </w:style>
  <w:style w:type="table" w:styleId="832" w:customStyle="1">
    <w:name w:val="List Table 1 Light - Accent 4"/>
    <w:basedOn w:val="756"/>
    <w:uiPriority w:val="99"/>
    <w:pPr>
      <w:spacing w:after="0" w:line="240" w:lineRule="auto"/>
    </w:pPr>
    <w:tblPr>
      <w:tblStyleRowBandSize w:val="1"/>
      <w:tblStyleColBandSize w:val="1"/>
      <w:tblInd w:w="0" w:type="dxa"/>
      <w:tblCellMar>
        <w:left w:w="108" w:type="dxa"/>
        <w:top w:w="0" w:type="dxa"/>
        <w:right w:w="108" w:type="dxa"/>
        <w:bottom w:w="0" w:type="dxa"/>
      </w:tblCellMar>
    </w:tblPr>
    <w:tblStylePr w:type="band1Horz">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FFC000" w:themeColor="accent4" w:sz="4" w:space="0"/>
          <w:right w:val="none" w:color="000000" w:sz="4" w:space="0"/>
        </w:tcBorders>
      </w:tcPr>
    </w:tblStylePr>
    <w:tblStylePr w:type="lastCol">
      <w:rPr>
        <w:b/>
        <w:color w:val="404040"/>
      </w:rPr>
    </w:tblStylePr>
    <w:tblStylePr w:type="lastRow">
      <w:rPr>
        <w:b/>
        <w:color w:val="404040"/>
      </w:rPr>
      <w:tcPr>
        <w:tcBorders>
          <w:top w:val="single" w:color="FFC000" w:themeColor="accent4" w:sz="4" w:space="0"/>
          <w:left w:val="none" w:color="000000" w:sz="4" w:space="0"/>
          <w:bottom w:val="none" w:color="000000" w:sz="4" w:space="0"/>
          <w:right w:val="none" w:color="000000" w:sz="4" w:space="0"/>
        </w:tcBorders>
      </w:tcPr>
    </w:tblStylePr>
  </w:style>
  <w:style w:type="table" w:styleId="833" w:customStyle="1">
    <w:name w:val="List Table 1 Light - Accent 5"/>
    <w:basedOn w:val="756"/>
    <w:uiPriority w:val="99"/>
    <w:pPr>
      <w:spacing w:after="0" w:line="240" w:lineRule="auto"/>
    </w:pPr>
    <w:tblPr>
      <w:tblStyleRowBandSize w:val="1"/>
      <w:tblStyleColBandSize w:val="1"/>
      <w:tblInd w:w="0" w:type="dxa"/>
      <w:tblCellMar>
        <w:left w:w="108" w:type="dxa"/>
        <w:top w:w="0" w:type="dxa"/>
        <w:right w:w="108" w:type="dxa"/>
        <w:bottom w:w="0" w:type="dxa"/>
      </w:tblCellMar>
    </w:tblPr>
    <w:tblStylePr w:type="band1Horz">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472C4" w:themeColor="accent5" w:sz="4" w:space="0"/>
          <w:right w:val="none" w:color="000000" w:sz="4" w:space="0"/>
        </w:tcBorders>
      </w:tcPr>
    </w:tblStylePr>
    <w:tblStylePr w:type="lastCol">
      <w:rPr>
        <w:b/>
        <w:color w:val="404040"/>
      </w:rPr>
    </w:tblStylePr>
    <w:tblStylePr w:type="lastRow">
      <w:rPr>
        <w:b/>
        <w:color w:val="404040"/>
      </w:rPr>
      <w:tcPr>
        <w:tcBorders>
          <w:top w:val="single" w:color="4472C4" w:themeColor="accent5" w:sz="4" w:space="0"/>
          <w:left w:val="none" w:color="000000" w:sz="4" w:space="0"/>
          <w:bottom w:val="none" w:color="000000" w:sz="4" w:space="0"/>
          <w:right w:val="none" w:color="000000" w:sz="4" w:space="0"/>
        </w:tcBorders>
      </w:tcPr>
    </w:tblStylePr>
  </w:style>
  <w:style w:type="table" w:styleId="834" w:customStyle="1">
    <w:name w:val="List Table 1 Light - Accent 6"/>
    <w:basedOn w:val="756"/>
    <w:uiPriority w:val="99"/>
    <w:pPr>
      <w:spacing w:after="0" w:line="240" w:lineRule="auto"/>
    </w:pPr>
    <w:tblPr>
      <w:tblStyleRowBandSize w:val="1"/>
      <w:tblStyleColBandSize w:val="1"/>
      <w:tblInd w:w="0" w:type="dxa"/>
      <w:tblCellMar>
        <w:left w:w="108" w:type="dxa"/>
        <w:top w:w="0" w:type="dxa"/>
        <w:right w:w="108" w:type="dxa"/>
        <w:bottom w:w="0" w:type="dxa"/>
      </w:tblCellMar>
    </w:tblPr>
    <w:tblStylePr w:type="band1Horz">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70AD47" w:themeColor="accent6" w:sz="4" w:space="0"/>
          <w:right w:val="none" w:color="000000" w:sz="4" w:space="0"/>
        </w:tcBorders>
      </w:tcPr>
    </w:tblStylePr>
    <w:tblStylePr w:type="lastCol">
      <w:rPr>
        <w:b/>
        <w:color w:val="404040"/>
      </w:rPr>
    </w:tblStylePr>
    <w:tblStylePr w:type="lastRow">
      <w:rPr>
        <w:b/>
        <w:color w:val="404040"/>
      </w:rPr>
      <w:tcPr>
        <w:tcBorders>
          <w:top w:val="single" w:color="70AD47" w:themeColor="accent6" w:sz="4" w:space="0"/>
          <w:left w:val="none" w:color="000000" w:sz="4" w:space="0"/>
          <w:bottom w:val="none" w:color="000000" w:sz="4" w:space="0"/>
          <w:right w:val="none" w:color="000000" w:sz="4" w:space="0"/>
        </w:tcBorders>
      </w:tcPr>
    </w:tblStylePr>
  </w:style>
  <w:style w:type="table" w:styleId="835" w:customStyle="1">
    <w:name w:val="List Table 2"/>
    <w:basedOn w:val="756"/>
    <w:uiPriority w:val="99"/>
    <w:pPr>
      <w:spacing w:after="0" w:line="240" w:lineRule="auto"/>
    </w:pPr>
    <w:tblPr>
      <w:tblStyleRowBandSize w:val="1"/>
      <w:tblStyleColBandSize w:val="1"/>
      <w:tblInd w:w="0" w:type="dxa"/>
      <w:tblBorders>
        <w:top w:val="single" w:color="6F6F6F" w:themeColor="text1" w:themeTint="90" w:sz="4" w:space="0"/>
        <w:bottom w:val="single" w:color="6F6F6F" w:themeColor="text1" w:themeTint="90" w:sz="4" w:space="0"/>
        <w:insideH w:val="single" w:color="6F6F6F" w:themeColor="text1" w:themeTint="90" w:sz="4" w:space="0"/>
      </w:tblBorders>
      <w:tblCellMar>
        <w:left w:w="108" w:type="dxa"/>
        <w:top w:w="0" w:type="dxa"/>
        <w:right w:w="108" w:type="dxa"/>
        <w:bottom w:w="0" w:type="dxa"/>
      </w:tblCellMar>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style>
  <w:style w:type="table" w:styleId="836" w:customStyle="1">
    <w:name w:val="List Table 2 - Accent 1"/>
    <w:basedOn w:val="756"/>
    <w:uiPriority w:val="99"/>
    <w:pPr>
      <w:spacing w:after="0" w:line="240" w:lineRule="auto"/>
    </w:pPr>
    <w:tblPr>
      <w:tblStyleRowBandSize w:val="1"/>
      <w:tblStyleColBandSize w:val="1"/>
      <w:tblInd w:w="0" w:type="dxa"/>
      <w:tblBorders>
        <w:top w:val="single" w:color="A2C6E7" w:themeColor="accent1" w:themeTint="90" w:sz="4" w:space="0"/>
        <w:bottom w:val="single" w:color="A2C6E7" w:themeColor="accent1" w:themeTint="90" w:sz="4" w:space="0"/>
        <w:insideH w:val="single" w:color="A2C6E7" w:themeColor="accent1" w:themeTint="90" w:sz="4" w:space="0"/>
      </w:tblBorders>
      <w:tblCellMar>
        <w:left w:w="108" w:type="dxa"/>
        <w:top w:w="0" w:type="dxa"/>
        <w:right w:w="108" w:type="dxa"/>
        <w:bottom w:w="0" w:type="dxa"/>
      </w:tblCellMar>
    </w:tblPr>
    <w:tblStylePr w:type="band1Horz">
      <w:rPr>
        <w:rFonts w:ascii="Arial" w:hAnsi="Arial"/>
        <w:color w:val="404040"/>
        <w:sz w:val="22"/>
      </w:rPr>
      <w:tcPr>
        <w:shd w:val="clear" w:color="d5e5f4" w:themeColor="accent1" w:themeTint="40" w:fill="d5e5f4" w:themeFill="accent1" w:themeFillTint="40"/>
      </w:tcPr>
    </w:tblStylePr>
    <w:tblStylePr w:type="band1Vert">
      <w:rPr>
        <w:rFonts w:ascii="Arial" w:hAnsi="Arial"/>
        <w:color w:val="404040"/>
        <w:sz w:val="22"/>
      </w:rPr>
      <w:tcPr>
        <w:shd w:val="clear" w:color="d5e5f4" w:themeColor="accent1" w:themeTint="40" w:fill="d5e5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style>
  <w:style w:type="table" w:styleId="837" w:customStyle="1">
    <w:name w:val="List Table 2 - Accent 2"/>
    <w:basedOn w:val="756"/>
    <w:uiPriority w:val="99"/>
    <w:pPr>
      <w:spacing w:after="0" w:line="240" w:lineRule="auto"/>
    </w:pPr>
    <w:tblPr>
      <w:tblStyleRowBandSize w:val="1"/>
      <w:tblStyleColBandSize w:val="1"/>
      <w:tblInd w:w="0" w:type="dxa"/>
      <w:tblBorders>
        <w:top w:val="single" w:color="F4B58A" w:themeColor="accent2" w:themeTint="90" w:sz="4" w:space="0"/>
        <w:bottom w:val="single" w:color="F4B58A" w:themeColor="accent2" w:themeTint="90" w:sz="4" w:space="0"/>
        <w:insideH w:val="single" w:color="F4B58A" w:themeColor="accent2" w:themeTint="90" w:sz="4" w:space="0"/>
      </w:tblBorders>
      <w:tblCellMar>
        <w:left w:w="108" w:type="dxa"/>
        <w:top w:w="0" w:type="dxa"/>
        <w:right w:w="108" w:type="dxa"/>
        <w:bottom w:w="0" w:type="dxa"/>
      </w:tblCellMar>
    </w:tblPr>
    <w:tblStylePr w:type="band1Horz">
      <w:rPr>
        <w:rFonts w:ascii="Arial" w:hAnsi="Arial"/>
        <w:color w:val="404040"/>
        <w:sz w:val="22"/>
      </w:rPr>
      <w:tcPr>
        <w:shd w:val="clear" w:color="fadecb" w:themeColor="accent2" w:themeTint="40" w:fill="fadecb" w:themeFill="accent2" w:themeFillTint="40"/>
      </w:tcPr>
    </w:tblStylePr>
    <w:tblStylePr w:type="band1Vert">
      <w:rPr>
        <w:rFonts w:ascii="Arial" w:hAnsi="Arial"/>
        <w:color w:val="404040"/>
        <w:sz w:val="22"/>
      </w:rPr>
      <w:tcPr>
        <w:shd w:val="clear" w:color="fadecb"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style>
  <w:style w:type="table" w:styleId="838" w:customStyle="1">
    <w:name w:val="List Table 2 - Accent 3"/>
    <w:basedOn w:val="756"/>
    <w:uiPriority w:val="99"/>
    <w:pPr>
      <w:spacing w:after="0" w:line="240" w:lineRule="auto"/>
    </w:pPr>
    <w:tblPr>
      <w:tblStyleRowBandSize w:val="1"/>
      <w:tblStyleColBandSize w:val="1"/>
      <w:tblInd w:w="0" w:type="dxa"/>
      <w:tblBorders>
        <w:top w:val="single" w:color="CCCCCC" w:themeColor="accent3" w:themeTint="90" w:sz="4" w:space="0"/>
        <w:bottom w:val="single" w:color="CCCCCC" w:themeColor="accent3" w:themeTint="90" w:sz="4" w:space="0"/>
        <w:insideH w:val="single" w:color="CCCCCC" w:themeColor="accent3" w:themeTint="90" w:sz="4" w:space="0"/>
      </w:tblBorders>
      <w:tblCellMar>
        <w:left w:w="108" w:type="dxa"/>
        <w:top w:w="0" w:type="dxa"/>
        <w:right w:w="108" w:type="dxa"/>
        <w:bottom w:w="0" w:type="dxa"/>
      </w:tblCellMar>
    </w:tblPr>
    <w:tblStylePr w:type="band1Horz">
      <w:rPr>
        <w:rFonts w:ascii="Arial" w:hAnsi="Arial"/>
        <w:color w:val="404040"/>
        <w:sz w:val="22"/>
      </w:rPr>
      <w:tcPr>
        <w:shd w:val="clear" w:color="e8e8e8" w:themeColor="accent3" w:themeTint="40" w:fill="e8e8e8" w:themeFill="accent3" w:themeFillTint="40"/>
      </w:tcPr>
    </w:tblStylePr>
    <w:tblStylePr w:type="band1Vert">
      <w:rPr>
        <w:rFonts w:ascii="Arial" w:hAnsi="Arial"/>
        <w:color w:val="404040"/>
        <w:sz w:val="22"/>
      </w:rPr>
      <w:tcPr>
        <w:shd w:val="clear" w:color="e8e8e8"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style>
  <w:style w:type="table" w:styleId="839" w:customStyle="1">
    <w:name w:val="List Table 2 - Accent 4"/>
    <w:basedOn w:val="756"/>
    <w:uiPriority w:val="99"/>
    <w:pPr>
      <w:spacing w:after="0" w:line="240" w:lineRule="auto"/>
    </w:pPr>
    <w:tblPr>
      <w:tblStyleRowBandSize w:val="1"/>
      <w:tblStyleColBandSize w:val="1"/>
      <w:tblInd w:w="0" w:type="dxa"/>
      <w:tblBorders>
        <w:top w:val="single" w:color="FFDB6F" w:themeColor="accent4" w:themeTint="90" w:sz="4" w:space="0"/>
        <w:bottom w:val="single" w:color="FFDB6F" w:themeColor="accent4" w:themeTint="90" w:sz="4" w:space="0"/>
        <w:insideH w:val="single" w:color="FFDB6F" w:themeColor="accent4" w:themeTint="90" w:sz="4" w:space="0"/>
      </w:tblBorders>
      <w:tblCellMar>
        <w:left w:w="108" w:type="dxa"/>
        <w:top w:w="0" w:type="dxa"/>
        <w:right w:w="108" w:type="dxa"/>
        <w:bottom w:w="0" w:type="dxa"/>
      </w:tblCellMar>
    </w:tblPr>
    <w:tblStylePr w:type="band1Horz">
      <w:rPr>
        <w:rFonts w:ascii="Arial" w:hAnsi="Arial"/>
        <w:color w:val="404040"/>
        <w:sz w:val="22"/>
      </w:rPr>
      <w:tcPr>
        <w:shd w:val="clear" w:color="ffefbf" w:themeColor="accent4" w:themeTint="40" w:fill="ffefbf" w:themeFill="accent4" w:themeFillTint="40"/>
      </w:tcPr>
    </w:tblStylePr>
    <w:tblStylePr w:type="band1Vert">
      <w:rPr>
        <w:rFonts w:ascii="Arial" w:hAnsi="Arial"/>
        <w:color w:val="404040"/>
        <w:sz w:val="22"/>
      </w:rPr>
      <w:tcPr>
        <w:shd w:val="clear" w:color="ffefb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style>
  <w:style w:type="table" w:styleId="840" w:customStyle="1">
    <w:name w:val="List Table 2 - Accent 5"/>
    <w:basedOn w:val="756"/>
    <w:uiPriority w:val="99"/>
    <w:pPr>
      <w:spacing w:after="0" w:line="240" w:lineRule="auto"/>
    </w:pPr>
    <w:tblPr>
      <w:tblStyleRowBandSize w:val="1"/>
      <w:tblStyleColBandSize w:val="1"/>
      <w:tblInd w:w="0" w:type="dxa"/>
      <w:tblBorders>
        <w:top w:val="single" w:color="95AFDD" w:themeColor="accent5" w:themeTint="90" w:sz="4" w:space="0"/>
        <w:bottom w:val="single" w:color="95AFDD" w:themeColor="accent5" w:themeTint="90" w:sz="4" w:space="0"/>
        <w:insideH w:val="single" w:color="95AFDD" w:themeColor="accent5" w:themeTint="90" w:sz="4" w:space="0"/>
      </w:tblBorders>
      <w:tblCellMar>
        <w:left w:w="108" w:type="dxa"/>
        <w:top w:w="0" w:type="dxa"/>
        <w:right w:w="108" w:type="dxa"/>
        <w:bottom w:w="0" w:type="dxa"/>
      </w:tblCellMar>
    </w:tblPr>
    <w:tblStylePr w:type="band1Horz">
      <w:rPr>
        <w:rFonts w:ascii="Arial" w:hAnsi="Arial"/>
        <w:color w:val="404040"/>
        <w:sz w:val="22"/>
      </w:rPr>
      <w:tcPr>
        <w:shd w:val="clear" w:color="cfdbf0" w:themeColor="accent5" w:themeTint="40" w:fill="cfdbf0" w:themeFill="accent5" w:themeFillTint="40"/>
      </w:tcPr>
    </w:tblStylePr>
    <w:tblStylePr w:type="band1Vert">
      <w:rPr>
        <w:rFonts w:ascii="Arial" w:hAnsi="Arial"/>
        <w:color w:val="404040"/>
        <w:sz w:val="22"/>
      </w:rPr>
      <w:tcPr>
        <w:shd w:val="clear" w:color="cfdbf0" w:themeColor="accent5" w:themeTint="40" w:fill="cfdb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style>
  <w:style w:type="table" w:styleId="841" w:customStyle="1">
    <w:name w:val="List Table 2 - Accent 6"/>
    <w:basedOn w:val="756"/>
    <w:uiPriority w:val="99"/>
    <w:pPr>
      <w:spacing w:after="0" w:line="240" w:lineRule="auto"/>
    </w:pPr>
    <w:tblPr>
      <w:tblStyleRowBandSize w:val="1"/>
      <w:tblStyleColBandSize w:val="1"/>
      <w:tblInd w:w="0" w:type="dxa"/>
      <w:tblBorders>
        <w:top w:val="single" w:color="ADD394" w:themeColor="accent6" w:themeTint="90" w:sz="4" w:space="0"/>
        <w:bottom w:val="single" w:color="ADD394" w:themeColor="accent6" w:themeTint="90" w:sz="4" w:space="0"/>
        <w:insideH w:val="single" w:color="ADD394" w:themeColor="accent6" w:themeTint="90" w:sz="4" w:space="0"/>
      </w:tblBorders>
      <w:tblCellMar>
        <w:left w:w="108" w:type="dxa"/>
        <w:top w:w="0" w:type="dxa"/>
        <w:right w:w="108" w:type="dxa"/>
        <w:bottom w:w="0" w:type="dxa"/>
      </w:tblCellMar>
    </w:tblPr>
    <w:tblStylePr w:type="band1Horz">
      <w:rPr>
        <w:rFonts w:ascii="Arial" w:hAnsi="Arial"/>
        <w:color w:val="404040"/>
        <w:sz w:val="22"/>
      </w:rPr>
      <w:tcPr>
        <w:shd w:val="clear" w:color="daebcf" w:themeColor="accent6" w:themeTint="40" w:fill="daebcf" w:themeFill="accent6" w:themeFillTint="40"/>
      </w:tcPr>
    </w:tblStylePr>
    <w:tblStylePr w:type="band1Vert">
      <w:rPr>
        <w:rFonts w:ascii="Arial" w:hAnsi="Arial"/>
        <w:color w:val="404040"/>
        <w:sz w:val="22"/>
      </w:rPr>
      <w:tcPr>
        <w:shd w:val="clear" w:color="daebcf" w:themeColor="accent6" w:themeTint="40" w:fill="daebc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style>
  <w:style w:type="table" w:styleId="842" w:customStyle="1">
    <w:name w:val="List Table 3"/>
    <w:basedOn w:val="756"/>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CellMar>
        <w:left w:w="108" w:type="dxa"/>
        <w:top w:w="0" w:type="dxa"/>
        <w:right w:w="108" w:type="dxa"/>
        <w:bottom w:w="0" w:type="dxa"/>
      </w:tblCellMar>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843" w:customStyle="1">
    <w:name w:val="List Table 3 - Accent 1"/>
    <w:basedOn w:val="756"/>
    <w:uiPriority w:val="99"/>
    <w:pPr>
      <w:spacing w:after="0" w:line="240" w:lineRule="auto"/>
    </w:pPr>
    <w:tblPr>
      <w:tblStyleRowBandSize w:val="1"/>
      <w:tblStyleColBandSize w:val="1"/>
      <w:tblInd w:w="0" w:type="dxa"/>
      <w:tblBorders>
        <w:top w:val="single" w:color="5B9BD5" w:themeColor="accent1" w:sz="4" w:space="0"/>
        <w:left w:val="single" w:color="5B9BD5" w:themeColor="accent1" w:sz="4" w:space="0"/>
        <w:bottom w:val="single" w:color="5B9BD5" w:themeColor="accent1" w:sz="4" w:space="0"/>
        <w:right w:val="single" w:color="5B9BD5" w:themeColor="accent1" w:sz="4" w:space="0"/>
      </w:tblBorders>
      <w:tblCellMar>
        <w:left w:w="108" w:type="dxa"/>
        <w:top w:w="0" w:type="dxa"/>
        <w:right w:w="108" w:type="dxa"/>
        <w:bottom w:w="0" w:type="dxa"/>
      </w:tblCellMar>
    </w:tblPr>
    <w:tblStylePr w:type="band1Horz">
      <w:rPr>
        <w:rFonts w:ascii="Arial" w:hAnsi="Arial"/>
        <w:color w:val="404040"/>
        <w:sz w:val="22"/>
      </w:rPr>
      <w:tcPr>
        <w:tcBorders>
          <w:top w:val="single" w:color="5B9BD5" w:themeColor="accent1" w:sz="4" w:space="0"/>
          <w:bottom w:val="single" w:color="5B9BD5" w:themeColor="accent1" w:sz="4" w:space="0"/>
        </w:tcBorders>
      </w:tcPr>
    </w:tblStylePr>
    <w:tblStylePr w:type="band1Vert">
      <w:rPr>
        <w:rFonts w:ascii="Arial" w:hAnsi="Arial"/>
        <w:color w:val="404040"/>
        <w:sz w:val="22"/>
      </w:rPr>
      <w:tcPr>
        <w:tcBorders>
          <w:left w:val="single" w:color="5B9BD5" w:themeColor="accent1" w:sz="4" w:space="0"/>
          <w:right w:val="single" w:color="5B9BD5" w:themeColor="accent1" w:sz="4" w:space="0"/>
        </w:tcBorders>
      </w:tcPr>
    </w:tblStylePr>
    <w:tblStylePr w:type="firstCol">
      <w:rPr>
        <w:b/>
        <w:color w:val="404040"/>
      </w:rPr>
    </w:tblStylePr>
    <w:tblStylePr w:type="firstRow">
      <w:rPr>
        <w:rFonts w:ascii="Arial" w:hAnsi="Arial"/>
        <w:b/>
        <w:color w:val="ffffff"/>
        <w:sz w:val="22"/>
      </w:rPr>
      <w:tcPr>
        <w:shd w:val="clear" w:color="5b9bd5" w:themeColor="accent1" w:fill="5b9bd5" w:themeFill="accent1"/>
      </w:tcPr>
    </w:tblStylePr>
    <w:tblStylePr w:type="lastCol">
      <w:rPr>
        <w:b/>
        <w:color w:val="404040"/>
      </w:rPr>
    </w:tblStylePr>
    <w:tblStylePr w:type="lastRow">
      <w:rPr>
        <w:b/>
        <w:color w:val="404040"/>
      </w:rPr>
    </w:tblStylePr>
  </w:style>
  <w:style w:type="table" w:styleId="844" w:customStyle="1">
    <w:name w:val="List Table 3 - Accent 2"/>
    <w:basedOn w:val="756"/>
    <w:uiPriority w:val="99"/>
    <w:pPr>
      <w:spacing w:after="0" w:line="240" w:lineRule="auto"/>
    </w:pPr>
    <w:tblPr>
      <w:tblStyleRowBandSize w:val="1"/>
      <w:tblStyleColBandSize w:val="1"/>
      <w:tblInd w:w="0" w:type="dxa"/>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CellMar>
        <w:left w:w="108" w:type="dxa"/>
        <w:top w:w="0" w:type="dxa"/>
        <w:right w:w="108" w:type="dxa"/>
        <w:bottom w:w="0" w:type="dxa"/>
      </w:tblCellMar>
    </w:tblPr>
    <w:tblStylePr w:type="band1Horz">
      <w:rPr>
        <w:rFonts w:ascii="Arial" w:hAnsi="Arial"/>
        <w:color w:val="404040"/>
        <w:sz w:val="22"/>
      </w:rPr>
      <w:tcPr>
        <w:tcBorders>
          <w:top w:val="single" w:color="F4B184" w:themeColor="accent2" w:themeTint="97" w:sz="4" w:space="0"/>
          <w:bottom w:val="single" w:color="F4B184" w:themeColor="accent2" w:themeTint="97" w:sz="4" w:space="0"/>
        </w:tcBorders>
      </w:tcPr>
    </w:tblStylePr>
    <w:tblStylePr w:type="band1Vert">
      <w:rPr>
        <w:rFonts w:ascii="Arial" w:hAnsi="Arial"/>
        <w:color w:val="404040"/>
        <w:sz w:val="22"/>
      </w:rPr>
      <w:tcPr>
        <w:tcBorders>
          <w:left w:val="single" w:color="F4B184" w:themeColor="accent2" w:themeTint="97" w:sz="4" w:space="0"/>
          <w:right w:val="single" w:color="F4B184" w:themeColor="accent2" w:themeTint="97" w:sz="4" w:space="0"/>
        </w:tcBorders>
      </w:tcPr>
    </w:tblStylePr>
    <w:tblStylePr w:type="firstCol">
      <w:rPr>
        <w:b/>
        <w:color w:val="404040"/>
      </w:rPr>
    </w:tblStylePr>
    <w:tblStylePr w:type="firstRow">
      <w:rPr>
        <w:rFonts w:ascii="Arial" w:hAnsi="Arial"/>
        <w:b/>
        <w:color w:val="ffffff"/>
        <w:sz w:val="22"/>
      </w:rPr>
      <w:tcPr>
        <w:shd w:val="clear" w:color="f4b184" w:themeColor="accent2" w:themeTint="97" w:fill="f4b184" w:themeFill="accent2" w:themeFillTint="97"/>
      </w:tcPr>
    </w:tblStylePr>
    <w:tblStylePr w:type="lastCol">
      <w:rPr>
        <w:b/>
        <w:color w:val="404040"/>
      </w:rPr>
    </w:tblStylePr>
    <w:tblStylePr w:type="lastRow">
      <w:rPr>
        <w:b/>
        <w:color w:val="404040"/>
      </w:rPr>
    </w:tblStylePr>
  </w:style>
  <w:style w:type="table" w:styleId="845" w:customStyle="1">
    <w:name w:val="List Table 3 - Accent 3"/>
    <w:basedOn w:val="756"/>
    <w:uiPriority w:val="99"/>
    <w:pPr>
      <w:spacing w:after="0" w:line="240" w:lineRule="auto"/>
    </w:pPr>
    <w:tblPr>
      <w:tblStyleRowBandSize w:val="1"/>
      <w:tblStyleColBandSize w:val="1"/>
      <w:tblInd w:w="0" w:type="dxa"/>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CellMar>
        <w:left w:w="108" w:type="dxa"/>
        <w:top w:w="0" w:type="dxa"/>
        <w:right w:w="108" w:type="dxa"/>
        <w:bottom w:w="0" w:type="dxa"/>
      </w:tblCellMar>
    </w:tblPr>
    <w:tblStylePr w:type="band1Horz">
      <w:rPr>
        <w:rFonts w:ascii="Arial" w:hAnsi="Arial"/>
        <w:color w:val="404040"/>
        <w:sz w:val="22"/>
      </w:rPr>
      <w:tcPr>
        <w:tcBorders>
          <w:top w:val="single" w:color="C9C9C9" w:themeColor="accent3" w:themeTint="98" w:sz="4" w:space="0"/>
          <w:bottom w:val="single" w:color="C9C9C9" w:themeColor="accent3" w:themeTint="98" w:sz="4" w:space="0"/>
        </w:tcBorders>
      </w:tcPr>
    </w:tblStylePr>
    <w:tblStylePr w:type="band1Vert">
      <w:rPr>
        <w:rFonts w:ascii="Arial" w:hAnsi="Arial"/>
        <w:color w:val="404040"/>
        <w:sz w:val="22"/>
      </w:rPr>
      <w:tcPr>
        <w:tcBorders>
          <w:left w:val="single" w:color="C9C9C9" w:themeColor="accent3" w:themeTint="98" w:sz="4" w:space="0"/>
          <w:right w:val="single" w:color="C9C9C9" w:themeColor="accent3" w:themeTint="98" w:sz="4" w:space="0"/>
        </w:tcBorders>
      </w:tcPr>
    </w:tblStylePr>
    <w:tblStylePr w:type="firstCol">
      <w:rPr>
        <w:b/>
        <w:color w:val="404040"/>
      </w:rPr>
    </w:tblStylePr>
    <w:tblStylePr w:type="firstRow">
      <w:rPr>
        <w:rFonts w:ascii="Arial" w:hAnsi="Arial"/>
        <w:b/>
        <w:color w:val="ffffff"/>
        <w:sz w:val="22"/>
      </w:rPr>
      <w:tcPr>
        <w:shd w:val="clear" w:color="c9c9c9" w:themeColor="accent3" w:themeTint="98" w:fill="c9c9c9" w:themeFill="accent3" w:themeFillTint="98"/>
      </w:tcPr>
    </w:tblStylePr>
    <w:tblStylePr w:type="lastCol">
      <w:rPr>
        <w:b/>
        <w:color w:val="404040"/>
      </w:rPr>
    </w:tblStylePr>
    <w:tblStylePr w:type="lastRow">
      <w:rPr>
        <w:b/>
        <w:color w:val="404040"/>
      </w:rPr>
    </w:tblStylePr>
  </w:style>
  <w:style w:type="table" w:styleId="846" w:customStyle="1">
    <w:name w:val="List Table 3 - Accent 4"/>
    <w:basedOn w:val="756"/>
    <w:uiPriority w:val="99"/>
    <w:pPr>
      <w:spacing w:after="0" w:line="240" w:lineRule="auto"/>
    </w:pPr>
    <w:tblPr>
      <w:tblStyleRowBandSize w:val="1"/>
      <w:tblStyleColBandSize w:val="1"/>
      <w:tblInd w:w="0" w:type="dxa"/>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CellMar>
        <w:left w:w="108" w:type="dxa"/>
        <w:top w:w="0" w:type="dxa"/>
        <w:right w:w="108" w:type="dxa"/>
        <w:bottom w:w="0" w:type="dxa"/>
      </w:tblCellMar>
    </w:tblPr>
    <w:tblStylePr w:type="band1Horz">
      <w:rPr>
        <w:rFonts w:ascii="Arial" w:hAnsi="Arial"/>
        <w:color w:val="404040"/>
        <w:sz w:val="22"/>
      </w:rPr>
      <w:tcPr>
        <w:tcBorders>
          <w:top w:val="single" w:color="FFD865" w:themeColor="accent4" w:themeTint="9A" w:sz="4" w:space="0"/>
          <w:bottom w:val="single" w:color="FFD865" w:themeColor="accent4" w:themeTint="9A" w:sz="4" w:space="0"/>
        </w:tcBorders>
      </w:tcPr>
    </w:tblStylePr>
    <w:tblStylePr w:type="band1Vert">
      <w:rPr>
        <w:rFonts w:ascii="Arial" w:hAnsi="Arial"/>
        <w:color w:val="404040"/>
        <w:sz w:val="22"/>
      </w:rPr>
      <w:tcPr>
        <w:tcBorders>
          <w:left w:val="single" w:color="FFD865" w:themeColor="accent4" w:themeTint="9A" w:sz="4" w:space="0"/>
          <w:right w:val="single" w:color="FFD865" w:themeColor="accent4" w:themeTint="9A" w:sz="4" w:space="0"/>
        </w:tcBorders>
      </w:tcPr>
    </w:tblStylePr>
    <w:tblStylePr w:type="firstCol">
      <w:rPr>
        <w:b/>
        <w:color w:val="404040"/>
      </w:rPr>
    </w:tblStylePr>
    <w:tblStylePr w:type="firstRow">
      <w:rPr>
        <w:rFonts w:ascii="Arial" w:hAnsi="Arial"/>
        <w:b/>
        <w:color w:val="ffffff"/>
        <w:sz w:val="22"/>
      </w:rPr>
      <w:tcPr>
        <w:shd w:val="clear" w:color="ffd865" w:themeColor="accent4" w:themeTint="9A" w:fill="ffd865" w:themeFill="accent4" w:themeFillTint="9A"/>
      </w:tcPr>
    </w:tblStylePr>
    <w:tblStylePr w:type="lastCol">
      <w:rPr>
        <w:b/>
        <w:color w:val="404040"/>
      </w:rPr>
    </w:tblStylePr>
    <w:tblStylePr w:type="lastRow">
      <w:rPr>
        <w:b/>
        <w:color w:val="404040"/>
      </w:rPr>
    </w:tblStylePr>
  </w:style>
  <w:style w:type="table" w:styleId="847" w:customStyle="1">
    <w:name w:val="List Table 3 - Accent 5"/>
    <w:basedOn w:val="756"/>
    <w:uiPriority w:val="99"/>
    <w:pPr>
      <w:spacing w:after="0" w:line="240" w:lineRule="auto"/>
    </w:pPr>
    <w:tblPr>
      <w:tblStyleRowBandSize w:val="1"/>
      <w:tblStyleColBandSize w:val="1"/>
      <w:tblInd w:w="0" w:type="dxa"/>
      <w:tblBorders>
        <w:top w:val="single" w:color="8DA9DB" w:themeColor="accent5" w:themeTint="9A" w:sz="4" w:space="0"/>
        <w:left w:val="single" w:color="8DA9DB" w:themeColor="accent5" w:themeTint="9A" w:sz="4" w:space="0"/>
        <w:bottom w:val="single" w:color="8DA9DB" w:themeColor="accent5" w:themeTint="9A" w:sz="4" w:space="0"/>
        <w:right w:val="single" w:color="8DA9DB" w:themeColor="accent5" w:themeTint="9A" w:sz="4" w:space="0"/>
      </w:tblBorders>
      <w:tblCellMar>
        <w:left w:w="108" w:type="dxa"/>
        <w:top w:w="0" w:type="dxa"/>
        <w:right w:w="108" w:type="dxa"/>
        <w:bottom w:w="0" w:type="dxa"/>
      </w:tblCellMar>
    </w:tblPr>
    <w:tblStylePr w:type="band1Horz">
      <w:rPr>
        <w:rFonts w:ascii="Arial" w:hAnsi="Arial"/>
        <w:color w:val="404040"/>
        <w:sz w:val="22"/>
      </w:rPr>
      <w:tcPr>
        <w:tcBorders>
          <w:top w:val="single" w:color="8DA9DB" w:themeColor="accent5" w:themeTint="9A" w:sz="4" w:space="0"/>
          <w:bottom w:val="single" w:color="8DA9DB" w:themeColor="accent5" w:themeTint="9A" w:sz="4" w:space="0"/>
        </w:tcBorders>
      </w:tcPr>
    </w:tblStylePr>
    <w:tblStylePr w:type="band1Vert">
      <w:rPr>
        <w:rFonts w:ascii="Arial" w:hAnsi="Arial"/>
        <w:color w:val="404040"/>
        <w:sz w:val="22"/>
      </w:rPr>
      <w:tcPr>
        <w:tcBorders>
          <w:left w:val="single" w:color="8DA9DB" w:themeColor="accent5" w:themeTint="9A" w:sz="4" w:space="0"/>
          <w:right w:val="single" w:color="8DA9DB" w:themeColor="accent5" w:themeTint="9A" w:sz="4" w:space="0"/>
        </w:tcBorders>
      </w:tcPr>
    </w:tblStylePr>
    <w:tblStylePr w:type="firstCol">
      <w:rPr>
        <w:b/>
        <w:color w:val="404040"/>
      </w:rPr>
    </w:tblStylePr>
    <w:tblStylePr w:type="firstRow">
      <w:rPr>
        <w:rFonts w:ascii="Arial" w:hAnsi="Arial"/>
        <w:b/>
        <w:color w:val="ffffff"/>
        <w:sz w:val="22"/>
      </w:rPr>
      <w:tcPr>
        <w:shd w:val="clear" w:color="8da9db" w:themeColor="accent5" w:themeTint="9A" w:fill="8da9db" w:themeFill="accent5" w:themeFillTint="9A"/>
      </w:tcPr>
    </w:tblStylePr>
    <w:tblStylePr w:type="lastCol">
      <w:rPr>
        <w:b/>
        <w:color w:val="404040"/>
      </w:rPr>
    </w:tblStylePr>
    <w:tblStylePr w:type="lastRow">
      <w:rPr>
        <w:b/>
        <w:color w:val="404040"/>
      </w:rPr>
    </w:tblStylePr>
  </w:style>
  <w:style w:type="table" w:styleId="848" w:customStyle="1">
    <w:name w:val="List Table 3 - Accent 6"/>
    <w:basedOn w:val="756"/>
    <w:uiPriority w:val="99"/>
    <w:pPr>
      <w:spacing w:after="0" w:line="240" w:lineRule="auto"/>
    </w:pPr>
    <w:tblPr>
      <w:tblStyleRowBandSize w:val="1"/>
      <w:tblStyleColBandSize w:val="1"/>
      <w:tblInd w:w="0" w:type="dxa"/>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CellMar>
        <w:left w:w="108" w:type="dxa"/>
        <w:top w:w="0" w:type="dxa"/>
        <w:right w:w="108" w:type="dxa"/>
        <w:bottom w:w="0" w:type="dxa"/>
      </w:tblCellMar>
    </w:tblPr>
    <w:tblStylePr w:type="band1Horz">
      <w:rPr>
        <w:rFonts w:ascii="Arial" w:hAnsi="Arial"/>
        <w:color w:val="404040"/>
        <w:sz w:val="22"/>
      </w:rPr>
      <w:tcPr>
        <w:tcBorders>
          <w:top w:val="single" w:color="A9D08E" w:themeColor="accent6" w:themeTint="98" w:sz="4" w:space="0"/>
          <w:bottom w:val="single" w:color="A9D08E" w:themeColor="accent6" w:themeTint="98" w:sz="4" w:space="0"/>
        </w:tcBorders>
      </w:tcPr>
    </w:tblStylePr>
    <w:tblStylePr w:type="band1Vert">
      <w:rPr>
        <w:rFonts w:ascii="Arial" w:hAnsi="Arial"/>
        <w:color w:val="404040"/>
        <w:sz w:val="22"/>
      </w:rPr>
      <w:tcPr>
        <w:tcBorders>
          <w:left w:val="single" w:color="A9D08E" w:themeColor="accent6" w:themeTint="98" w:sz="4" w:space="0"/>
          <w:right w:val="single" w:color="A9D08E" w:themeColor="accent6" w:themeTint="98" w:sz="4" w:space="0"/>
        </w:tcBorders>
      </w:tcPr>
    </w:tblStylePr>
    <w:tblStylePr w:type="firstCol">
      <w:rPr>
        <w:b/>
        <w:color w:val="404040"/>
      </w:rPr>
    </w:tblStylePr>
    <w:tblStylePr w:type="firstRow">
      <w:rPr>
        <w:rFonts w:ascii="Arial" w:hAnsi="Arial"/>
        <w:b/>
        <w:color w:val="ffffff"/>
        <w:sz w:val="22"/>
      </w:rPr>
      <w:tcPr>
        <w:shd w:val="clear" w:color="a9d08e" w:themeColor="accent6" w:themeTint="98" w:fill="a9d08e" w:themeFill="accent6" w:themeFillTint="98"/>
      </w:tcPr>
    </w:tblStylePr>
    <w:tblStylePr w:type="lastCol">
      <w:rPr>
        <w:b/>
        <w:color w:val="404040"/>
      </w:rPr>
    </w:tblStylePr>
    <w:tblStylePr w:type="lastRow">
      <w:rPr>
        <w:b/>
        <w:color w:val="404040"/>
      </w:rPr>
    </w:tblStylePr>
  </w:style>
  <w:style w:type="table" w:styleId="849" w:customStyle="1">
    <w:name w:val="List Table 4"/>
    <w:basedOn w:val="756"/>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CellMar>
        <w:left w:w="108" w:type="dxa"/>
        <w:top w:w="0" w:type="dxa"/>
        <w:right w:w="108" w:type="dxa"/>
        <w:bottom w:w="0" w:type="dxa"/>
      </w:tblCellMar>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850" w:customStyle="1">
    <w:name w:val="List Table 4 - Accent 1"/>
    <w:basedOn w:val="756"/>
    <w:uiPriority w:val="99"/>
    <w:pPr>
      <w:spacing w:after="0" w:line="240" w:lineRule="auto"/>
    </w:pPr>
    <w:tblPr>
      <w:tblStyleRowBandSize w:val="1"/>
      <w:tblStyleColBandSize w:val="1"/>
      <w:tblInd w:w="0" w:type="dxa"/>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CellMar>
        <w:left w:w="108" w:type="dxa"/>
        <w:top w:w="0" w:type="dxa"/>
        <w:right w:w="108" w:type="dxa"/>
        <w:bottom w:w="0" w:type="dxa"/>
      </w:tblCellMar>
    </w:tblPr>
    <w:tblStylePr w:type="band1Horz">
      <w:rPr>
        <w:rFonts w:ascii="Arial" w:hAnsi="Arial"/>
        <w:color w:val="404040"/>
        <w:sz w:val="22"/>
      </w:rPr>
      <w:tcPr>
        <w:shd w:val="clear" w:color="d5e5f4" w:themeColor="accent1" w:themeTint="40" w:fill="d5e5f4" w:themeFill="accent1" w:themeFillTint="40"/>
      </w:tcPr>
    </w:tblStylePr>
    <w:tblStylePr w:type="band1Vert">
      <w:rPr>
        <w:rFonts w:ascii="Arial" w:hAnsi="Arial"/>
        <w:color w:val="404040"/>
        <w:sz w:val="22"/>
      </w:rPr>
      <w:tcPr>
        <w:shd w:val="clear" w:color="d5e5f4" w:themeColor="accent1" w:themeTint="40" w:fill="d5e5f4" w:themeFill="accent1" w:themeFillTint="40"/>
      </w:tcPr>
    </w:tblStylePr>
    <w:tblStylePr w:type="firstCol">
      <w:rPr>
        <w:b/>
        <w:color w:val="404040"/>
      </w:rPr>
    </w:tblStylePr>
    <w:tblStylePr w:type="firstRow">
      <w:rPr>
        <w:rFonts w:ascii="Arial" w:hAnsi="Arial"/>
        <w:b/>
        <w:color w:val="ffffff"/>
        <w:sz w:val="22"/>
      </w:rPr>
      <w:tcPr>
        <w:shd w:val="clear" w:color="5b9bd5" w:themeColor="accent1" w:fill="5b9bd5" w:themeFill="accent1"/>
      </w:tcPr>
    </w:tblStylePr>
    <w:tblStylePr w:type="lastCol">
      <w:rPr>
        <w:b/>
        <w:color w:val="404040"/>
      </w:rPr>
    </w:tblStylePr>
    <w:tblStylePr w:type="lastRow">
      <w:rPr>
        <w:b/>
        <w:color w:val="404040"/>
      </w:rPr>
    </w:tblStylePr>
  </w:style>
  <w:style w:type="table" w:styleId="851" w:customStyle="1">
    <w:name w:val="List Table 4 - Accent 2"/>
    <w:basedOn w:val="756"/>
    <w:uiPriority w:val="99"/>
    <w:pPr>
      <w:spacing w:after="0" w:line="240" w:lineRule="auto"/>
    </w:pPr>
    <w:tblPr>
      <w:tblStyleRowBandSize w:val="1"/>
      <w:tblStyleColBandSize w:val="1"/>
      <w:tblInd w:w="0" w:type="dxa"/>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CellMar>
        <w:left w:w="108" w:type="dxa"/>
        <w:top w:w="0" w:type="dxa"/>
        <w:right w:w="108" w:type="dxa"/>
        <w:bottom w:w="0" w:type="dxa"/>
      </w:tblCellMar>
    </w:tblPr>
    <w:tblStylePr w:type="band1Horz">
      <w:rPr>
        <w:rFonts w:ascii="Arial" w:hAnsi="Arial"/>
        <w:color w:val="404040"/>
        <w:sz w:val="22"/>
      </w:rPr>
      <w:tcPr>
        <w:shd w:val="clear" w:color="fadecb" w:themeColor="accent2" w:themeTint="40" w:fill="fadecb" w:themeFill="accent2" w:themeFillTint="40"/>
      </w:tcPr>
    </w:tblStylePr>
    <w:tblStylePr w:type="band1Vert">
      <w:rPr>
        <w:rFonts w:ascii="Arial" w:hAnsi="Arial"/>
        <w:color w:val="404040"/>
        <w:sz w:val="22"/>
      </w:rPr>
      <w:tcPr>
        <w:shd w:val="clear" w:color="fadecb"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ed7d31" w:themeColor="accent2" w:fill="ed7d31" w:themeFill="accent2"/>
      </w:tcPr>
    </w:tblStylePr>
    <w:tblStylePr w:type="lastCol">
      <w:rPr>
        <w:b/>
        <w:color w:val="404040"/>
      </w:rPr>
    </w:tblStylePr>
    <w:tblStylePr w:type="lastRow">
      <w:rPr>
        <w:b/>
        <w:color w:val="404040"/>
      </w:rPr>
    </w:tblStylePr>
  </w:style>
  <w:style w:type="table" w:styleId="852" w:customStyle="1">
    <w:name w:val="List Table 4 - Accent 3"/>
    <w:basedOn w:val="756"/>
    <w:uiPriority w:val="99"/>
    <w:pPr>
      <w:spacing w:after="0" w:line="240" w:lineRule="auto"/>
    </w:pPr>
    <w:tblPr>
      <w:tblStyleRowBandSize w:val="1"/>
      <w:tblStyleColBandSize w:val="1"/>
      <w:tblInd w:w="0" w:type="dxa"/>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CellMar>
        <w:left w:w="108" w:type="dxa"/>
        <w:top w:w="0" w:type="dxa"/>
        <w:right w:w="108" w:type="dxa"/>
        <w:bottom w:w="0" w:type="dxa"/>
      </w:tblCellMar>
    </w:tblPr>
    <w:tblStylePr w:type="band1Horz">
      <w:rPr>
        <w:rFonts w:ascii="Arial" w:hAnsi="Arial"/>
        <w:color w:val="404040"/>
        <w:sz w:val="22"/>
      </w:rPr>
      <w:tcPr>
        <w:shd w:val="clear" w:color="e8e8e8" w:themeColor="accent3" w:themeTint="40" w:fill="e8e8e8" w:themeFill="accent3" w:themeFillTint="40"/>
      </w:tcPr>
    </w:tblStylePr>
    <w:tblStylePr w:type="band1Vert">
      <w:rPr>
        <w:rFonts w:ascii="Arial" w:hAnsi="Arial"/>
        <w:color w:val="404040"/>
        <w:sz w:val="22"/>
      </w:rPr>
      <w:tcPr>
        <w:shd w:val="clear" w:color="e8e8e8"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a5a5a5" w:themeColor="accent3" w:fill="a5a5a5" w:themeFill="accent3"/>
      </w:tcPr>
    </w:tblStylePr>
    <w:tblStylePr w:type="lastCol">
      <w:rPr>
        <w:b/>
        <w:color w:val="404040"/>
      </w:rPr>
    </w:tblStylePr>
    <w:tblStylePr w:type="lastRow">
      <w:rPr>
        <w:b/>
        <w:color w:val="404040"/>
      </w:rPr>
    </w:tblStylePr>
  </w:style>
  <w:style w:type="table" w:styleId="853" w:customStyle="1">
    <w:name w:val="List Table 4 - Accent 4"/>
    <w:basedOn w:val="756"/>
    <w:uiPriority w:val="99"/>
    <w:pPr>
      <w:spacing w:after="0" w:line="240" w:lineRule="auto"/>
    </w:pPr>
    <w:tblPr>
      <w:tblStyleRowBandSize w:val="1"/>
      <w:tblStyleColBandSize w:val="1"/>
      <w:tblInd w:w="0" w:type="dxa"/>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CellMar>
        <w:left w:w="108" w:type="dxa"/>
        <w:top w:w="0" w:type="dxa"/>
        <w:right w:w="108" w:type="dxa"/>
        <w:bottom w:w="0" w:type="dxa"/>
      </w:tblCellMar>
    </w:tblPr>
    <w:tblStylePr w:type="band1Horz">
      <w:rPr>
        <w:rFonts w:ascii="Arial" w:hAnsi="Arial"/>
        <w:color w:val="404040"/>
        <w:sz w:val="22"/>
      </w:rPr>
      <w:tcPr>
        <w:shd w:val="clear" w:color="ffefbf" w:themeColor="accent4" w:themeTint="40" w:fill="ffefbf" w:themeFill="accent4" w:themeFillTint="40"/>
      </w:tcPr>
    </w:tblStylePr>
    <w:tblStylePr w:type="band1Vert">
      <w:rPr>
        <w:rFonts w:ascii="Arial" w:hAnsi="Arial"/>
        <w:color w:val="404040"/>
        <w:sz w:val="22"/>
      </w:rPr>
      <w:tcPr>
        <w:shd w:val="clear" w:color="ffefb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c000" w:themeColor="accent4" w:fill="ffc000" w:themeFill="accent4"/>
      </w:tcPr>
    </w:tblStylePr>
    <w:tblStylePr w:type="lastCol">
      <w:rPr>
        <w:b/>
        <w:color w:val="404040"/>
      </w:rPr>
    </w:tblStylePr>
    <w:tblStylePr w:type="lastRow">
      <w:rPr>
        <w:b/>
        <w:color w:val="404040"/>
      </w:rPr>
    </w:tblStylePr>
  </w:style>
  <w:style w:type="table" w:styleId="854" w:customStyle="1">
    <w:name w:val="List Table 4 - Accent 5"/>
    <w:basedOn w:val="756"/>
    <w:uiPriority w:val="99"/>
    <w:pPr>
      <w:spacing w:after="0" w:line="240" w:lineRule="auto"/>
    </w:pPr>
    <w:tblPr>
      <w:tblStyleRowBandSize w:val="1"/>
      <w:tblStyleColBandSize w:val="1"/>
      <w:tblInd w:w="0" w:type="dxa"/>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CellMar>
        <w:left w:w="108" w:type="dxa"/>
        <w:top w:w="0" w:type="dxa"/>
        <w:right w:w="108" w:type="dxa"/>
        <w:bottom w:w="0" w:type="dxa"/>
      </w:tblCellMar>
    </w:tblPr>
    <w:tblStylePr w:type="band1Horz">
      <w:rPr>
        <w:rFonts w:ascii="Arial" w:hAnsi="Arial"/>
        <w:color w:val="404040"/>
        <w:sz w:val="22"/>
      </w:rPr>
      <w:tcPr>
        <w:shd w:val="clear" w:color="cfdbf0" w:themeColor="accent5" w:themeTint="40" w:fill="cfdbf0" w:themeFill="accent5" w:themeFillTint="40"/>
      </w:tcPr>
    </w:tblStylePr>
    <w:tblStylePr w:type="band1Vert">
      <w:rPr>
        <w:rFonts w:ascii="Arial" w:hAnsi="Arial"/>
        <w:color w:val="404040"/>
        <w:sz w:val="22"/>
      </w:rPr>
      <w:tcPr>
        <w:shd w:val="clear" w:color="cfdbf0" w:themeColor="accent5" w:themeTint="40" w:fill="cfdbf0" w:themeFill="accent5" w:themeFillTint="40"/>
      </w:tcPr>
    </w:tblStylePr>
    <w:tblStylePr w:type="firstCol">
      <w:rPr>
        <w:b/>
        <w:color w:val="404040"/>
      </w:rPr>
    </w:tblStylePr>
    <w:tblStylePr w:type="firstRow">
      <w:rPr>
        <w:rFonts w:ascii="Arial" w:hAnsi="Arial"/>
        <w:b/>
        <w:color w:val="ffffff"/>
        <w:sz w:val="22"/>
      </w:rPr>
      <w:tcPr>
        <w:shd w:val="clear" w:color="4472c4" w:themeColor="accent5" w:fill="4472c4" w:themeFill="accent5"/>
      </w:tcPr>
    </w:tblStylePr>
    <w:tblStylePr w:type="lastCol">
      <w:rPr>
        <w:b/>
        <w:color w:val="404040"/>
      </w:rPr>
    </w:tblStylePr>
    <w:tblStylePr w:type="lastRow">
      <w:rPr>
        <w:b/>
        <w:color w:val="404040"/>
      </w:rPr>
    </w:tblStylePr>
  </w:style>
  <w:style w:type="table" w:styleId="855" w:customStyle="1">
    <w:name w:val="List Table 4 - Accent 6"/>
    <w:basedOn w:val="756"/>
    <w:uiPriority w:val="99"/>
    <w:pPr>
      <w:spacing w:after="0" w:line="240" w:lineRule="auto"/>
    </w:pPr>
    <w:tblPr>
      <w:tblStyleRowBandSize w:val="1"/>
      <w:tblStyleColBandSize w:val="1"/>
      <w:tblInd w:w="0" w:type="dxa"/>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CellMar>
        <w:left w:w="108" w:type="dxa"/>
        <w:top w:w="0" w:type="dxa"/>
        <w:right w:w="108" w:type="dxa"/>
        <w:bottom w:w="0" w:type="dxa"/>
      </w:tblCellMar>
    </w:tblPr>
    <w:tblStylePr w:type="band1Horz">
      <w:rPr>
        <w:rFonts w:ascii="Arial" w:hAnsi="Arial"/>
        <w:color w:val="404040"/>
        <w:sz w:val="22"/>
      </w:rPr>
      <w:tcPr>
        <w:shd w:val="clear" w:color="daebcf" w:themeColor="accent6" w:themeTint="40" w:fill="daebcf" w:themeFill="accent6" w:themeFillTint="40"/>
      </w:tcPr>
    </w:tblStylePr>
    <w:tblStylePr w:type="band1Vert">
      <w:rPr>
        <w:rFonts w:ascii="Arial" w:hAnsi="Arial"/>
        <w:color w:val="404040"/>
        <w:sz w:val="22"/>
      </w:rPr>
      <w:tcPr>
        <w:shd w:val="clear" w:color="daebcf" w:themeColor="accent6" w:themeTint="40" w:fill="daebcf" w:themeFill="accent6" w:themeFillTint="40"/>
      </w:tcPr>
    </w:tblStylePr>
    <w:tblStylePr w:type="firstCol">
      <w:rPr>
        <w:b/>
        <w:color w:val="404040"/>
      </w:rPr>
    </w:tblStylePr>
    <w:tblStylePr w:type="firstRow">
      <w:rPr>
        <w:rFonts w:ascii="Arial" w:hAnsi="Arial"/>
        <w:b/>
        <w:color w:val="ffffff"/>
        <w:sz w:val="22"/>
      </w:rPr>
      <w:tcPr>
        <w:shd w:val="clear" w:color="70ad47" w:themeColor="accent6" w:fill="70ad47" w:themeFill="accent6"/>
      </w:tcPr>
    </w:tblStylePr>
    <w:tblStylePr w:type="lastCol">
      <w:rPr>
        <w:b/>
        <w:color w:val="404040"/>
      </w:rPr>
    </w:tblStylePr>
    <w:tblStylePr w:type="lastRow">
      <w:rPr>
        <w:b/>
        <w:color w:val="404040"/>
      </w:rPr>
    </w:tblStylePr>
  </w:style>
  <w:style w:type="table" w:styleId="856" w:customStyle="1">
    <w:name w:val="List Table 5 Dark"/>
    <w:basedOn w:val="756"/>
    <w:uiPriority w:val="99"/>
    <w:pPr>
      <w:spacing w:after="0" w:line="240" w:lineRule="auto"/>
    </w:pPr>
    <w:tblPr>
      <w:tblStyleRowBandSize w:val="1"/>
      <w:tblStyleColBandSize w:val="1"/>
      <w:tblInd w:w="0" w:type="dxa"/>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CellMar>
        <w:left w:w="108" w:type="dxa"/>
        <w:top w:w="0" w:type="dxa"/>
        <w:right w:w="108" w:type="dxa"/>
        <w:bottom w:w="0" w:type="dxa"/>
      </w:tblCellMar>
    </w:tblPr>
    <w:tblStylePr w:type="band1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tblStylePr>
  </w:style>
  <w:style w:type="table" w:styleId="857" w:customStyle="1">
    <w:name w:val="List Table 5 Dark - Accent 1"/>
    <w:basedOn w:val="756"/>
    <w:uiPriority w:val="99"/>
    <w:pPr>
      <w:spacing w:after="0" w:line="240" w:lineRule="auto"/>
    </w:pPr>
    <w:tblPr>
      <w:tblStyleRowBandSize w:val="1"/>
      <w:tblStyleColBandSize w:val="1"/>
      <w:tblInd w:w="0" w:type="dxa"/>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shd w:val="clear" w:color="5b9bd5" w:themeColor="accent1" w:fill="5b9bd5" w:themeFill="accent1"/>
      <w:tblCellMar>
        <w:left w:w="108" w:type="dxa"/>
        <w:top w:w="0" w:type="dxa"/>
        <w:right w:w="108" w:type="dxa"/>
        <w:bottom w:w="0" w:type="dxa"/>
      </w:tblCellMar>
    </w:tblPr>
    <w:tblStylePr w:type="band1Horz">
      <w:tcPr>
        <w:shd w:val="clear" w:color="5b9bd5" w:themeColor="accent1" w:fill="5b9bd5" w:themeFill="accent1"/>
        <w:tcBorders>
          <w:top w:val="single" w:color="FFFFFF" w:themeColor="light1" w:sz="4" w:space="0"/>
          <w:bottom w:val="single" w:color="FFFFFF" w:themeColor="light1" w:sz="4" w:space="0"/>
        </w:tcBorders>
      </w:tcPr>
    </w:tblStylePr>
    <w:tblStylePr w:type="band1Vert">
      <w:tcPr>
        <w:shd w:val="clear" w:color="5b9bd5" w:themeColor="accent1" w:fill="5b9bd5" w:themeFill="accent1"/>
        <w:tcBorders>
          <w:left w:val="single" w:color="FFFFFF" w:themeColor="light1" w:sz="4" w:space="0"/>
          <w:right w:val="single" w:color="FFFFFF" w:themeColor="light1" w:sz="4" w:space="0"/>
        </w:tcBorders>
      </w:tcPr>
    </w:tblStylePr>
    <w:tblStylePr w:type="band2Horz">
      <w:tcPr>
        <w:shd w:val="clear" w:color="5b9bd5" w:themeColor="accent1" w:fill="5b9bd5"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5B9BD5" w:themeColor="accent1" w:sz="32" w:space="0"/>
          <w:right w:val="single" w:color="FFFFFF" w:themeColor="light1" w:sz="4" w:space="0"/>
        </w:tcBorders>
      </w:tcPr>
    </w:tblStylePr>
    <w:tblStylePr w:type="firstRow">
      <w:rPr>
        <w:rFonts w:ascii="Arial" w:hAnsi="Arial"/>
        <w:b/>
        <w:color w:val="ffffff" w:themeColor="light1"/>
        <w:sz w:val="22"/>
      </w:rPr>
      <w:tcPr>
        <w:shd w:val="clear" w:color="5b9bd5" w:themeColor="accent1" w:fill="5b9bd5" w:themeFill="accent1"/>
        <w:tcBorders>
          <w:top w:val="single" w:color="5B9BD5" w:themeColor="accent1" w:sz="32" w:space="0"/>
          <w:bottom w:val="single" w:color="FFFFFF" w:themeColor="light1" w:sz="12" w:space="0"/>
        </w:tcBorders>
      </w:tcPr>
    </w:tblStylePr>
    <w:tblStylePr w:type="lastCol">
      <w:tcPr>
        <w:tcBorders>
          <w:left w:val="single" w:color="FFFFFF" w:themeColor="light1" w:sz="4" w:space="0"/>
          <w:right w:val="single" w:color="5B9BD5" w:themeColor="accent1" w:sz="32" w:space="0"/>
        </w:tcBorders>
      </w:tcPr>
    </w:tblStylePr>
    <w:tblStylePr w:type="lastRow">
      <w:rPr>
        <w:rFonts w:ascii="Arial" w:hAnsi="Arial"/>
        <w:b/>
        <w:color w:val="ffffff" w:themeColor="light1"/>
        <w:sz w:val="22"/>
      </w:rPr>
    </w:tblStylePr>
  </w:style>
  <w:style w:type="table" w:styleId="858" w:customStyle="1">
    <w:name w:val="List Table 5 Dark - Accent 2"/>
    <w:basedOn w:val="756"/>
    <w:uiPriority w:val="99"/>
    <w:pPr>
      <w:spacing w:after="0" w:line="240" w:lineRule="auto"/>
    </w:pPr>
    <w:tblPr>
      <w:tblStyleRowBandSize w:val="1"/>
      <w:tblStyleColBandSize w:val="1"/>
      <w:tblInd w:w="0" w:type="dxa"/>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shd w:val="clear" w:color="f4b184" w:themeColor="accent2" w:themeTint="97" w:fill="f4b184" w:themeFill="accent2" w:themeFillTint="97"/>
      <w:tblCellMar>
        <w:left w:w="108" w:type="dxa"/>
        <w:top w:w="0" w:type="dxa"/>
        <w:right w:w="108" w:type="dxa"/>
        <w:bottom w:w="0" w:type="dxa"/>
      </w:tblCellMar>
    </w:tblPr>
    <w:tblStylePr w:type="band1Horz">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1Vert">
      <w:tcPr>
        <w:shd w:val="clear" w:color="f4b184" w:themeColor="accent2" w:themeTint="97" w:fill="f4b184" w:themeFill="accent2" w:themeFillTint="97"/>
        <w:tcBorders>
          <w:left w:val="single" w:color="FFFFFF" w:themeColor="light1" w:sz="4" w:space="0"/>
          <w:right w:val="single" w:color="FFFFFF" w:themeColor="light1" w:sz="4" w:space="0"/>
        </w:tcBorders>
      </w:tcPr>
    </w:tblStylePr>
    <w:tblStylePr w:type="band2Horz">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4B184" w:themeColor="accent2" w:themeTint="97" w:sz="32" w:space="0"/>
          <w:right w:val="single" w:color="FFFFFF" w:themeColor="light1" w:sz="4" w:space="0"/>
        </w:tcBorders>
      </w:tcPr>
    </w:tblStylePr>
    <w:tblStylePr w:type="firstRow">
      <w:rPr>
        <w:rFonts w:ascii="Arial" w:hAnsi="Arial"/>
        <w:b/>
        <w:color w:val="ffffff" w:themeColor="light1"/>
        <w:sz w:val="22"/>
      </w:rPr>
      <w:tcPr>
        <w:shd w:val="clear" w:color="f4b184" w:themeColor="accent2" w:themeTint="97" w:fill="f4b184" w:themeFill="accent2" w:themeFillTint="97"/>
        <w:tcBorders>
          <w:top w:val="single" w:color="F4B184" w:themeColor="accent2" w:themeTint="97" w:sz="32" w:space="0"/>
          <w:bottom w:val="single" w:color="FFFFFF" w:themeColor="light1" w:sz="12" w:space="0"/>
        </w:tcBorders>
      </w:tcPr>
    </w:tblStylePr>
    <w:tblStylePr w:type="lastCol">
      <w:tcPr>
        <w:tcBorders>
          <w:left w:val="single" w:color="FFFFFF" w:themeColor="light1" w:sz="4" w:space="0"/>
          <w:right w:val="single" w:color="F4B184" w:themeColor="accent2" w:themeTint="97" w:sz="32" w:space="0"/>
        </w:tcBorders>
      </w:tcPr>
    </w:tblStylePr>
    <w:tblStylePr w:type="lastRow">
      <w:rPr>
        <w:rFonts w:ascii="Arial" w:hAnsi="Arial"/>
        <w:b/>
        <w:color w:val="ffffff" w:themeColor="light1"/>
        <w:sz w:val="22"/>
      </w:rPr>
    </w:tblStylePr>
  </w:style>
  <w:style w:type="table" w:styleId="859" w:customStyle="1">
    <w:name w:val="List Table 5 Dark - Accent 3"/>
    <w:basedOn w:val="756"/>
    <w:uiPriority w:val="99"/>
    <w:pPr>
      <w:spacing w:after="0" w:line="240" w:lineRule="auto"/>
    </w:pPr>
    <w:tblPr>
      <w:tblStyleRowBandSize w:val="1"/>
      <w:tblStyleColBandSize w:val="1"/>
      <w:tblInd w:w="0" w:type="dxa"/>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shd w:val="clear" w:color="c9c9c9" w:themeColor="accent3" w:themeTint="98" w:fill="c9c9c9" w:themeFill="accent3" w:themeFillTint="98"/>
      <w:tblCellMar>
        <w:left w:w="108" w:type="dxa"/>
        <w:top w:w="0" w:type="dxa"/>
        <w:right w:w="108" w:type="dxa"/>
        <w:bottom w:w="0" w:type="dxa"/>
      </w:tblCellMar>
    </w:tblPr>
    <w:tblStylePr w:type="band1Horz">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1Vert">
      <w:tcPr>
        <w:shd w:val="clear" w:color="c9c9c9" w:themeColor="accent3" w:themeTint="98" w:fill="c9c9c9" w:themeFill="accent3" w:themeFillTint="98"/>
        <w:tcBorders>
          <w:left w:val="single" w:color="FFFFFF" w:themeColor="light1" w:sz="4" w:space="0"/>
          <w:right w:val="single" w:color="FFFFFF" w:themeColor="light1" w:sz="4" w:space="0"/>
        </w:tcBorders>
      </w:tcPr>
    </w:tblStylePr>
    <w:tblStylePr w:type="band2Horz">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C9C9C9" w:themeColor="accent3" w:themeTint="98" w:sz="32" w:space="0"/>
          <w:right w:val="single" w:color="FFFFFF" w:themeColor="light1" w:sz="4" w:space="0"/>
        </w:tcBorders>
      </w:tcPr>
    </w:tblStylePr>
    <w:tblStylePr w:type="firstRow">
      <w:rPr>
        <w:rFonts w:ascii="Arial" w:hAnsi="Arial"/>
        <w:b/>
        <w:color w:val="ffffff" w:themeColor="light1"/>
        <w:sz w:val="22"/>
      </w:rPr>
      <w:tcPr>
        <w:shd w:val="clear" w:color="c9c9c9" w:themeColor="accent3" w:themeTint="98" w:fill="c9c9c9" w:themeFill="accent3" w:themeFillTint="98"/>
        <w:tcBorders>
          <w:top w:val="single" w:color="C9C9C9" w:themeColor="accent3" w:themeTint="98" w:sz="32" w:space="0"/>
          <w:bottom w:val="single" w:color="FFFFFF" w:themeColor="light1" w:sz="12" w:space="0"/>
        </w:tcBorders>
      </w:tcPr>
    </w:tblStylePr>
    <w:tblStylePr w:type="lastCol">
      <w:tcPr>
        <w:tcBorders>
          <w:left w:val="single" w:color="FFFFFF" w:themeColor="light1" w:sz="4" w:space="0"/>
          <w:right w:val="single" w:color="C9C9C9" w:themeColor="accent3" w:themeTint="98" w:sz="32" w:space="0"/>
        </w:tcBorders>
      </w:tcPr>
    </w:tblStylePr>
    <w:tblStylePr w:type="lastRow">
      <w:rPr>
        <w:rFonts w:ascii="Arial" w:hAnsi="Arial"/>
        <w:b/>
        <w:color w:val="ffffff" w:themeColor="light1"/>
        <w:sz w:val="22"/>
      </w:rPr>
    </w:tblStylePr>
  </w:style>
  <w:style w:type="table" w:styleId="860" w:customStyle="1">
    <w:name w:val="List Table 5 Dark - Accent 4"/>
    <w:basedOn w:val="756"/>
    <w:uiPriority w:val="99"/>
    <w:pPr>
      <w:spacing w:after="0" w:line="240" w:lineRule="auto"/>
    </w:pPr>
    <w:tblPr>
      <w:tblStyleRowBandSize w:val="1"/>
      <w:tblStyleColBandSize w:val="1"/>
      <w:tblInd w:w="0" w:type="dxa"/>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shd w:val="clear" w:color="ffd865" w:themeColor="accent4" w:themeTint="9A" w:fill="ffd865" w:themeFill="accent4" w:themeFillTint="9A"/>
      <w:tblCellMar>
        <w:left w:w="108" w:type="dxa"/>
        <w:top w:w="0" w:type="dxa"/>
        <w:right w:w="108" w:type="dxa"/>
        <w:bottom w:w="0" w:type="dxa"/>
      </w:tblCellMar>
    </w:tblPr>
    <w:tblStylePr w:type="band1Horz">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1Vert">
      <w:tcPr>
        <w:shd w:val="clear" w:color="ffd865" w:themeColor="accent4" w:themeTint="9A" w:fill="ffd865" w:themeFill="accent4" w:themeFillTint="9A"/>
        <w:tcBorders>
          <w:left w:val="single" w:color="FFFFFF" w:themeColor="light1" w:sz="4" w:space="0"/>
          <w:right w:val="single" w:color="FFFFFF" w:themeColor="light1" w:sz="4" w:space="0"/>
        </w:tcBorders>
      </w:tcPr>
    </w:tblStylePr>
    <w:tblStylePr w:type="band2Horz">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FD865" w:themeColor="accent4" w:themeTint="9A" w:sz="32" w:space="0"/>
          <w:right w:val="single" w:color="FFFFFF" w:themeColor="light1" w:sz="4" w:space="0"/>
        </w:tcBorders>
      </w:tcPr>
    </w:tblStylePr>
    <w:tblStylePr w:type="firstRow">
      <w:rPr>
        <w:rFonts w:ascii="Arial" w:hAnsi="Arial"/>
        <w:b/>
        <w:color w:val="ffffff" w:themeColor="light1"/>
        <w:sz w:val="22"/>
      </w:rPr>
      <w:tcPr>
        <w:shd w:val="clear" w:color="ffd865" w:themeColor="accent4" w:themeTint="9A" w:fill="ffd865" w:themeFill="accent4" w:themeFillTint="9A"/>
        <w:tcBorders>
          <w:top w:val="single" w:color="FFD865" w:themeColor="accent4" w:themeTint="9A" w:sz="32" w:space="0"/>
          <w:bottom w:val="single" w:color="FFFFFF" w:themeColor="light1" w:sz="12" w:space="0"/>
        </w:tcBorders>
      </w:tcPr>
    </w:tblStylePr>
    <w:tblStylePr w:type="lastCol">
      <w:tcPr>
        <w:tcBorders>
          <w:left w:val="single" w:color="FFFFFF" w:themeColor="light1" w:sz="4" w:space="0"/>
          <w:right w:val="single" w:color="FFD865" w:themeColor="accent4" w:themeTint="9A" w:sz="32" w:space="0"/>
        </w:tcBorders>
      </w:tcPr>
    </w:tblStylePr>
    <w:tblStylePr w:type="lastRow">
      <w:rPr>
        <w:rFonts w:ascii="Arial" w:hAnsi="Arial"/>
        <w:b/>
        <w:color w:val="ffffff" w:themeColor="light1"/>
        <w:sz w:val="22"/>
      </w:rPr>
    </w:tblStylePr>
  </w:style>
  <w:style w:type="table" w:styleId="861" w:customStyle="1">
    <w:name w:val="List Table 5 Dark - Accent 5"/>
    <w:basedOn w:val="756"/>
    <w:uiPriority w:val="99"/>
    <w:pPr>
      <w:spacing w:after="0" w:line="240" w:lineRule="auto"/>
    </w:pPr>
    <w:tblPr>
      <w:tblStyleRowBandSize w:val="1"/>
      <w:tblStyleColBandSize w:val="1"/>
      <w:tblInd w:w="0" w:type="dxa"/>
      <w:tblBorders>
        <w:top w:val="single" w:color="8DA9DB" w:themeColor="accent5" w:themeTint="9A" w:sz="32" w:space="0"/>
        <w:left w:val="single" w:color="8DA9DB" w:themeColor="accent5" w:themeTint="9A" w:sz="32" w:space="0"/>
        <w:bottom w:val="single" w:color="8DA9DB" w:themeColor="accent5" w:themeTint="9A" w:sz="32" w:space="0"/>
        <w:right w:val="single" w:color="8DA9DB" w:themeColor="accent5" w:themeTint="9A" w:sz="32" w:space="0"/>
      </w:tblBorders>
      <w:shd w:val="clear" w:color="8da9db" w:themeColor="accent5" w:themeTint="9A" w:fill="8da9db" w:themeFill="accent5" w:themeFillTint="9A"/>
      <w:tblCellMar>
        <w:left w:w="108" w:type="dxa"/>
        <w:top w:w="0" w:type="dxa"/>
        <w:right w:w="108" w:type="dxa"/>
        <w:bottom w:w="0" w:type="dxa"/>
      </w:tblCellMar>
    </w:tblPr>
    <w:tblStylePr w:type="band1Horz">
      <w:tcPr>
        <w:shd w:val="clear" w:color="8da9db" w:themeColor="accent5" w:themeTint="9A" w:fill="8da9db" w:themeFill="accent5" w:themeFillTint="9A"/>
        <w:tcBorders>
          <w:top w:val="single" w:color="FFFFFF" w:themeColor="light1" w:sz="4" w:space="0"/>
          <w:bottom w:val="single" w:color="FFFFFF" w:themeColor="light1" w:sz="4" w:space="0"/>
        </w:tcBorders>
      </w:tcPr>
    </w:tblStylePr>
    <w:tblStylePr w:type="band1Vert">
      <w:tcPr>
        <w:shd w:val="clear" w:color="8da9db" w:themeColor="accent5" w:themeTint="9A" w:fill="8da9db" w:themeFill="accent5" w:themeFillTint="9A"/>
        <w:tcBorders>
          <w:left w:val="single" w:color="FFFFFF" w:themeColor="light1" w:sz="4" w:space="0"/>
          <w:right w:val="single" w:color="FFFFFF" w:themeColor="light1" w:sz="4" w:space="0"/>
        </w:tcBorders>
      </w:tcPr>
    </w:tblStylePr>
    <w:tblStylePr w:type="band2Horz">
      <w:tcPr>
        <w:shd w:val="clear" w:color="8da9db" w:themeColor="accent5" w:themeTint="9A" w:fill="8da9db"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8DA9DB" w:themeColor="accent5" w:themeTint="9A" w:sz="32" w:space="0"/>
          <w:right w:val="single" w:color="FFFFFF" w:themeColor="light1" w:sz="4" w:space="0"/>
        </w:tcBorders>
      </w:tcPr>
    </w:tblStylePr>
    <w:tblStylePr w:type="firstRow">
      <w:rPr>
        <w:rFonts w:ascii="Arial" w:hAnsi="Arial"/>
        <w:b/>
        <w:color w:val="ffffff" w:themeColor="light1"/>
        <w:sz w:val="22"/>
      </w:rPr>
      <w:tcPr>
        <w:shd w:val="clear" w:color="8da9db" w:themeColor="accent5" w:themeTint="9A" w:fill="8da9db" w:themeFill="accent5" w:themeFillTint="9A"/>
        <w:tcBorders>
          <w:top w:val="single" w:color="8DA9DB" w:themeColor="accent5" w:themeTint="9A" w:sz="32" w:space="0"/>
          <w:bottom w:val="single" w:color="FFFFFF" w:themeColor="light1" w:sz="12" w:space="0"/>
        </w:tcBorders>
      </w:tcPr>
    </w:tblStylePr>
    <w:tblStylePr w:type="lastCol">
      <w:tcPr>
        <w:tcBorders>
          <w:left w:val="single" w:color="FFFFFF" w:themeColor="light1" w:sz="4" w:space="0"/>
          <w:right w:val="single" w:color="8DA9DB" w:themeColor="accent5" w:themeTint="9A" w:sz="32" w:space="0"/>
        </w:tcBorders>
      </w:tcPr>
    </w:tblStylePr>
    <w:tblStylePr w:type="lastRow">
      <w:rPr>
        <w:rFonts w:ascii="Arial" w:hAnsi="Arial"/>
        <w:b/>
        <w:color w:val="ffffff" w:themeColor="light1"/>
        <w:sz w:val="22"/>
      </w:rPr>
    </w:tblStylePr>
  </w:style>
  <w:style w:type="table" w:styleId="862" w:customStyle="1">
    <w:name w:val="List Table 5 Dark - Accent 6"/>
    <w:basedOn w:val="756"/>
    <w:uiPriority w:val="99"/>
    <w:pPr>
      <w:spacing w:after="0" w:line="240" w:lineRule="auto"/>
    </w:pPr>
    <w:tblPr>
      <w:tblStyleRowBandSize w:val="1"/>
      <w:tblStyleColBandSize w:val="1"/>
      <w:tblInd w:w="0" w:type="dxa"/>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shd w:val="clear" w:color="a9d08e" w:themeColor="accent6" w:themeTint="98" w:fill="a9d08e" w:themeFill="accent6" w:themeFillTint="98"/>
      <w:tblCellMar>
        <w:left w:w="108" w:type="dxa"/>
        <w:top w:w="0" w:type="dxa"/>
        <w:right w:w="108" w:type="dxa"/>
        <w:bottom w:w="0" w:type="dxa"/>
      </w:tblCellMar>
    </w:tblPr>
    <w:tblStylePr w:type="band1Horz">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1Vert">
      <w:tcPr>
        <w:shd w:val="clear" w:color="a9d08e" w:themeColor="accent6" w:themeTint="98" w:fill="a9d08e" w:themeFill="accent6" w:themeFillTint="98"/>
        <w:tcBorders>
          <w:left w:val="single" w:color="FFFFFF" w:themeColor="light1" w:sz="4" w:space="0"/>
          <w:right w:val="single" w:color="FFFFFF" w:themeColor="light1" w:sz="4" w:space="0"/>
        </w:tcBorders>
      </w:tcPr>
    </w:tblStylePr>
    <w:tblStylePr w:type="band2Horz">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A9D08E" w:themeColor="accent6" w:themeTint="98" w:sz="32" w:space="0"/>
          <w:right w:val="single" w:color="FFFFFF" w:themeColor="light1" w:sz="4" w:space="0"/>
        </w:tcBorders>
      </w:tcPr>
    </w:tblStylePr>
    <w:tblStylePr w:type="firstRow">
      <w:rPr>
        <w:rFonts w:ascii="Arial" w:hAnsi="Arial"/>
        <w:b/>
        <w:color w:val="ffffff" w:themeColor="light1"/>
        <w:sz w:val="22"/>
      </w:rPr>
      <w:tcPr>
        <w:shd w:val="clear" w:color="a9d08e" w:themeColor="accent6" w:themeTint="98" w:fill="a9d08e" w:themeFill="accent6" w:themeFillTint="98"/>
        <w:tcBorders>
          <w:top w:val="single" w:color="A9D08E" w:themeColor="accent6" w:themeTint="98" w:sz="32" w:space="0"/>
          <w:bottom w:val="single" w:color="FFFFFF" w:themeColor="light1" w:sz="12" w:space="0"/>
        </w:tcBorders>
      </w:tcPr>
    </w:tblStylePr>
    <w:tblStylePr w:type="lastCol">
      <w:tcPr>
        <w:tcBorders>
          <w:left w:val="single" w:color="FFFFFF" w:themeColor="light1" w:sz="4" w:space="0"/>
          <w:right w:val="single" w:color="A9D08E" w:themeColor="accent6" w:themeTint="98" w:sz="32" w:space="0"/>
        </w:tcBorders>
      </w:tcPr>
    </w:tblStylePr>
    <w:tblStylePr w:type="lastRow">
      <w:rPr>
        <w:rFonts w:ascii="Arial" w:hAnsi="Arial"/>
        <w:b/>
        <w:color w:val="ffffff" w:themeColor="light1"/>
        <w:sz w:val="22"/>
      </w:rPr>
    </w:tblStylePr>
  </w:style>
  <w:style w:type="table" w:styleId="863" w:customStyle="1">
    <w:name w:val="List Table 6 Colorful"/>
    <w:basedOn w:val="756"/>
    <w:uiPriority w:val="99"/>
    <w:pPr>
      <w:spacing w:after="0" w:line="240" w:lineRule="auto"/>
    </w:pPr>
    <w:tblPr>
      <w:tblStyleRowBandSize w:val="1"/>
      <w:tblStyleColBandSize w:val="1"/>
      <w:tblInd w:w="0" w:type="dxa"/>
      <w:tblBorders>
        <w:top w:val="single" w:color="7F7F7F" w:themeColor="text1" w:themeTint="80" w:sz="4" w:space="0"/>
        <w:bottom w:val="single" w:color="7F7F7F" w:themeColor="text1" w:themeTint="80" w:sz="4" w:space="0"/>
      </w:tblBorders>
      <w:tblCellMar>
        <w:left w:w="108" w:type="dxa"/>
        <w:top w:w="0" w:type="dxa"/>
        <w:right w:w="108" w:type="dxa"/>
        <w:bottom w:w="0" w:type="dxa"/>
      </w:tblCellMar>
    </w:tblPr>
    <w:tblStylePr w:type="band1Horz">
      <w:rPr>
        <w:rFonts w:ascii="Arial" w:hAnsi="Arial"/>
        <w:color w:val="000000" w:themeColor="text1"/>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themeColor="text1" w:themeTint="80" w:sz="4" w:space="0"/>
        </w:tcBorders>
      </w:tcPr>
    </w:tblStylePr>
    <w:tblStylePr w:type="lastCol">
      <w:rPr>
        <w:b/>
        <w:color w:val="000000" w:themeColor="text1"/>
      </w:rPr>
    </w:tblStylePr>
    <w:tblStylePr w:type="lastRow">
      <w:rPr>
        <w:b/>
        <w:color w:val="000000" w:themeColor="text1"/>
      </w:rPr>
      <w:tcPr>
        <w:tcBorders>
          <w:top w:val="single" w:color="7F7F7F" w:themeColor="text1" w:themeTint="80" w:sz="4" w:space="0"/>
        </w:tcBorders>
      </w:tcPr>
    </w:tblStylePr>
  </w:style>
  <w:style w:type="table" w:styleId="864" w:customStyle="1">
    <w:name w:val="List Table 6 Colorful - Accent 1"/>
    <w:basedOn w:val="756"/>
    <w:uiPriority w:val="99"/>
    <w:pPr>
      <w:spacing w:after="0" w:line="240" w:lineRule="auto"/>
    </w:pPr>
    <w:tblPr>
      <w:tblStyleRowBandSize w:val="1"/>
      <w:tblStyleColBandSize w:val="1"/>
      <w:tblInd w:w="0" w:type="dxa"/>
      <w:tblBorders>
        <w:top w:val="single" w:color="5B9BD5" w:themeColor="accent1" w:sz="4" w:space="0"/>
        <w:bottom w:val="single" w:color="5B9BD5" w:themeColor="accent1" w:sz="4" w:space="0"/>
      </w:tblBorders>
      <w:tblCellMar>
        <w:left w:w="108" w:type="dxa"/>
        <w:top w:w="0" w:type="dxa"/>
        <w:right w:w="108" w:type="dxa"/>
        <w:bottom w:w="0" w:type="dxa"/>
      </w:tblCellMar>
    </w:tblPr>
    <w:tblStylePr w:type="band1Horz">
      <w:rPr>
        <w:rFonts w:ascii="Arial" w:hAnsi="Arial"/>
        <w:color w:val="245a8d" w:themeColor="accent1" w:themeShade="95"/>
        <w:sz w:val="22"/>
      </w:rPr>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band2Horz">
      <w:rPr>
        <w:rFonts w:ascii="Arial" w:hAnsi="Arial"/>
        <w:color w:val="245a8d" w:themeColor="accent1" w:themeShade="95"/>
        <w:sz w:val="22"/>
      </w:rPr>
    </w:tblStylePr>
    <w:tblStylePr w:type="firstCol">
      <w:rPr>
        <w:b/>
        <w:color w:val="245a8d" w:themeColor="accent1" w:themeShade="95"/>
      </w:rPr>
    </w:tblStylePr>
    <w:tblStylePr w:type="firstRow">
      <w:rPr>
        <w:b/>
        <w:color w:val="245a8d" w:themeColor="accent1" w:themeShade="95"/>
      </w:rPr>
      <w:tcPr>
        <w:tcBorders>
          <w:bottom w:val="single" w:color="5B9BD5" w:themeColor="accent1" w:sz="4" w:space="0"/>
        </w:tcBorders>
      </w:tcPr>
    </w:tblStylePr>
    <w:tblStylePr w:type="lastCol">
      <w:rPr>
        <w:b/>
        <w:color w:val="245a8d" w:themeColor="accent1" w:themeShade="95"/>
      </w:rPr>
    </w:tblStylePr>
    <w:tblStylePr w:type="lastRow">
      <w:rPr>
        <w:b/>
        <w:color w:val="245a8d" w:themeColor="accent1" w:themeShade="95"/>
      </w:rPr>
      <w:tcPr>
        <w:tcBorders>
          <w:top w:val="single" w:color="5B9BD5" w:themeColor="accent1" w:sz="4" w:space="0"/>
        </w:tcBorders>
      </w:tcPr>
    </w:tblStylePr>
  </w:style>
  <w:style w:type="table" w:styleId="865" w:customStyle="1">
    <w:name w:val="List Table 6 Colorful - Accent 2"/>
    <w:basedOn w:val="756"/>
    <w:uiPriority w:val="99"/>
    <w:pPr>
      <w:spacing w:after="0" w:line="240" w:lineRule="auto"/>
    </w:pPr>
    <w:tblPr>
      <w:tblStyleRowBandSize w:val="1"/>
      <w:tblStyleColBandSize w:val="1"/>
      <w:tblInd w:w="0" w:type="dxa"/>
      <w:tblBorders>
        <w:top w:val="single" w:color="F4B184" w:themeColor="accent2" w:themeTint="97" w:sz="4" w:space="0"/>
        <w:bottom w:val="single" w:color="F4B184" w:themeColor="accent2" w:themeTint="97" w:sz="4" w:space="0"/>
      </w:tblBorders>
      <w:tblCellMar>
        <w:left w:w="108" w:type="dxa"/>
        <w:top w:w="0" w:type="dxa"/>
        <w:right w:w="108" w:type="dxa"/>
        <w:bottom w:w="0" w:type="dxa"/>
      </w:tblCellMar>
    </w:tblPr>
    <w:tblStylePr w:type="band1Horz">
      <w:rPr>
        <w:rFonts w:ascii="Arial" w:hAnsi="Arial"/>
        <w:color w:val="f4b184" w:themeColor="accent2" w:themeTint="97" w:themeShade="95"/>
        <w:sz w:val="22"/>
      </w:rPr>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F4B184" w:themeColor="accent2" w:themeTint="97" w:sz="4" w:space="0"/>
        </w:tcBorders>
      </w:tcPr>
    </w:tblStylePr>
    <w:tblStylePr w:type="lastCol">
      <w:rPr>
        <w:b/>
        <w:color w:val="f4b184" w:themeColor="accent2" w:themeTint="97" w:themeShade="95"/>
      </w:rPr>
    </w:tblStylePr>
    <w:tblStylePr w:type="lastRow">
      <w:rPr>
        <w:b/>
        <w:color w:val="f4b184" w:themeColor="accent2" w:themeTint="97" w:themeShade="95"/>
      </w:rPr>
      <w:tcPr>
        <w:tcBorders>
          <w:top w:val="single" w:color="F4B184" w:themeColor="accent2" w:themeTint="97" w:sz="4" w:space="0"/>
        </w:tcBorders>
      </w:tcPr>
    </w:tblStylePr>
  </w:style>
  <w:style w:type="table" w:styleId="866" w:customStyle="1">
    <w:name w:val="List Table 6 Colorful - Accent 3"/>
    <w:basedOn w:val="756"/>
    <w:uiPriority w:val="99"/>
    <w:pPr>
      <w:spacing w:after="0" w:line="240" w:lineRule="auto"/>
    </w:pPr>
    <w:tblPr>
      <w:tblStyleRowBandSize w:val="1"/>
      <w:tblStyleColBandSize w:val="1"/>
      <w:tblInd w:w="0" w:type="dxa"/>
      <w:tblBorders>
        <w:top w:val="single" w:color="C9C9C9" w:themeColor="accent3" w:themeTint="98" w:sz="4" w:space="0"/>
        <w:bottom w:val="single" w:color="C9C9C9" w:themeColor="accent3" w:themeTint="98" w:sz="4" w:space="0"/>
      </w:tblBorders>
      <w:tblCellMar>
        <w:left w:w="108" w:type="dxa"/>
        <w:top w:w="0" w:type="dxa"/>
        <w:right w:w="108" w:type="dxa"/>
        <w:bottom w:w="0" w:type="dxa"/>
      </w:tblCellMar>
    </w:tblPr>
    <w:tblStylePr w:type="band1Horz">
      <w:rPr>
        <w:rFonts w:ascii="Arial" w:hAnsi="Arial"/>
        <w:color w:val="c9c9c9" w:themeColor="accent3" w:themeTint="98" w:themeShade="95"/>
        <w:sz w:val="22"/>
      </w:rPr>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tblStylePr w:type="firstCol">
      <w:rPr>
        <w:b/>
        <w:color w:val="c9c9c9" w:themeColor="accent3" w:themeTint="98" w:themeShade="95"/>
      </w:rPr>
    </w:tblStylePr>
    <w:tblStylePr w:type="firstRow">
      <w:rPr>
        <w:b/>
        <w:color w:val="c9c9c9" w:themeColor="accent3" w:themeTint="98" w:themeShade="95"/>
      </w:rPr>
      <w:tcPr>
        <w:tcBorders>
          <w:bottom w:val="single" w:color="C9C9C9" w:themeColor="accent3" w:themeTint="98" w:sz="4" w:space="0"/>
        </w:tcBorders>
      </w:tcPr>
    </w:tblStylePr>
    <w:tblStylePr w:type="lastCol">
      <w:rPr>
        <w:b/>
        <w:color w:val="c9c9c9" w:themeColor="accent3" w:themeTint="98" w:themeShade="95"/>
      </w:rPr>
    </w:tblStylePr>
    <w:tblStylePr w:type="lastRow">
      <w:rPr>
        <w:b/>
        <w:color w:val="c9c9c9" w:themeColor="accent3" w:themeTint="98" w:themeShade="95"/>
      </w:rPr>
      <w:tcPr>
        <w:tcBorders>
          <w:top w:val="single" w:color="C9C9C9" w:themeColor="accent3" w:themeTint="98" w:sz="4" w:space="0"/>
        </w:tcBorders>
      </w:tcPr>
    </w:tblStylePr>
  </w:style>
  <w:style w:type="table" w:styleId="867" w:customStyle="1">
    <w:name w:val="List Table 6 Colorful - Accent 4"/>
    <w:basedOn w:val="756"/>
    <w:uiPriority w:val="99"/>
    <w:pPr>
      <w:spacing w:after="0" w:line="240" w:lineRule="auto"/>
    </w:pPr>
    <w:tblPr>
      <w:tblStyleRowBandSize w:val="1"/>
      <w:tblStyleColBandSize w:val="1"/>
      <w:tblInd w:w="0" w:type="dxa"/>
      <w:tblBorders>
        <w:top w:val="single" w:color="FFD865" w:themeColor="accent4" w:themeTint="9A" w:sz="4" w:space="0"/>
        <w:bottom w:val="single" w:color="FFD865" w:themeColor="accent4" w:themeTint="9A" w:sz="4" w:space="0"/>
      </w:tblBorders>
      <w:tblCellMar>
        <w:left w:w="108" w:type="dxa"/>
        <w:top w:w="0" w:type="dxa"/>
        <w:right w:w="108" w:type="dxa"/>
        <w:bottom w:w="0" w:type="dxa"/>
      </w:tblCellMar>
    </w:tblPr>
    <w:tblStylePr w:type="band1Horz">
      <w:rPr>
        <w:rFonts w:ascii="Arial" w:hAnsi="Arial"/>
        <w:color w:val="ffd865" w:themeColor="accent4" w:themeTint="9A" w:themeShade="95"/>
        <w:sz w:val="22"/>
      </w:rPr>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D865" w:themeColor="accent4" w:themeTint="9A" w:sz="4" w:space="0"/>
        </w:tcBorders>
      </w:tcPr>
    </w:tblStylePr>
    <w:tblStylePr w:type="lastCol">
      <w:rPr>
        <w:b/>
        <w:color w:val="ffd865" w:themeColor="accent4" w:themeTint="9A" w:themeShade="95"/>
      </w:rPr>
    </w:tblStylePr>
    <w:tblStylePr w:type="lastRow">
      <w:rPr>
        <w:b/>
        <w:color w:val="ffd865" w:themeColor="accent4" w:themeTint="9A" w:themeShade="95"/>
      </w:rPr>
      <w:tcPr>
        <w:tcBorders>
          <w:top w:val="single" w:color="FFD865" w:themeColor="accent4" w:themeTint="9A" w:sz="4" w:space="0"/>
        </w:tcBorders>
      </w:tcPr>
    </w:tblStylePr>
  </w:style>
  <w:style w:type="table" w:styleId="868" w:customStyle="1">
    <w:name w:val="List Table 6 Colorful - Accent 5"/>
    <w:basedOn w:val="756"/>
    <w:uiPriority w:val="99"/>
    <w:pPr>
      <w:spacing w:after="0" w:line="240" w:lineRule="auto"/>
    </w:pPr>
    <w:tblPr>
      <w:tblStyleRowBandSize w:val="1"/>
      <w:tblStyleColBandSize w:val="1"/>
      <w:tblInd w:w="0" w:type="dxa"/>
      <w:tblBorders>
        <w:top w:val="single" w:color="8DA9DB" w:themeColor="accent5" w:themeTint="9A" w:sz="4" w:space="0"/>
        <w:bottom w:val="single" w:color="8DA9DB" w:themeColor="accent5" w:themeTint="9A" w:sz="4" w:space="0"/>
      </w:tblBorders>
      <w:tblCellMar>
        <w:left w:w="108" w:type="dxa"/>
        <w:top w:w="0" w:type="dxa"/>
        <w:right w:w="108" w:type="dxa"/>
        <w:bottom w:w="0" w:type="dxa"/>
      </w:tblCellMar>
    </w:tblPr>
    <w:tblStylePr w:type="band1Horz">
      <w:rPr>
        <w:rFonts w:ascii="Arial" w:hAnsi="Arial"/>
        <w:color w:val="8da9db" w:themeColor="accent5" w:themeTint="9A" w:themeShade="95"/>
        <w:sz w:val="22"/>
      </w:rPr>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tblStylePr w:type="firstCol">
      <w:rPr>
        <w:b/>
        <w:color w:val="8da9db" w:themeColor="accent5" w:themeTint="9A" w:themeShade="95"/>
      </w:rPr>
    </w:tblStylePr>
    <w:tblStylePr w:type="firstRow">
      <w:rPr>
        <w:b/>
        <w:color w:val="8da9db" w:themeColor="accent5" w:themeTint="9A" w:themeShade="95"/>
      </w:rPr>
      <w:tcPr>
        <w:tcBorders>
          <w:bottom w:val="single" w:color="8DA9DB" w:themeColor="accent5" w:themeTint="9A" w:sz="4" w:space="0"/>
        </w:tcBorders>
      </w:tcPr>
    </w:tblStylePr>
    <w:tblStylePr w:type="lastCol">
      <w:rPr>
        <w:b/>
        <w:color w:val="8da9db" w:themeColor="accent5" w:themeTint="9A" w:themeShade="95"/>
      </w:rPr>
    </w:tblStylePr>
    <w:tblStylePr w:type="lastRow">
      <w:rPr>
        <w:b/>
        <w:color w:val="8da9db" w:themeColor="accent5" w:themeTint="9A" w:themeShade="95"/>
      </w:rPr>
      <w:tcPr>
        <w:tcBorders>
          <w:top w:val="single" w:color="8DA9DB" w:themeColor="accent5" w:themeTint="9A" w:sz="4" w:space="0"/>
        </w:tcBorders>
      </w:tcPr>
    </w:tblStylePr>
  </w:style>
  <w:style w:type="table" w:styleId="869" w:customStyle="1">
    <w:name w:val="List Table 6 Colorful - Accent 6"/>
    <w:basedOn w:val="756"/>
    <w:uiPriority w:val="99"/>
    <w:pPr>
      <w:spacing w:after="0" w:line="240" w:lineRule="auto"/>
    </w:pPr>
    <w:tblPr>
      <w:tblStyleRowBandSize w:val="1"/>
      <w:tblStyleColBandSize w:val="1"/>
      <w:tblInd w:w="0" w:type="dxa"/>
      <w:tblBorders>
        <w:top w:val="single" w:color="A9D08E" w:themeColor="accent6" w:themeTint="98" w:sz="4" w:space="0"/>
        <w:bottom w:val="single" w:color="A9D08E" w:themeColor="accent6" w:themeTint="98" w:sz="4" w:space="0"/>
      </w:tblBorders>
      <w:tblCellMar>
        <w:left w:w="108" w:type="dxa"/>
        <w:top w:w="0" w:type="dxa"/>
        <w:right w:w="108" w:type="dxa"/>
        <w:bottom w:w="0" w:type="dxa"/>
      </w:tblCellMar>
    </w:tblPr>
    <w:tblStylePr w:type="band1Horz">
      <w:rPr>
        <w:rFonts w:ascii="Arial" w:hAnsi="Arial"/>
        <w:color w:val="a9d08e" w:themeColor="accent6" w:themeTint="98" w:themeShade="95"/>
        <w:sz w:val="22"/>
      </w:rPr>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tblStylePr w:type="firstCol">
      <w:rPr>
        <w:b/>
        <w:color w:val="a9d08e" w:themeColor="accent6" w:themeTint="98" w:themeShade="95"/>
      </w:rPr>
    </w:tblStylePr>
    <w:tblStylePr w:type="firstRow">
      <w:rPr>
        <w:b/>
        <w:color w:val="a9d08e" w:themeColor="accent6" w:themeTint="98" w:themeShade="95"/>
      </w:rPr>
      <w:tcPr>
        <w:tcBorders>
          <w:bottom w:val="single" w:color="A9D08E" w:themeColor="accent6" w:themeTint="98" w:sz="4" w:space="0"/>
        </w:tcBorders>
      </w:tcPr>
    </w:tblStylePr>
    <w:tblStylePr w:type="lastCol">
      <w:rPr>
        <w:b/>
        <w:color w:val="a9d08e" w:themeColor="accent6" w:themeTint="98" w:themeShade="95"/>
      </w:rPr>
    </w:tblStylePr>
    <w:tblStylePr w:type="lastRow">
      <w:rPr>
        <w:b/>
        <w:color w:val="a9d08e" w:themeColor="accent6" w:themeTint="98" w:themeShade="95"/>
      </w:rPr>
      <w:tcPr>
        <w:tcBorders>
          <w:top w:val="single" w:color="A9D08E" w:themeColor="accent6" w:themeTint="98" w:sz="4" w:space="0"/>
        </w:tcBorders>
      </w:tcPr>
    </w:tblStylePr>
  </w:style>
  <w:style w:type="table" w:styleId="870" w:customStyle="1">
    <w:name w:val="List Table 7 Colorful"/>
    <w:basedOn w:val="756"/>
    <w:uiPriority w:val="99"/>
    <w:pPr>
      <w:spacing w:after="0" w:line="240" w:lineRule="auto"/>
    </w:pPr>
    <w:tblPr>
      <w:tblStyleRowBandSize w:val="1"/>
      <w:tblStyleColBandSize w:val="1"/>
      <w:tblInd w:w="0" w:type="dxa"/>
      <w:tblBorders>
        <w:right w:val="single" w:color="7F7F7F" w:themeColor="text1" w:themeTint="80" w:sz="4" w:space="0"/>
      </w:tblBorders>
      <w:tblCellMar>
        <w:left w:w="108" w:type="dxa"/>
        <w:top w:w="0" w:type="dxa"/>
        <w:right w:w="108" w:type="dxa"/>
        <w:bottom w:w="0" w:type="dxa"/>
      </w:tblCellMar>
    </w:tblPr>
    <w:tblStylePr w:type="band1Horz">
      <w:rPr>
        <w:rFonts w:ascii="Arial" w:hAnsi="Arial"/>
        <w:color w:val="7f7f7f" w:themeColor="text1" w:themeTint="80" w:themeShade="95"/>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871" w:customStyle="1">
    <w:name w:val="List Table 7 Colorful - Accent 1"/>
    <w:basedOn w:val="756"/>
    <w:uiPriority w:val="99"/>
    <w:pPr>
      <w:spacing w:after="0" w:line="240" w:lineRule="auto"/>
    </w:pPr>
    <w:tblPr>
      <w:tblStyleRowBandSize w:val="1"/>
      <w:tblStyleColBandSize w:val="1"/>
      <w:tblInd w:w="0" w:type="dxa"/>
      <w:tblBorders>
        <w:right w:val="single" w:color="5B9BD5" w:themeColor="accent1" w:sz="4" w:space="0"/>
      </w:tblBorders>
      <w:tblCellMar>
        <w:left w:w="108" w:type="dxa"/>
        <w:top w:w="0" w:type="dxa"/>
        <w:right w:w="108" w:type="dxa"/>
        <w:bottom w:w="0" w:type="dxa"/>
      </w:tblCellMar>
    </w:tblPr>
    <w:tblStylePr w:type="band1Horz">
      <w:rPr>
        <w:rFonts w:ascii="Arial" w:hAnsi="Arial"/>
        <w:color w:val="245a8d" w:themeColor="accent1" w:themeShade="95"/>
        <w:sz w:val="22"/>
      </w:rPr>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band2Horz">
      <w:rPr>
        <w:rFonts w:ascii="Arial" w:hAnsi="Arial"/>
        <w:color w:val="245a8d" w:themeColor="accent1" w:themeShade="95"/>
        <w:sz w:val="22"/>
      </w:rPr>
    </w:tblStylePr>
    <w:tblStylePr w:type="firstCol">
      <w:rPr>
        <w:rFonts w:ascii="Arial" w:hAnsi="Arial"/>
        <w:i/>
        <w:color w:val="245a8d" w:themeColor="accent1" w:themeShade="95"/>
        <w:sz w:val="22"/>
      </w:rPr>
      <w:pPr>
        <w:jc w:val="right"/>
      </w:pPr>
      <w:tcPr>
        <w:shd w:val="clear" w:color="ffffff" w:fill="auto"/>
        <w:tcBorders>
          <w:top w:val="none" w:color="000000" w:sz="4" w:space="0"/>
          <w:left w:val="none" w:color="000000" w:sz="4" w:space="0"/>
          <w:bottom w:val="none" w:color="000000" w:sz="4" w:space="0"/>
          <w:right w:val="single" w:color="5B9BD5" w:themeColor="accent1" w:sz="4" w:space="0"/>
        </w:tcBorders>
      </w:tcPr>
    </w:tblStylePr>
    <w:tblStylePr w:type="firstRow">
      <w:rPr>
        <w:rFonts w:ascii="Arial" w:hAnsi="Arial"/>
        <w:i/>
        <w:color w:val="245a8d" w:themeColor="accent1" w:themeShade="95"/>
        <w:sz w:val="22"/>
      </w:rPr>
      <w:tcPr>
        <w:shd w:val="clear" w:color="ffffff" w:themeColor="light1" w:fill="ffffff" w:themeFill="light1"/>
        <w:tcBorders>
          <w:top w:val="none" w:color="000000" w:sz="4" w:space="0"/>
          <w:left w:val="none" w:color="000000" w:sz="4" w:space="0"/>
          <w:bottom w:val="single" w:color="5B9BD5" w:themeColor="accent1" w:sz="4" w:space="0"/>
          <w:right w:val="none" w:color="000000" w:sz="4" w:space="0"/>
        </w:tcBorders>
      </w:tcPr>
    </w:tblStylePr>
    <w:tblStylePr w:type="lastCol">
      <w:rPr>
        <w:rFonts w:ascii="Arial" w:hAnsi="Arial"/>
        <w:i/>
        <w:color w:val="245a8d" w:themeColor="accent1" w:themeShade="95"/>
        <w:sz w:val="22"/>
      </w:rPr>
      <w:tcPr>
        <w:shd w:val="clear" w:color="ffffff" w:fill="auto"/>
        <w:tcBorders>
          <w:top w:val="none" w:color="000000" w:sz="4" w:space="0"/>
          <w:left w:val="single" w:color="5B9BD5" w:themeColor="accent1" w:sz="4" w:space="0"/>
          <w:bottom w:val="none" w:color="000000" w:sz="4" w:space="0"/>
          <w:right w:val="none" w:color="000000" w:sz="4" w:space="0"/>
        </w:tcBorders>
      </w:tcPr>
    </w:tblStylePr>
    <w:tblStylePr w:type="lastRow">
      <w:rPr>
        <w:rFonts w:ascii="Arial" w:hAnsi="Arial"/>
        <w:i/>
        <w:color w:val="245a8d" w:themeColor="accent1" w:themeShade="95"/>
        <w:sz w:val="22"/>
      </w:rPr>
      <w:tcPr>
        <w:shd w:val="clear" w:color="ffffff" w:themeColor="light1" w:fill="ffffff" w:themeFill="light1"/>
        <w:tcBorders>
          <w:top w:val="single" w:color="5B9BD5" w:themeColor="accent1" w:sz="4" w:space="0"/>
          <w:left w:val="none" w:color="000000" w:sz="4" w:space="0"/>
          <w:bottom w:val="none" w:color="000000" w:sz="4" w:space="0"/>
          <w:right w:val="none" w:color="000000" w:sz="4" w:space="0"/>
        </w:tcBorders>
      </w:tcPr>
    </w:tblStylePr>
  </w:style>
  <w:style w:type="table" w:styleId="872" w:customStyle="1">
    <w:name w:val="List Table 7 Colorful - Accent 2"/>
    <w:basedOn w:val="756"/>
    <w:uiPriority w:val="99"/>
    <w:pPr>
      <w:spacing w:after="0" w:line="240" w:lineRule="auto"/>
    </w:pPr>
    <w:tblPr>
      <w:tblStyleRowBandSize w:val="1"/>
      <w:tblStyleColBandSize w:val="1"/>
      <w:tblInd w:w="0" w:type="dxa"/>
      <w:tblBorders>
        <w:right w:val="single" w:color="F4B184" w:themeColor="accent2" w:themeTint="97" w:sz="4" w:space="0"/>
      </w:tblBorders>
      <w:tblCellMar>
        <w:left w:w="108" w:type="dxa"/>
        <w:top w:w="0" w:type="dxa"/>
        <w:right w:w="108" w:type="dxa"/>
        <w:bottom w:w="0" w:type="dxa"/>
      </w:tblCellMar>
    </w:tblPr>
    <w:tblStylePr w:type="band1Horz">
      <w:rPr>
        <w:rFonts w:ascii="Arial" w:hAnsi="Arial"/>
        <w:color w:val="f4b184" w:themeColor="accent2" w:themeTint="97" w:themeShade="95"/>
        <w:sz w:val="22"/>
      </w:rPr>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tblStylePr w:type="firstCol">
      <w:rPr>
        <w:rFonts w:ascii="Arial" w:hAnsi="Arial"/>
        <w:i/>
        <w:color w:val="f4b184"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F4B184" w:themeColor="accent2" w:themeTint="97" w:sz="4" w:space="0"/>
        </w:tcBorders>
      </w:tcPr>
    </w:tblStylePr>
    <w:tblStylePr w:type="firstRow">
      <w:rPr>
        <w:rFonts w:ascii="Arial" w:hAnsi="Arial"/>
        <w:i/>
        <w:color w:val="f4b184" w:themeColor="accent2" w:themeTint="97" w:themeShade="95"/>
        <w:sz w:val="22"/>
      </w:rPr>
      <w:tcPr>
        <w:shd w:val="clear" w:color="ffffff" w:themeColor="light1" w:fill="ffffff" w:themeFill="light1"/>
        <w:tcBorders>
          <w:top w:val="none" w:color="000000" w:sz="4" w:space="0"/>
          <w:left w:val="none" w:color="000000" w:sz="4" w:space="0"/>
          <w:bottom w:val="single" w:color="F4B184" w:themeColor="accent2" w:themeTint="97" w:sz="4" w:space="0"/>
          <w:right w:val="none" w:color="000000" w:sz="4" w:space="0"/>
        </w:tcBorders>
      </w:tcPr>
    </w:tblStylePr>
    <w:tblStylePr w:type="lastCol">
      <w:rPr>
        <w:rFonts w:ascii="Arial" w:hAnsi="Arial"/>
        <w:i/>
        <w:color w:val="f4b184" w:themeColor="accent2" w:themeTint="97" w:themeShade="95"/>
        <w:sz w:val="22"/>
      </w:rPr>
      <w:tcPr>
        <w:shd w:val="clear" w:color="ffffff" w:fill="auto"/>
        <w:tcBorders>
          <w:top w:val="none" w:color="000000" w:sz="4" w:space="0"/>
          <w:left w:val="single" w:color="F4B184" w:themeColor="accent2" w:themeTint="97" w:sz="4" w:space="0"/>
          <w:bottom w:val="none" w:color="000000" w:sz="4" w:space="0"/>
          <w:right w:val="none" w:color="000000" w:sz="4" w:space="0"/>
        </w:tcBorders>
      </w:tcPr>
    </w:tblStylePr>
    <w:tblStylePr w:type="lastRow">
      <w:rPr>
        <w:rFonts w:ascii="Arial" w:hAnsi="Arial"/>
        <w:i/>
        <w:color w:val="f4b184" w:themeColor="accent2" w:themeTint="97" w:themeShade="95"/>
        <w:sz w:val="22"/>
      </w:rPr>
      <w:tcPr>
        <w:shd w:val="clear" w:color="ffffff" w:themeColor="light1" w:fill="ffffff" w:themeFill="light1"/>
        <w:tcBorders>
          <w:top w:val="single" w:color="F4B184" w:themeColor="accent2" w:themeTint="97" w:sz="4" w:space="0"/>
          <w:left w:val="none" w:color="000000" w:sz="4" w:space="0"/>
          <w:bottom w:val="none" w:color="000000" w:sz="4" w:space="0"/>
          <w:right w:val="none" w:color="000000" w:sz="4" w:space="0"/>
        </w:tcBorders>
      </w:tcPr>
    </w:tblStylePr>
  </w:style>
  <w:style w:type="table" w:styleId="873" w:customStyle="1">
    <w:name w:val="List Table 7 Colorful - Accent 3"/>
    <w:basedOn w:val="756"/>
    <w:uiPriority w:val="99"/>
    <w:pPr>
      <w:spacing w:after="0" w:line="240" w:lineRule="auto"/>
    </w:pPr>
    <w:tblPr>
      <w:tblStyleRowBandSize w:val="1"/>
      <w:tblStyleColBandSize w:val="1"/>
      <w:tblInd w:w="0" w:type="dxa"/>
      <w:tblBorders>
        <w:right w:val="single" w:color="C9C9C9" w:themeColor="accent3" w:themeTint="98" w:sz="4" w:space="0"/>
      </w:tblBorders>
      <w:tblCellMar>
        <w:left w:w="108" w:type="dxa"/>
        <w:top w:w="0" w:type="dxa"/>
        <w:right w:w="108" w:type="dxa"/>
        <w:bottom w:w="0" w:type="dxa"/>
      </w:tblCellMar>
    </w:tblPr>
    <w:tblStylePr w:type="band1Horz">
      <w:rPr>
        <w:rFonts w:ascii="Arial" w:hAnsi="Arial"/>
        <w:color w:val="c9c9c9" w:themeColor="accent3" w:themeTint="98" w:themeShade="95"/>
        <w:sz w:val="22"/>
      </w:rPr>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tblStylePr w:type="firstCol">
      <w:rPr>
        <w:rFonts w:ascii="Arial" w:hAnsi="Arial"/>
        <w:i/>
        <w:color w:val="c9c9c9" w:themeColor="accent3" w:themeTint="98" w:themeShade="95"/>
        <w:sz w:val="22"/>
      </w:rPr>
      <w:pPr>
        <w:jc w:val="right"/>
      </w:pPr>
      <w:tcPr>
        <w:shd w:val="clear" w:color="ffffff" w:fill="auto"/>
        <w:tcBorders>
          <w:top w:val="none" w:color="000000" w:sz="4" w:space="0"/>
          <w:left w:val="none" w:color="000000" w:sz="4" w:space="0"/>
          <w:bottom w:val="none" w:color="000000" w:sz="4" w:space="0"/>
          <w:right w:val="single" w:color="C9C9C9" w:themeColor="accent3" w:themeTint="98" w:sz="4" w:space="0"/>
        </w:tcBorders>
      </w:tcPr>
    </w:tblStylePr>
    <w:tblStylePr w:type="firstRow">
      <w:rPr>
        <w:rFonts w:ascii="Arial" w:hAnsi="Arial"/>
        <w:i/>
        <w:color w:val="c9c9c9" w:themeColor="accent3" w:themeTint="98" w:themeShade="95"/>
        <w:sz w:val="22"/>
      </w:rPr>
      <w:tcPr>
        <w:shd w:val="clear" w:color="ffffff" w:themeColor="light1" w:fill="ffffff" w:themeFill="light1"/>
        <w:tcBorders>
          <w:top w:val="none" w:color="000000" w:sz="4" w:space="0"/>
          <w:left w:val="none" w:color="000000" w:sz="4" w:space="0"/>
          <w:bottom w:val="single" w:color="C9C9C9" w:themeColor="accent3" w:themeTint="98" w:sz="4" w:space="0"/>
          <w:right w:val="none" w:color="000000" w:sz="4" w:space="0"/>
        </w:tcBorders>
      </w:tcPr>
    </w:tblStylePr>
    <w:tblStylePr w:type="lastCol">
      <w:rPr>
        <w:rFonts w:ascii="Arial" w:hAnsi="Arial"/>
        <w:i/>
        <w:color w:val="c9c9c9" w:themeColor="accent3" w:themeTint="98" w:themeShade="95"/>
        <w:sz w:val="22"/>
      </w:rPr>
      <w:tcPr>
        <w:shd w:val="clear" w:color="ffffff" w:fill="auto"/>
        <w:tcBorders>
          <w:top w:val="none" w:color="000000" w:sz="4" w:space="0"/>
          <w:left w:val="single" w:color="C9C9C9" w:themeColor="accent3" w:themeTint="98" w:sz="4" w:space="0"/>
          <w:bottom w:val="none" w:color="000000" w:sz="4" w:space="0"/>
          <w:right w:val="none" w:color="000000" w:sz="4" w:space="0"/>
        </w:tcBorders>
      </w:tcPr>
    </w:tblStylePr>
    <w:tblStylePr w:type="lastRow">
      <w:rPr>
        <w:rFonts w:ascii="Arial" w:hAnsi="Arial"/>
        <w:i/>
        <w:color w:val="c9c9c9" w:themeColor="accent3" w:themeTint="98" w:themeShade="95"/>
        <w:sz w:val="22"/>
      </w:rPr>
      <w:tcPr>
        <w:shd w:val="clear" w:color="ffffff" w:themeColor="light1" w:fill="ffffff" w:themeFill="light1"/>
        <w:tcBorders>
          <w:top w:val="single" w:color="C9C9C9" w:themeColor="accent3" w:themeTint="98" w:sz="4" w:space="0"/>
          <w:left w:val="none" w:color="000000" w:sz="4" w:space="0"/>
          <w:bottom w:val="none" w:color="000000" w:sz="4" w:space="0"/>
          <w:right w:val="none" w:color="000000" w:sz="4" w:space="0"/>
        </w:tcBorders>
      </w:tcPr>
    </w:tblStylePr>
  </w:style>
  <w:style w:type="table" w:styleId="874" w:customStyle="1">
    <w:name w:val="List Table 7 Colorful - Accent 4"/>
    <w:basedOn w:val="756"/>
    <w:uiPriority w:val="99"/>
    <w:pPr>
      <w:spacing w:after="0" w:line="240" w:lineRule="auto"/>
    </w:pPr>
    <w:tblPr>
      <w:tblStyleRowBandSize w:val="1"/>
      <w:tblStyleColBandSize w:val="1"/>
      <w:tblInd w:w="0" w:type="dxa"/>
      <w:tblBorders>
        <w:right w:val="single" w:color="FFD865" w:themeColor="accent4" w:themeTint="9A" w:sz="4" w:space="0"/>
      </w:tblBorders>
      <w:tblCellMar>
        <w:left w:w="108" w:type="dxa"/>
        <w:top w:w="0" w:type="dxa"/>
        <w:right w:w="108" w:type="dxa"/>
        <w:bottom w:w="0" w:type="dxa"/>
      </w:tblCellMar>
    </w:tblPr>
    <w:tblStylePr w:type="band1Horz">
      <w:rPr>
        <w:rFonts w:ascii="Arial" w:hAnsi="Arial"/>
        <w:color w:val="ffd865" w:themeColor="accent4" w:themeTint="9A" w:themeShade="95"/>
        <w:sz w:val="22"/>
      </w:rPr>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tblStylePr w:type="firstCol">
      <w:rPr>
        <w:rFonts w:ascii="Arial" w:hAnsi="Arial"/>
        <w:i/>
        <w:color w:val="ffd865"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FFD865" w:themeColor="accent4" w:themeTint="9A" w:sz="4" w:space="0"/>
        </w:tcBorders>
      </w:tcPr>
    </w:tblStylePr>
    <w:tblStylePr w:type="firstRow">
      <w:rPr>
        <w:rFonts w:ascii="Arial" w:hAnsi="Arial"/>
        <w:i/>
        <w:color w:val="ffd865" w:themeColor="accent4" w:themeTint="9A" w:themeShade="95"/>
        <w:sz w:val="22"/>
      </w:rPr>
      <w:tcPr>
        <w:shd w:val="clear" w:color="ffffff" w:themeColor="light1" w:fill="ffffff" w:themeFill="light1"/>
        <w:tcBorders>
          <w:top w:val="none" w:color="000000" w:sz="4" w:space="0"/>
          <w:left w:val="none" w:color="000000" w:sz="4" w:space="0"/>
          <w:bottom w:val="single" w:color="FFD865" w:themeColor="accent4" w:themeTint="9A" w:sz="4" w:space="0"/>
          <w:right w:val="none" w:color="000000" w:sz="4" w:space="0"/>
        </w:tcBorders>
      </w:tcPr>
    </w:tblStylePr>
    <w:tblStylePr w:type="lastCol">
      <w:rPr>
        <w:rFonts w:ascii="Arial" w:hAnsi="Arial"/>
        <w:i/>
        <w:color w:val="ffd865" w:themeColor="accent4" w:themeTint="9A" w:themeShade="95"/>
        <w:sz w:val="22"/>
      </w:rPr>
      <w:tcPr>
        <w:shd w:val="clear" w:color="ffffff" w:fill="auto"/>
        <w:tcBorders>
          <w:top w:val="none" w:color="000000" w:sz="4" w:space="0"/>
          <w:left w:val="single" w:color="FFD865" w:themeColor="accent4" w:themeTint="9A" w:sz="4" w:space="0"/>
          <w:bottom w:val="none" w:color="000000" w:sz="4" w:space="0"/>
          <w:right w:val="none" w:color="000000" w:sz="4" w:space="0"/>
        </w:tcBorders>
      </w:tcPr>
    </w:tblStylePr>
    <w:tblStylePr w:type="lastRow">
      <w:rPr>
        <w:rFonts w:ascii="Arial" w:hAnsi="Arial"/>
        <w:i/>
        <w:color w:val="ffd865" w:themeColor="accent4" w:themeTint="9A" w:themeShade="95"/>
        <w:sz w:val="22"/>
      </w:rPr>
      <w:tcPr>
        <w:shd w:val="clear" w:color="ffffff" w:themeColor="light1" w:fill="ffffff" w:themeFill="light1"/>
        <w:tcBorders>
          <w:top w:val="single" w:color="FFD865" w:themeColor="accent4" w:themeTint="9A" w:sz="4" w:space="0"/>
          <w:left w:val="none" w:color="000000" w:sz="4" w:space="0"/>
          <w:bottom w:val="none" w:color="000000" w:sz="4" w:space="0"/>
          <w:right w:val="none" w:color="000000" w:sz="4" w:space="0"/>
        </w:tcBorders>
      </w:tcPr>
    </w:tblStylePr>
  </w:style>
  <w:style w:type="table" w:styleId="875" w:customStyle="1">
    <w:name w:val="List Table 7 Colorful - Accent 5"/>
    <w:basedOn w:val="756"/>
    <w:uiPriority w:val="99"/>
    <w:pPr>
      <w:spacing w:after="0" w:line="240" w:lineRule="auto"/>
    </w:pPr>
    <w:tblPr>
      <w:tblStyleRowBandSize w:val="1"/>
      <w:tblStyleColBandSize w:val="1"/>
      <w:tblInd w:w="0" w:type="dxa"/>
      <w:tblBorders>
        <w:right w:val="single" w:color="8DA9DB" w:themeColor="accent5" w:themeTint="9A" w:sz="4" w:space="0"/>
      </w:tblBorders>
      <w:tblCellMar>
        <w:left w:w="108" w:type="dxa"/>
        <w:top w:w="0" w:type="dxa"/>
        <w:right w:w="108" w:type="dxa"/>
        <w:bottom w:w="0" w:type="dxa"/>
      </w:tblCellMar>
    </w:tblPr>
    <w:tblStylePr w:type="band1Horz">
      <w:rPr>
        <w:rFonts w:ascii="Arial" w:hAnsi="Arial"/>
        <w:color w:val="8da9db" w:themeColor="accent5" w:themeTint="9A" w:themeShade="95"/>
        <w:sz w:val="22"/>
      </w:rPr>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tblStylePr w:type="firstCol">
      <w:rPr>
        <w:rFonts w:ascii="Arial" w:hAnsi="Arial"/>
        <w:i/>
        <w:color w:val="8da9db" w:themeColor="accent5" w:themeTint="9A" w:themeShade="95"/>
        <w:sz w:val="22"/>
      </w:rPr>
      <w:pPr>
        <w:jc w:val="right"/>
      </w:pPr>
      <w:tcPr>
        <w:shd w:val="clear" w:color="ffffff" w:fill="auto"/>
        <w:tcBorders>
          <w:top w:val="none" w:color="000000" w:sz="4" w:space="0"/>
          <w:left w:val="none" w:color="000000" w:sz="4" w:space="0"/>
          <w:bottom w:val="none" w:color="000000" w:sz="4" w:space="0"/>
          <w:right w:val="single" w:color="8DA9DB" w:themeColor="accent5" w:themeTint="9A" w:sz="4" w:space="0"/>
        </w:tcBorders>
      </w:tcPr>
    </w:tblStylePr>
    <w:tblStylePr w:type="firstRow">
      <w:rPr>
        <w:rFonts w:ascii="Arial" w:hAnsi="Arial"/>
        <w:i/>
        <w:color w:val="8da9db" w:themeColor="accent5" w:themeTint="9A" w:themeShade="95"/>
        <w:sz w:val="22"/>
      </w:rPr>
      <w:tcPr>
        <w:shd w:val="clear" w:color="ffffff" w:themeColor="light1" w:fill="ffffff" w:themeFill="light1"/>
        <w:tcBorders>
          <w:top w:val="none" w:color="000000" w:sz="4" w:space="0"/>
          <w:left w:val="none" w:color="000000" w:sz="4" w:space="0"/>
          <w:bottom w:val="single" w:color="8DA9DB" w:themeColor="accent5" w:themeTint="9A" w:sz="4" w:space="0"/>
          <w:right w:val="none" w:color="000000" w:sz="4" w:space="0"/>
        </w:tcBorders>
      </w:tcPr>
    </w:tblStylePr>
    <w:tblStylePr w:type="lastCol">
      <w:rPr>
        <w:rFonts w:ascii="Arial" w:hAnsi="Arial"/>
        <w:i/>
        <w:color w:val="8da9db" w:themeColor="accent5" w:themeTint="9A" w:themeShade="95"/>
        <w:sz w:val="22"/>
      </w:rPr>
      <w:tcPr>
        <w:shd w:val="clear" w:color="ffffff" w:fill="auto"/>
        <w:tcBorders>
          <w:top w:val="none" w:color="000000" w:sz="4" w:space="0"/>
          <w:left w:val="single" w:color="8DA9DB" w:themeColor="accent5" w:themeTint="9A" w:sz="4" w:space="0"/>
          <w:bottom w:val="none" w:color="000000" w:sz="4" w:space="0"/>
          <w:right w:val="none" w:color="000000" w:sz="4" w:space="0"/>
        </w:tcBorders>
      </w:tcPr>
    </w:tblStylePr>
    <w:tblStylePr w:type="lastRow">
      <w:rPr>
        <w:rFonts w:ascii="Arial" w:hAnsi="Arial"/>
        <w:i/>
        <w:color w:val="8da9db" w:themeColor="accent5" w:themeTint="9A" w:themeShade="95"/>
        <w:sz w:val="22"/>
      </w:rPr>
      <w:tcPr>
        <w:shd w:val="clear" w:color="ffffff" w:themeColor="light1" w:fill="ffffff" w:themeFill="light1"/>
        <w:tcBorders>
          <w:top w:val="single" w:color="8DA9DB" w:themeColor="accent5" w:themeTint="9A" w:sz="4" w:space="0"/>
          <w:left w:val="none" w:color="000000" w:sz="4" w:space="0"/>
          <w:bottom w:val="none" w:color="000000" w:sz="4" w:space="0"/>
          <w:right w:val="none" w:color="000000" w:sz="4" w:space="0"/>
        </w:tcBorders>
      </w:tcPr>
    </w:tblStylePr>
  </w:style>
  <w:style w:type="table" w:styleId="876" w:customStyle="1">
    <w:name w:val="List Table 7 Colorful - Accent 6"/>
    <w:basedOn w:val="756"/>
    <w:uiPriority w:val="99"/>
    <w:pPr>
      <w:spacing w:after="0" w:line="240" w:lineRule="auto"/>
    </w:pPr>
    <w:tblPr>
      <w:tblStyleRowBandSize w:val="1"/>
      <w:tblStyleColBandSize w:val="1"/>
      <w:tblInd w:w="0" w:type="dxa"/>
      <w:tblBorders>
        <w:right w:val="single" w:color="A9D08E" w:themeColor="accent6" w:themeTint="98" w:sz="4" w:space="0"/>
      </w:tblBorders>
      <w:tblCellMar>
        <w:left w:w="108" w:type="dxa"/>
        <w:top w:w="0" w:type="dxa"/>
        <w:right w:w="108" w:type="dxa"/>
        <w:bottom w:w="0" w:type="dxa"/>
      </w:tblCellMar>
    </w:tblPr>
    <w:tblStylePr w:type="band1Horz">
      <w:rPr>
        <w:rFonts w:ascii="Arial" w:hAnsi="Arial"/>
        <w:color w:val="a9d08e" w:themeColor="accent6" w:themeTint="98" w:themeShade="95"/>
        <w:sz w:val="22"/>
      </w:rPr>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tblStylePr w:type="firstCol">
      <w:rPr>
        <w:rFonts w:ascii="Arial" w:hAnsi="Arial"/>
        <w:i/>
        <w:color w:val="a9d08e" w:themeColor="accent6" w:themeTint="98" w:themeShade="95"/>
        <w:sz w:val="22"/>
      </w:rPr>
      <w:pPr>
        <w:jc w:val="right"/>
      </w:pPr>
      <w:tcPr>
        <w:shd w:val="clear" w:color="ffffff" w:fill="auto"/>
        <w:tcBorders>
          <w:top w:val="none" w:color="000000" w:sz="4" w:space="0"/>
          <w:left w:val="none" w:color="000000" w:sz="4" w:space="0"/>
          <w:bottom w:val="none" w:color="000000" w:sz="4" w:space="0"/>
          <w:right w:val="single" w:color="A9D08E" w:themeColor="accent6" w:themeTint="98" w:sz="4" w:space="0"/>
        </w:tcBorders>
      </w:tcPr>
    </w:tblStylePr>
    <w:tblStylePr w:type="firstRow">
      <w:rPr>
        <w:rFonts w:ascii="Arial" w:hAnsi="Arial"/>
        <w:i/>
        <w:color w:val="a9d08e" w:themeColor="accent6" w:themeTint="98" w:themeShade="95"/>
        <w:sz w:val="22"/>
      </w:rPr>
      <w:tcPr>
        <w:shd w:val="clear" w:color="ffffff" w:themeColor="light1" w:fill="ffffff" w:themeFill="light1"/>
        <w:tcBorders>
          <w:top w:val="none" w:color="000000" w:sz="4" w:space="0"/>
          <w:left w:val="none" w:color="000000" w:sz="4" w:space="0"/>
          <w:bottom w:val="single" w:color="A9D08E" w:themeColor="accent6" w:themeTint="98" w:sz="4" w:space="0"/>
          <w:right w:val="none" w:color="000000" w:sz="4" w:space="0"/>
        </w:tcBorders>
      </w:tcPr>
    </w:tblStylePr>
    <w:tblStylePr w:type="lastCol">
      <w:rPr>
        <w:rFonts w:ascii="Arial" w:hAnsi="Arial"/>
        <w:i/>
        <w:color w:val="a9d08e" w:themeColor="accent6" w:themeTint="98" w:themeShade="95"/>
        <w:sz w:val="22"/>
      </w:rPr>
      <w:tcPr>
        <w:shd w:val="clear" w:color="ffffff" w:fill="auto"/>
        <w:tcBorders>
          <w:top w:val="none" w:color="000000" w:sz="4" w:space="0"/>
          <w:left w:val="single" w:color="A9D08E" w:themeColor="accent6" w:themeTint="98" w:sz="4" w:space="0"/>
          <w:bottom w:val="none" w:color="000000" w:sz="4" w:space="0"/>
          <w:right w:val="none" w:color="000000" w:sz="4" w:space="0"/>
        </w:tcBorders>
      </w:tcPr>
    </w:tblStylePr>
    <w:tblStylePr w:type="lastRow">
      <w:rPr>
        <w:rFonts w:ascii="Arial" w:hAnsi="Arial"/>
        <w:i/>
        <w:color w:val="a9d08e" w:themeColor="accent6" w:themeTint="98" w:themeShade="95"/>
        <w:sz w:val="22"/>
      </w:rPr>
      <w:tcPr>
        <w:shd w:val="clear" w:color="ffffff" w:themeColor="light1" w:fill="ffffff" w:themeFill="light1"/>
        <w:tcBorders>
          <w:top w:val="single" w:color="A9D08E" w:themeColor="accent6" w:themeTint="98" w:sz="4" w:space="0"/>
          <w:left w:val="none" w:color="000000" w:sz="4" w:space="0"/>
          <w:bottom w:val="none" w:color="000000" w:sz="4" w:space="0"/>
          <w:right w:val="none" w:color="000000" w:sz="4" w:space="0"/>
        </w:tcBorders>
      </w:tcPr>
    </w:tblStylePr>
  </w:style>
  <w:style w:type="table" w:styleId="877" w:customStyle="1">
    <w:name w:val="Lined - Accent"/>
    <w:basedOn w:val="756"/>
    <w:uiPriority w:val="99"/>
    <w:pPr>
      <w:spacing w:after="0" w:line="240" w:lineRule="auto"/>
    </w:pPr>
    <w:rPr>
      <w:color w:val="404040"/>
      <w:sz w:val="20"/>
      <w:szCs w:val="20"/>
      <w:lang w:eastAsia="ru-RU"/>
    </w:rPr>
    <w:tblPr>
      <w:tblStyleRowBandSize w:val="1"/>
      <w:tblStyleColBandSize w:val="1"/>
      <w:tblInd w:w="0" w:type="dxa"/>
      <w:tblCellMar>
        <w:left w:w="108" w:type="dxa"/>
        <w:top w:w="0" w:type="dxa"/>
        <w:right w:w="108"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0" w:fill="f2f2f2" w:themeFill="text1" w:themeFillTint="00"/>
      </w:tcPr>
    </w:tblStylePr>
    <w:tblStylePr w:type="band2Vert">
      <w:rPr>
        <w:rFonts w:ascii="Arial" w:hAnsi="Arial"/>
        <w:color w:val="404040"/>
        <w:sz w:val="22"/>
      </w:rPr>
      <w:tcPr>
        <w:shd w:val="clear" w:color="f2f2f2" w:themeColor="text1" w:themeTint="00" w:fill="f2f2f2" w:themeFill="text1" w:themeFillTint="00"/>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878" w:customStyle="1">
    <w:name w:val="Lined - Accent 1"/>
    <w:basedOn w:val="756"/>
    <w:uiPriority w:val="99"/>
    <w:pPr>
      <w:spacing w:after="0" w:line="240" w:lineRule="auto"/>
    </w:pPr>
    <w:rPr>
      <w:color w:val="404040"/>
      <w:sz w:val="20"/>
      <w:szCs w:val="20"/>
      <w:lang w:eastAsia="ru-RU"/>
    </w:rPr>
    <w:tblPr>
      <w:tblStyleRowBandSize w:val="1"/>
      <w:tblStyleColBandSize w:val="1"/>
      <w:tblInd w:w="0" w:type="dxa"/>
      <w:tblCellMar>
        <w:left w:w="108" w:type="dxa"/>
        <w:top w:w="0" w:type="dxa"/>
        <w:right w:w="108"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tblStylePr w:type="band2Vert">
      <w:rPr>
        <w:rFonts w:ascii="Arial" w:hAnsi="Arial"/>
        <w:color w:val="404040"/>
        <w:sz w:val="22"/>
      </w:rPr>
      <w:tcPr>
        <w:shd w:val="clear" w:color="cbdff1" w:themeColor="accent1" w:themeTint="50" w:fill="cbdff1" w:themeFill="accent1" w:themeFillTint="50"/>
      </w:tcPr>
    </w:tblStylePr>
    <w:tblStylePr w:type="firstCol">
      <w:rPr>
        <w:rFonts w:ascii="Arial" w:hAnsi="Arial"/>
        <w:color w:val="f2f2f2"/>
        <w:sz w:val="22"/>
      </w:rPr>
      <w:tcPr>
        <w:shd w:val="clear" w:color="68a2d8" w:themeColor="accent1" w:themeTint="EA" w:fill="68a2d8" w:themeFill="accent1" w:themeFillTint="EA"/>
      </w:tcPr>
    </w:tblStylePr>
    <w:tblStylePr w:type="firstRow">
      <w:rPr>
        <w:rFonts w:ascii="Arial" w:hAnsi="Arial"/>
        <w:color w:val="f2f2f2"/>
        <w:sz w:val="22"/>
      </w:rPr>
      <w:tcPr>
        <w:shd w:val="clear" w:color="68a2d8" w:themeColor="accent1" w:themeTint="EA" w:fill="68a2d8" w:themeFill="accent1" w:themeFillTint="EA"/>
      </w:tcPr>
    </w:tblStylePr>
    <w:tblStylePr w:type="lastCol">
      <w:rPr>
        <w:rFonts w:ascii="Arial" w:hAnsi="Arial"/>
        <w:color w:val="f2f2f2"/>
        <w:sz w:val="22"/>
      </w:rPr>
      <w:tcPr>
        <w:shd w:val="clear" w:color="68a2d8" w:themeColor="accent1" w:themeTint="EA" w:fill="68a2d8" w:themeFill="accent1" w:themeFillTint="EA"/>
      </w:tcPr>
    </w:tblStylePr>
    <w:tblStylePr w:type="lastRow">
      <w:rPr>
        <w:rFonts w:ascii="Arial" w:hAnsi="Arial"/>
        <w:color w:val="f2f2f2"/>
        <w:sz w:val="22"/>
      </w:rPr>
      <w:tcPr>
        <w:shd w:val="clear" w:color="68a2d8" w:themeColor="accent1" w:themeTint="EA" w:fill="68a2d8" w:themeFill="accent1" w:themeFillTint="EA"/>
      </w:tcPr>
    </w:tblStylePr>
  </w:style>
  <w:style w:type="table" w:styleId="879" w:customStyle="1">
    <w:name w:val="Lined - Accent 2"/>
    <w:basedOn w:val="756"/>
    <w:uiPriority w:val="99"/>
    <w:pPr>
      <w:spacing w:after="0" w:line="240" w:lineRule="auto"/>
    </w:pPr>
    <w:rPr>
      <w:color w:val="404040"/>
      <w:sz w:val="20"/>
      <w:szCs w:val="20"/>
      <w:lang w:eastAsia="ru-RU"/>
    </w:rPr>
    <w:tblPr>
      <w:tblStyleRowBandSize w:val="1"/>
      <w:tblStyleColBandSize w:val="1"/>
      <w:tblInd w:w="0" w:type="dxa"/>
      <w:tblCellMar>
        <w:left w:w="108" w:type="dxa"/>
        <w:top w:w="0" w:type="dxa"/>
        <w:right w:w="108"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tblStylePr w:type="band2Vert">
      <w:rPr>
        <w:rFonts w:ascii="Arial" w:hAnsi="Arial"/>
        <w:color w:val="404040"/>
        <w:sz w:val="22"/>
      </w:rPr>
      <w:tcPr>
        <w:shd w:val="clear" w:color="fbe5d6" w:themeColor="accent2" w:themeTint="32" w:fill="fbe5d6" w:themeFill="accent2" w:themeFillTint="32"/>
      </w:tcPr>
    </w:tblStylePr>
    <w:tblStylePr w:type="firstCol">
      <w:rPr>
        <w:rFonts w:ascii="Arial" w:hAnsi="Arial"/>
        <w:color w:val="f2f2f2"/>
        <w:sz w:val="22"/>
      </w:rPr>
      <w:tcPr>
        <w:shd w:val="clear" w:color="f4b184" w:themeColor="accent2" w:themeTint="97" w:fill="f4b184" w:themeFill="accent2" w:themeFillTint="97"/>
      </w:tcPr>
    </w:tblStylePr>
    <w:tblStylePr w:type="firstRow">
      <w:rPr>
        <w:rFonts w:ascii="Arial" w:hAnsi="Arial"/>
        <w:color w:val="f2f2f2"/>
        <w:sz w:val="22"/>
      </w:rPr>
      <w:tcPr>
        <w:shd w:val="clear" w:color="f4b184" w:themeColor="accent2" w:themeTint="97" w:fill="f4b184" w:themeFill="accent2" w:themeFillTint="97"/>
      </w:tcPr>
    </w:tblStylePr>
    <w:tblStylePr w:type="lastCol">
      <w:rPr>
        <w:rFonts w:ascii="Arial" w:hAnsi="Arial"/>
        <w:color w:val="f2f2f2"/>
        <w:sz w:val="22"/>
      </w:rPr>
      <w:tcPr>
        <w:shd w:val="clear" w:color="f4b184" w:themeColor="accent2" w:themeTint="97" w:fill="f4b184" w:themeFill="accent2" w:themeFillTint="97"/>
      </w:tcPr>
    </w:tblStylePr>
    <w:tblStylePr w:type="lastRow">
      <w:rPr>
        <w:rFonts w:ascii="Arial" w:hAnsi="Arial"/>
        <w:color w:val="f2f2f2"/>
        <w:sz w:val="22"/>
      </w:rPr>
      <w:tcPr>
        <w:shd w:val="clear" w:color="f4b184" w:themeColor="accent2" w:themeTint="97" w:fill="f4b184" w:themeFill="accent2" w:themeFillTint="97"/>
      </w:tcPr>
    </w:tblStylePr>
  </w:style>
  <w:style w:type="table" w:styleId="880" w:customStyle="1">
    <w:name w:val="Lined - Accent 3"/>
    <w:basedOn w:val="756"/>
    <w:uiPriority w:val="99"/>
    <w:pPr>
      <w:spacing w:after="0" w:line="240" w:lineRule="auto"/>
    </w:pPr>
    <w:rPr>
      <w:color w:val="404040"/>
      <w:sz w:val="20"/>
      <w:szCs w:val="20"/>
      <w:lang w:eastAsia="ru-RU"/>
    </w:rPr>
    <w:tblPr>
      <w:tblStyleRowBandSize w:val="1"/>
      <w:tblStyleColBandSize w:val="1"/>
      <w:tblInd w:w="0" w:type="dxa"/>
      <w:tblCellMar>
        <w:left w:w="108" w:type="dxa"/>
        <w:top w:w="0" w:type="dxa"/>
        <w:right w:w="108"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tblStylePr w:type="band2Vert">
      <w:rPr>
        <w:rFonts w:ascii="Arial" w:hAnsi="Arial"/>
        <w:color w:val="404040"/>
        <w:sz w:val="22"/>
      </w:rPr>
      <w:tcPr>
        <w:shd w:val="clear" w:color="ececec" w:themeColor="accent3" w:themeTint="34" w:fill="ececec" w:themeFill="accent3" w:themeFillTint="34"/>
      </w:tcPr>
    </w:tblStylePr>
    <w:tblStylePr w:type="firstCol">
      <w:rPr>
        <w:rFonts w:ascii="Arial" w:hAnsi="Arial"/>
        <w:color w:val="f2f2f2"/>
        <w:sz w:val="22"/>
      </w:rPr>
      <w:tcPr>
        <w:shd w:val="clear" w:color="a5a5a5" w:themeColor="accent3" w:themeTint="FE" w:fill="a5a5a5" w:themeFill="accent3" w:themeFillTint="FE"/>
      </w:tcPr>
    </w:tblStylePr>
    <w:tblStylePr w:type="firstRow">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style>
  <w:style w:type="table" w:styleId="881" w:customStyle="1">
    <w:name w:val="Lined - Accent 4"/>
    <w:basedOn w:val="756"/>
    <w:uiPriority w:val="99"/>
    <w:pPr>
      <w:spacing w:after="0" w:line="240" w:lineRule="auto"/>
    </w:pPr>
    <w:rPr>
      <w:color w:val="404040"/>
      <w:sz w:val="20"/>
      <w:szCs w:val="20"/>
      <w:lang w:eastAsia="ru-RU"/>
    </w:rPr>
    <w:tblPr>
      <w:tblStyleRowBandSize w:val="1"/>
      <w:tblStyleColBandSize w:val="1"/>
      <w:tblInd w:w="0" w:type="dxa"/>
      <w:tblCellMar>
        <w:left w:w="108" w:type="dxa"/>
        <w:top w:w="0" w:type="dxa"/>
        <w:right w:w="108"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2cb" w:themeColor="accent4" w:themeTint="34" w:fill="fff2cb" w:themeFill="accent4" w:themeFillTint="34"/>
      </w:tcPr>
    </w:tblStylePr>
    <w:tblStylePr w:type="band2Vert">
      <w:rPr>
        <w:rFonts w:ascii="Arial" w:hAnsi="Arial"/>
        <w:color w:val="404040"/>
        <w:sz w:val="22"/>
      </w:rPr>
      <w:tcPr>
        <w:shd w:val="clear" w:color="fff2cb" w:themeColor="accent4" w:themeTint="34" w:fill="fff2cb" w:themeFill="accent4" w:themeFillTint="34"/>
      </w:tcPr>
    </w:tblStylePr>
    <w:tblStylePr w:type="firstCol">
      <w:rPr>
        <w:rFonts w:ascii="Arial" w:hAnsi="Arial"/>
        <w:color w:val="f2f2f2"/>
        <w:sz w:val="22"/>
      </w:rPr>
      <w:tcPr>
        <w:shd w:val="clear" w:color="ffd865" w:themeColor="accent4" w:themeTint="9A" w:fill="ffd865" w:themeFill="accent4" w:themeFillTint="9A"/>
      </w:tcPr>
    </w:tblStylePr>
    <w:tblStylePr w:type="firstRow">
      <w:rPr>
        <w:rFonts w:ascii="Arial" w:hAnsi="Arial"/>
        <w:color w:val="f2f2f2"/>
        <w:sz w:val="22"/>
      </w:rPr>
      <w:tcPr>
        <w:shd w:val="clear" w:color="ffd865" w:themeColor="accent4" w:themeTint="9A" w:fill="ffd865" w:themeFill="accent4" w:themeFillTint="9A"/>
      </w:tcPr>
    </w:tblStylePr>
    <w:tblStylePr w:type="lastCol">
      <w:rPr>
        <w:rFonts w:ascii="Arial" w:hAnsi="Arial"/>
        <w:color w:val="f2f2f2"/>
        <w:sz w:val="22"/>
      </w:rPr>
      <w:tcPr>
        <w:shd w:val="clear" w:color="ffd865" w:themeColor="accent4" w:themeTint="9A" w:fill="ffd865" w:themeFill="accent4" w:themeFillTint="9A"/>
      </w:tcPr>
    </w:tblStylePr>
    <w:tblStylePr w:type="lastRow">
      <w:rPr>
        <w:rFonts w:ascii="Arial" w:hAnsi="Arial"/>
        <w:color w:val="f2f2f2"/>
        <w:sz w:val="22"/>
      </w:rPr>
      <w:tcPr>
        <w:shd w:val="clear" w:color="ffd865" w:themeColor="accent4" w:themeTint="9A" w:fill="ffd865" w:themeFill="accent4" w:themeFillTint="9A"/>
      </w:tcPr>
    </w:tblStylePr>
  </w:style>
  <w:style w:type="table" w:styleId="882" w:customStyle="1">
    <w:name w:val="Lined - Accent 5"/>
    <w:basedOn w:val="756"/>
    <w:uiPriority w:val="99"/>
    <w:pPr>
      <w:spacing w:after="0" w:line="240" w:lineRule="auto"/>
    </w:pPr>
    <w:rPr>
      <w:color w:val="404040"/>
      <w:sz w:val="20"/>
      <w:szCs w:val="20"/>
      <w:lang w:eastAsia="ru-RU"/>
    </w:rPr>
    <w:tblPr>
      <w:tblStyleRowBandSize w:val="1"/>
      <w:tblStyleColBandSize w:val="1"/>
      <w:tblInd w:w="0" w:type="dxa"/>
      <w:tblCellMar>
        <w:left w:w="108" w:type="dxa"/>
        <w:top w:w="0" w:type="dxa"/>
        <w:right w:w="108"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8e2f3" w:themeColor="accent5" w:themeTint="34" w:fill="d8e2f3" w:themeFill="accent5" w:themeFillTint="34"/>
      </w:tcPr>
    </w:tblStylePr>
    <w:tblStylePr w:type="band2Vert">
      <w:rPr>
        <w:rFonts w:ascii="Arial" w:hAnsi="Arial"/>
        <w:color w:val="404040"/>
        <w:sz w:val="22"/>
      </w:rPr>
      <w:tcPr>
        <w:shd w:val="clear" w:color="d8e2f3" w:themeColor="accent5" w:themeTint="34" w:fill="d8e2f3" w:themeFill="accent5" w:themeFillTint="34"/>
      </w:tcPr>
    </w:tblStylePr>
    <w:tblStylePr w:type="firstCol">
      <w:rPr>
        <w:rFonts w:ascii="Arial" w:hAnsi="Arial"/>
        <w:color w:val="f2f2f2"/>
        <w:sz w:val="22"/>
      </w:rPr>
      <w:tcPr>
        <w:shd w:val="clear" w:color="4472c4" w:themeColor="accent5" w:fill="4472c4" w:themeFill="accent5"/>
      </w:tcPr>
    </w:tblStylePr>
    <w:tblStylePr w:type="firstRow">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style>
  <w:style w:type="table" w:styleId="883" w:customStyle="1">
    <w:name w:val="Lined - Accent 6"/>
    <w:basedOn w:val="756"/>
    <w:uiPriority w:val="99"/>
    <w:pPr>
      <w:spacing w:after="0" w:line="240" w:lineRule="auto"/>
    </w:pPr>
    <w:rPr>
      <w:color w:val="404040"/>
      <w:sz w:val="20"/>
      <w:szCs w:val="20"/>
      <w:lang w:eastAsia="ru-RU"/>
    </w:rPr>
    <w:tblPr>
      <w:tblStyleRowBandSize w:val="1"/>
      <w:tblStyleColBandSize w:val="1"/>
      <w:tblInd w:w="0" w:type="dxa"/>
      <w:tblCellMar>
        <w:left w:w="108" w:type="dxa"/>
        <w:top w:w="0" w:type="dxa"/>
        <w:right w:w="108"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tblStylePr w:type="band2Vert">
      <w:rPr>
        <w:rFonts w:ascii="Arial" w:hAnsi="Arial"/>
        <w:color w:val="404040"/>
        <w:sz w:val="22"/>
      </w:rPr>
      <w:tcPr>
        <w:shd w:val="clear" w:color="e1efd8" w:themeColor="accent6" w:themeTint="34" w:fill="e1efd8" w:themeFill="accent6" w:themeFillTint="34"/>
      </w:tcPr>
    </w:tblStylePr>
    <w:tblStylePr w:type="firstCol">
      <w:rPr>
        <w:rFonts w:ascii="Arial" w:hAnsi="Arial"/>
        <w:color w:val="f2f2f2"/>
        <w:sz w:val="22"/>
      </w:rPr>
      <w:tcPr>
        <w:shd w:val="clear" w:color="70ad47" w:themeColor="accent6" w:fill="70ad47" w:themeFill="accent6"/>
      </w:tcPr>
    </w:tblStylePr>
    <w:tblStylePr w:type="firstRow">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style>
  <w:style w:type="table" w:styleId="884" w:customStyle="1">
    <w:name w:val="Bordered &amp; Lined - Accent"/>
    <w:basedOn w:val="756"/>
    <w:uiPriority w:val="99"/>
    <w:pPr>
      <w:spacing w:after="0" w:line="240" w:lineRule="auto"/>
    </w:pPr>
    <w:rPr>
      <w:color w:val="404040"/>
      <w:sz w:val="20"/>
      <w:szCs w:val="20"/>
      <w:lang w:eastAsia="ru-RU"/>
    </w:rPr>
    <w:tblPr>
      <w:tblStyleRowBandSize w:val="1"/>
      <w:tblStyleColBandSize w:val="1"/>
      <w:tblInd w:w="0" w:type="dxa"/>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CellMar>
        <w:left w:w="108" w:type="dxa"/>
        <w:top w:w="0" w:type="dxa"/>
        <w:right w:w="108"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0" w:fill="f2f2f2" w:themeFill="text1" w:themeFillTint="00"/>
      </w:tcPr>
    </w:tblStylePr>
    <w:tblStylePr w:type="band2Vert">
      <w:rPr>
        <w:rFonts w:ascii="Arial" w:hAnsi="Arial"/>
        <w:color w:val="404040"/>
        <w:sz w:val="22"/>
      </w:rPr>
      <w:tcPr>
        <w:shd w:val="clear" w:color="f2f2f2" w:themeColor="text1" w:themeTint="00" w:fill="f2f2f2" w:themeFill="text1" w:themeFillTint="00"/>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885" w:customStyle="1">
    <w:name w:val="Bordered &amp; Lined - Accent 1"/>
    <w:basedOn w:val="756"/>
    <w:uiPriority w:val="99"/>
    <w:pPr>
      <w:spacing w:after="0" w:line="240" w:lineRule="auto"/>
    </w:pPr>
    <w:rPr>
      <w:color w:val="404040"/>
      <w:sz w:val="20"/>
      <w:szCs w:val="20"/>
      <w:lang w:eastAsia="ru-RU"/>
    </w:rPr>
    <w:tblPr>
      <w:tblStyleRowBandSize w:val="1"/>
      <w:tblStyleColBandSize w:val="1"/>
      <w:tblInd w:w="0" w:type="dxa"/>
      <w:tblBorders>
        <w:top w:val="single" w:color="245A8D" w:themeColor="accent1" w:themeShade="95" w:sz="4" w:space="0"/>
        <w:left w:val="single" w:color="245A8D" w:themeColor="accent1" w:themeShade="95" w:sz="4" w:space="0"/>
        <w:bottom w:val="single" w:color="245A8D" w:themeColor="accent1" w:themeShade="95" w:sz="4" w:space="0"/>
        <w:right w:val="single" w:color="245A8D" w:themeColor="accent1" w:themeShade="95" w:sz="4" w:space="0"/>
        <w:insideH w:val="single" w:color="245A8D" w:themeColor="accent1" w:themeShade="95" w:sz="4" w:space="0"/>
        <w:insideV w:val="single" w:color="245A8D" w:themeColor="accent1" w:themeShade="95" w:sz="4" w:space="0"/>
      </w:tblBorders>
      <w:tblCellMar>
        <w:left w:w="108" w:type="dxa"/>
        <w:top w:w="0" w:type="dxa"/>
        <w:right w:w="108"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tblStylePr w:type="band2Vert">
      <w:rPr>
        <w:rFonts w:ascii="Arial" w:hAnsi="Arial"/>
        <w:color w:val="404040"/>
        <w:sz w:val="22"/>
      </w:rPr>
      <w:tcPr>
        <w:shd w:val="clear" w:color="cbdff1" w:themeColor="accent1" w:themeTint="50" w:fill="cbdff1" w:themeFill="accent1" w:themeFillTint="50"/>
      </w:tcPr>
    </w:tblStylePr>
    <w:tblStylePr w:type="firstCol">
      <w:rPr>
        <w:rFonts w:ascii="Arial" w:hAnsi="Arial"/>
        <w:color w:val="f2f2f2"/>
        <w:sz w:val="22"/>
      </w:rPr>
      <w:tcPr>
        <w:shd w:val="clear" w:color="68a2d8" w:themeColor="accent1" w:themeTint="EA" w:fill="68a2d8" w:themeFill="accent1" w:themeFillTint="EA"/>
      </w:tcPr>
    </w:tblStylePr>
    <w:tblStylePr w:type="firstRow">
      <w:rPr>
        <w:rFonts w:ascii="Arial" w:hAnsi="Arial"/>
        <w:color w:val="f2f2f2"/>
        <w:sz w:val="22"/>
      </w:rPr>
      <w:tcPr>
        <w:shd w:val="clear" w:color="68a2d8" w:themeColor="accent1" w:themeTint="EA" w:fill="68a2d8" w:themeFill="accent1" w:themeFillTint="EA"/>
      </w:tcPr>
    </w:tblStylePr>
    <w:tblStylePr w:type="lastCol">
      <w:rPr>
        <w:rFonts w:ascii="Arial" w:hAnsi="Arial"/>
        <w:color w:val="f2f2f2"/>
        <w:sz w:val="22"/>
      </w:rPr>
      <w:tcPr>
        <w:shd w:val="clear" w:color="68a2d8" w:themeColor="accent1" w:themeTint="EA" w:fill="68a2d8" w:themeFill="accent1" w:themeFillTint="EA"/>
      </w:tcPr>
    </w:tblStylePr>
    <w:tblStylePr w:type="lastRow">
      <w:rPr>
        <w:rFonts w:ascii="Arial" w:hAnsi="Arial"/>
        <w:color w:val="f2f2f2"/>
        <w:sz w:val="22"/>
      </w:rPr>
      <w:tcPr>
        <w:shd w:val="clear" w:color="68a2d8" w:themeColor="accent1" w:themeTint="EA" w:fill="68a2d8" w:themeFill="accent1" w:themeFillTint="EA"/>
      </w:tcPr>
    </w:tblStylePr>
  </w:style>
  <w:style w:type="table" w:styleId="886" w:customStyle="1">
    <w:name w:val="Bordered &amp; Lined - Accent 2"/>
    <w:basedOn w:val="756"/>
    <w:uiPriority w:val="99"/>
    <w:pPr>
      <w:spacing w:after="0" w:line="240" w:lineRule="auto"/>
    </w:pPr>
    <w:rPr>
      <w:color w:val="404040"/>
      <w:sz w:val="20"/>
      <w:szCs w:val="20"/>
      <w:lang w:eastAsia="ru-RU"/>
    </w:rPr>
    <w:tblPr>
      <w:tblStyleRowBandSize w:val="1"/>
      <w:tblStyleColBandSize w:val="1"/>
      <w:tblInd w:w="0" w:type="dxa"/>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CellMar>
        <w:left w:w="108" w:type="dxa"/>
        <w:top w:w="0" w:type="dxa"/>
        <w:right w:w="108"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tblStylePr w:type="band2Vert">
      <w:rPr>
        <w:rFonts w:ascii="Arial" w:hAnsi="Arial"/>
        <w:color w:val="404040"/>
        <w:sz w:val="22"/>
      </w:rPr>
      <w:tcPr>
        <w:shd w:val="clear" w:color="fbe5d6" w:themeColor="accent2" w:themeTint="32" w:fill="fbe5d6" w:themeFill="accent2" w:themeFillTint="32"/>
      </w:tcPr>
    </w:tblStylePr>
    <w:tblStylePr w:type="firstCol">
      <w:rPr>
        <w:rFonts w:ascii="Arial" w:hAnsi="Arial"/>
        <w:color w:val="f2f2f2"/>
        <w:sz w:val="22"/>
      </w:rPr>
      <w:tcPr>
        <w:shd w:val="clear" w:color="f4b184" w:themeColor="accent2" w:themeTint="97" w:fill="f4b184" w:themeFill="accent2" w:themeFillTint="97"/>
      </w:tcPr>
    </w:tblStylePr>
    <w:tblStylePr w:type="firstRow">
      <w:rPr>
        <w:rFonts w:ascii="Arial" w:hAnsi="Arial"/>
        <w:color w:val="f2f2f2"/>
        <w:sz w:val="22"/>
      </w:rPr>
      <w:tcPr>
        <w:shd w:val="clear" w:color="f4b184" w:themeColor="accent2" w:themeTint="97" w:fill="f4b184" w:themeFill="accent2" w:themeFillTint="97"/>
      </w:tcPr>
    </w:tblStylePr>
    <w:tblStylePr w:type="lastCol">
      <w:rPr>
        <w:rFonts w:ascii="Arial" w:hAnsi="Arial"/>
        <w:color w:val="f2f2f2"/>
        <w:sz w:val="22"/>
      </w:rPr>
      <w:tcPr>
        <w:shd w:val="clear" w:color="f4b184" w:themeColor="accent2" w:themeTint="97" w:fill="f4b184" w:themeFill="accent2" w:themeFillTint="97"/>
      </w:tcPr>
    </w:tblStylePr>
    <w:tblStylePr w:type="lastRow">
      <w:rPr>
        <w:rFonts w:ascii="Arial" w:hAnsi="Arial"/>
        <w:color w:val="f2f2f2"/>
        <w:sz w:val="22"/>
      </w:rPr>
      <w:tcPr>
        <w:shd w:val="clear" w:color="f4b184" w:themeColor="accent2" w:themeTint="97" w:fill="f4b184" w:themeFill="accent2" w:themeFillTint="97"/>
      </w:tcPr>
    </w:tblStylePr>
  </w:style>
  <w:style w:type="table" w:styleId="887" w:customStyle="1">
    <w:name w:val="Bordered &amp; Lined - Accent 3"/>
    <w:basedOn w:val="756"/>
    <w:uiPriority w:val="99"/>
    <w:pPr>
      <w:spacing w:after="0" w:line="240" w:lineRule="auto"/>
    </w:pPr>
    <w:rPr>
      <w:color w:val="404040"/>
      <w:sz w:val="20"/>
      <w:szCs w:val="20"/>
      <w:lang w:eastAsia="ru-RU"/>
    </w:rPr>
    <w:tblPr>
      <w:tblStyleRowBandSize w:val="1"/>
      <w:tblStyleColBandSize w:val="1"/>
      <w:tblInd w:w="0" w:type="dxa"/>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CellMar>
        <w:left w:w="108" w:type="dxa"/>
        <w:top w:w="0" w:type="dxa"/>
        <w:right w:w="108"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tblStylePr w:type="band2Vert">
      <w:rPr>
        <w:rFonts w:ascii="Arial" w:hAnsi="Arial"/>
        <w:color w:val="404040"/>
        <w:sz w:val="22"/>
      </w:rPr>
      <w:tcPr>
        <w:shd w:val="clear" w:color="ececec" w:themeColor="accent3" w:themeTint="34" w:fill="ececec" w:themeFill="accent3" w:themeFillTint="34"/>
      </w:tcPr>
    </w:tblStylePr>
    <w:tblStylePr w:type="firstCol">
      <w:rPr>
        <w:rFonts w:ascii="Arial" w:hAnsi="Arial"/>
        <w:color w:val="f2f2f2"/>
        <w:sz w:val="22"/>
      </w:rPr>
      <w:tcPr>
        <w:shd w:val="clear" w:color="a5a5a5" w:themeColor="accent3" w:themeTint="FE" w:fill="a5a5a5" w:themeFill="accent3" w:themeFillTint="FE"/>
      </w:tcPr>
    </w:tblStylePr>
    <w:tblStylePr w:type="firstRow">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style>
  <w:style w:type="table" w:styleId="888" w:customStyle="1">
    <w:name w:val="Bordered &amp; Lined - Accent 4"/>
    <w:basedOn w:val="756"/>
    <w:uiPriority w:val="99"/>
    <w:pPr>
      <w:spacing w:after="0" w:line="240" w:lineRule="auto"/>
    </w:pPr>
    <w:rPr>
      <w:color w:val="404040"/>
      <w:sz w:val="20"/>
      <w:szCs w:val="20"/>
      <w:lang w:eastAsia="ru-RU"/>
    </w:rPr>
    <w:tblPr>
      <w:tblStyleRowBandSize w:val="1"/>
      <w:tblStyleColBandSize w:val="1"/>
      <w:tblInd w:w="0" w:type="dxa"/>
      <w:tblBorders>
        <w:top w:val="single" w:color="957000" w:themeColor="accent4" w:themeShade="95" w:sz="4" w:space="0"/>
        <w:left w:val="single" w:color="957000" w:themeColor="accent4" w:themeShade="95" w:sz="4" w:space="0"/>
        <w:bottom w:val="single" w:color="957000" w:themeColor="accent4" w:themeShade="95" w:sz="4" w:space="0"/>
        <w:right w:val="single" w:color="957000" w:themeColor="accent4" w:themeShade="95" w:sz="4" w:space="0"/>
        <w:insideH w:val="single" w:color="957000" w:themeColor="accent4" w:themeShade="95" w:sz="4" w:space="0"/>
        <w:insideV w:val="single" w:color="957000" w:themeColor="accent4" w:themeShade="95" w:sz="4" w:space="0"/>
      </w:tblBorders>
      <w:tblCellMar>
        <w:left w:w="108" w:type="dxa"/>
        <w:top w:w="0" w:type="dxa"/>
        <w:right w:w="108"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2cb" w:themeColor="accent4" w:themeTint="34" w:fill="fff2cb" w:themeFill="accent4" w:themeFillTint="34"/>
      </w:tcPr>
    </w:tblStylePr>
    <w:tblStylePr w:type="band2Vert">
      <w:rPr>
        <w:rFonts w:ascii="Arial" w:hAnsi="Arial"/>
        <w:color w:val="404040"/>
        <w:sz w:val="22"/>
      </w:rPr>
      <w:tcPr>
        <w:shd w:val="clear" w:color="fff2cb" w:themeColor="accent4" w:themeTint="34" w:fill="fff2cb" w:themeFill="accent4" w:themeFillTint="34"/>
      </w:tcPr>
    </w:tblStylePr>
    <w:tblStylePr w:type="firstCol">
      <w:rPr>
        <w:rFonts w:ascii="Arial" w:hAnsi="Arial"/>
        <w:color w:val="f2f2f2"/>
        <w:sz w:val="22"/>
      </w:rPr>
      <w:tcPr>
        <w:shd w:val="clear" w:color="ffd865" w:themeColor="accent4" w:themeTint="9A" w:fill="ffd865" w:themeFill="accent4" w:themeFillTint="9A"/>
      </w:tcPr>
    </w:tblStylePr>
    <w:tblStylePr w:type="firstRow">
      <w:rPr>
        <w:rFonts w:ascii="Arial" w:hAnsi="Arial"/>
        <w:color w:val="f2f2f2"/>
        <w:sz w:val="22"/>
      </w:rPr>
      <w:tcPr>
        <w:shd w:val="clear" w:color="ffd865" w:themeColor="accent4" w:themeTint="9A" w:fill="ffd865" w:themeFill="accent4" w:themeFillTint="9A"/>
      </w:tcPr>
    </w:tblStylePr>
    <w:tblStylePr w:type="lastCol">
      <w:rPr>
        <w:rFonts w:ascii="Arial" w:hAnsi="Arial"/>
        <w:color w:val="f2f2f2"/>
        <w:sz w:val="22"/>
      </w:rPr>
      <w:tcPr>
        <w:shd w:val="clear" w:color="ffd865" w:themeColor="accent4" w:themeTint="9A" w:fill="ffd865" w:themeFill="accent4" w:themeFillTint="9A"/>
      </w:tcPr>
    </w:tblStylePr>
    <w:tblStylePr w:type="lastRow">
      <w:rPr>
        <w:rFonts w:ascii="Arial" w:hAnsi="Arial"/>
        <w:color w:val="f2f2f2"/>
        <w:sz w:val="22"/>
      </w:rPr>
      <w:tcPr>
        <w:shd w:val="clear" w:color="ffd865" w:themeColor="accent4" w:themeTint="9A" w:fill="ffd865" w:themeFill="accent4" w:themeFillTint="9A"/>
      </w:tcPr>
    </w:tblStylePr>
  </w:style>
  <w:style w:type="table" w:styleId="889" w:customStyle="1">
    <w:name w:val="Bordered &amp; Lined - Accent 5"/>
    <w:basedOn w:val="756"/>
    <w:uiPriority w:val="99"/>
    <w:pPr>
      <w:spacing w:after="0" w:line="240" w:lineRule="auto"/>
    </w:pPr>
    <w:rPr>
      <w:color w:val="404040"/>
      <w:sz w:val="20"/>
      <w:szCs w:val="20"/>
      <w:lang w:eastAsia="ru-RU"/>
    </w:rPr>
    <w:tblPr>
      <w:tblStyleRowBandSize w:val="1"/>
      <w:tblStyleColBandSize w:val="1"/>
      <w:tblInd w:w="0" w:type="dxa"/>
      <w:tblBorders>
        <w:top w:val="single" w:color="254175" w:themeColor="accent5" w:themeShade="95" w:sz="4" w:space="0"/>
        <w:left w:val="single" w:color="254175" w:themeColor="accent5" w:themeShade="95" w:sz="4" w:space="0"/>
        <w:bottom w:val="single" w:color="254175" w:themeColor="accent5" w:themeShade="95" w:sz="4" w:space="0"/>
        <w:right w:val="single" w:color="254175" w:themeColor="accent5" w:themeShade="95" w:sz="4" w:space="0"/>
        <w:insideH w:val="single" w:color="254175" w:themeColor="accent5" w:themeShade="95" w:sz="4" w:space="0"/>
        <w:insideV w:val="single" w:color="254175" w:themeColor="accent5" w:themeShade="95" w:sz="4" w:space="0"/>
      </w:tblBorders>
      <w:tblCellMar>
        <w:left w:w="108" w:type="dxa"/>
        <w:top w:w="0" w:type="dxa"/>
        <w:right w:w="108"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8e2f3" w:themeColor="accent5" w:themeTint="34" w:fill="d8e2f3" w:themeFill="accent5" w:themeFillTint="34"/>
      </w:tcPr>
    </w:tblStylePr>
    <w:tblStylePr w:type="band2Vert">
      <w:rPr>
        <w:rFonts w:ascii="Arial" w:hAnsi="Arial"/>
        <w:color w:val="404040"/>
        <w:sz w:val="22"/>
      </w:rPr>
      <w:tcPr>
        <w:shd w:val="clear" w:color="d8e2f3" w:themeColor="accent5" w:themeTint="34" w:fill="d8e2f3" w:themeFill="accent5" w:themeFillTint="34"/>
      </w:tcPr>
    </w:tblStylePr>
    <w:tblStylePr w:type="firstCol">
      <w:rPr>
        <w:rFonts w:ascii="Arial" w:hAnsi="Arial"/>
        <w:color w:val="f2f2f2"/>
        <w:sz w:val="22"/>
      </w:rPr>
      <w:tcPr>
        <w:shd w:val="clear" w:color="4472c4" w:themeColor="accent5" w:fill="4472c4" w:themeFill="accent5"/>
      </w:tcPr>
    </w:tblStylePr>
    <w:tblStylePr w:type="firstRow">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style>
  <w:style w:type="table" w:styleId="890" w:customStyle="1">
    <w:name w:val="Bordered &amp; Lined - Accent 6"/>
    <w:basedOn w:val="756"/>
    <w:uiPriority w:val="99"/>
    <w:pPr>
      <w:spacing w:after="0" w:line="240" w:lineRule="auto"/>
    </w:pPr>
    <w:rPr>
      <w:color w:val="404040"/>
      <w:sz w:val="20"/>
      <w:szCs w:val="20"/>
      <w:lang w:eastAsia="ru-RU"/>
    </w:rPr>
    <w:tblPr>
      <w:tblStyleRowBandSize w:val="1"/>
      <w:tblStyleColBandSize w:val="1"/>
      <w:tblInd w:w="0" w:type="dxa"/>
      <w:tblBorders>
        <w:top w:val="single" w:color="416429" w:themeColor="accent6" w:themeShade="95" w:sz="4" w:space="0"/>
        <w:left w:val="single" w:color="416429" w:themeColor="accent6" w:themeShade="95" w:sz="4" w:space="0"/>
        <w:bottom w:val="single" w:color="416429" w:themeColor="accent6" w:themeShade="95" w:sz="4" w:space="0"/>
        <w:right w:val="single" w:color="416429" w:themeColor="accent6" w:themeShade="95" w:sz="4" w:space="0"/>
        <w:insideH w:val="single" w:color="416429" w:themeColor="accent6" w:themeShade="95" w:sz="4" w:space="0"/>
        <w:insideV w:val="single" w:color="416429" w:themeColor="accent6" w:themeShade="95" w:sz="4" w:space="0"/>
      </w:tblBorders>
      <w:tblCellMar>
        <w:left w:w="108" w:type="dxa"/>
        <w:top w:w="0" w:type="dxa"/>
        <w:right w:w="108"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tblStylePr w:type="band2Vert">
      <w:rPr>
        <w:rFonts w:ascii="Arial" w:hAnsi="Arial"/>
        <w:color w:val="404040"/>
        <w:sz w:val="22"/>
      </w:rPr>
      <w:tcPr>
        <w:shd w:val="clear" w:color="e1efd8" w:themeColor="accent6" w:themeTint="34" w:fill="e1efd8" w:themeFill="accent6" w:themeFillTint="34"/>
      </w:tcPr>
    </w:tblStylePr>
    <w:tblStylePr w:type="firstCol">
      <w:rPr>
        <w:rFonts w:ascii="Arial" w:hAnsi="Arial"/>
        <w:color w:val="f2f2f2"/>
        <w:sz w:val="22"/>
      </w:rPr>
      <w:tcPr>
        <w:shd w:val="clear" w:color="70ad47" w:themeColor="accent6" w:fill="70ad47" w:themeFill="accent6"/>
      </w:tcPr>
    </w:tblStylePr>
    <w:tblStylePr w:type="firstRow">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style>
  <w:style w:type="table" w:styleId="891" w:customStyle="1">
    <w:name w:val="Bordered"/>
    <w:basedOn w:val="756"/>
    <w:uiPriority w:val="99"/>
    <w:pPr>
      <w:spacing w:after="0" w:line="240" w:lineRule="auto"/>
    </w:pPr>
    <w:tblPr>
      <w:tblStyleRowBandSize w:val="1"/>
      <w:tblStyleColBandSize w:val="1"/>
      <w:tblInd w:w="0" w:type="dxa"/>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CellMar>
        <w:left w:w="108" w:type="dxa"/>
        <w:top w:w="0" w:type="dxa"/>
        <w:right w:w="108" w:type="dxa"/>
        <w:bottom w:w="0" w:type="dxa"/>
      </w:tblCellMar>
    </w:tbl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themeColor="text1" w:themeTint="80" w:sz="12" w:space="0"/>
        </w:tcBorders>
      </w:tcPr>
    </w:tblStylePr>
    <w:tblStylePr w:type="lastCol">
      <w:rPr>
        <w:rFonts w:ascii="Arial" w:hAnsi="Arial"/>
        <w:color w:val="404040"/>
        <w:sz w:val="22"/>
      </w:rPr>
      <w:tcPr>
        <w:tcBorders>
          <w:left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style>
  <w:style w:type="table" w:styleId="892" w:customStyle="1">
    <w:name w:val="Bordered - Accent 1"/>
    <w:basedOn w:val="756"/>
    <w:uiPriority w:val="99"/>
    <w:pPr>
      <w:spacing w:after="0" w:line="240" w:lineRule="auto"/>
    </w:pPr>
    <w:tblPr>
      <w:tblStyleRowBandSize w:val="1"/>
      <w:tblStyleColBandSize w:val="1"/>
      <w:tblInd w:w="0" w:type="dxa"/>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CellMar>
        <w:left w:w="108" w:type="dxa"/>
        <w:top w:w="0" w:type="dxa"/>
        <w:right w:w="108" w:type="dxa"/>
        <w:bottom w:w="0" w:type="dxa"/>
      </w:tblCellMar>
    </w:tbl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5B9BD5" w:themeColor="accent1" w:sz="12" w:space="0"/>
        </w:tcBorders>
      </w:tcPr>
    </w:tblStylePr>
    <w:tblStylePr w:type="lastCol">
      <w:rPr>
        <w:rFonts w:ascii="Arial" w:hAnsi="Arial"/>
        <w:color w:val="404040"/>
        <w:sz w:val="22"/>
      </w:rPr>
      <w:tcPr>
        <w:tcBorders>
          <w:left w:val="single" w:color="5B9BD5" w:themeColor="accent1" w:sz="12" w:space="0"/>
        </w:tcBorders>
      </w:tcPr>
    </w:tblStylePr>
    <w:tblStylePr w:type="lastRow">
      <w:rPr>
        <w:rFonts w:ascii="Arial" w:hAnsi="Arial"/>
        <w:color w:val="404040"/>
        <w:sz w:val="22"/>
      </w:rPr>
      <w:tcPr>
        <w:tcBorders>
          <w:top w:val="single" w:color="5B9BD5" w:themeColor="accent1" w:sz="12" w:space="0"/>
        </w:tcBorders>
      </w:tcPr>
    </w:tblStylePr>
  </w:style>
  <w:style w:type="table" w:styleId="893" w:customStyle="1">
    <w:name w:val="Bordered - Accent 2"/>
    <w:basedOn w:val="756"/>
    <w:uiPriority w:val="99"/>
    <w:pPr>
      <w:spacing w:after="0" w:line="240" w:lineRule="auto"/>
    </w:pPr>
    <w:tblPr>
      <w:tblStyleRowBandSize w:val="1"/>
      <w:tblStyleColBandSize w:val="1"/>
      <w:tblInd w:w="0" w:type="dxa"/>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CellMar>
        <w:left w:w="108" w:type="dxa"/>
        <w:top w:w="0" w:type="dxa"/>
        <w:right w:w="108" w:type="dxa"/>
        <w:bottom w:w="0" w:type="dxa"/>
      </w:tblCellMar>
    </w:tbl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4B184" w:themeColor="accent2" w:themeTint="97" w:sz="12" w:space="0"/>
        </w:tcBorders>
      </w:tcPr>
    </w:tblStylePr>
    <w:tblStylePr w:type="lastCol">
      <w:rPr>
        <w:rFonts w:ascii="Arial" w:hAnsi="Arial"/>
        <w:color w:val="404040"/>
        <w:sz w:val="22"/>
      </w:rPr>
      <w:tcPr>
        <w:tcBorders>
          <w:left w:val="single" w:color="F4B184" w:themeColor="accent2" w:themeTint="97" w:sz="12" w:space="0"/>
        </w:tcBorders>
      </w:tcPr>
    </w:tblStylePr>
    <w:tblStylePr w:type="lastRow">
      <w:rPr>
        <w:rFonts w:ascii="Arial" w:hAnsi="Arial"/>
        <w:color w:val="404040"/>
        <w:sz w:val="22"/>
      </w:rPr>
      <w:tcPr>
        <w:tcBorders>
          <w:top w:val="single" w:color="F4B184" w:themeColor="accent2" w:themeTint="97" w:sz="12" w:space="0"/>
        </w:tcBorders>
      </w:tcPr>
    </w:tblStylePr>
  </w:style>
  <w:style w:type="table" w:styleId="894" w:customStyle="1">
    <w:name w:val="Bordered - Accent 3"/>
    <w:basedOn w:val="756"/>
    <w:uiPriority w:val="99"/>
    <w:pPr>
      <w:spacing w:after="0" w:line="240" w:lineRule="auto"/>
    </w:pPr>
    <w:tblPr>
      <w:tblStyleRowBandSize w:val="1"/>
      <w:tblStyleColBandSize w:val="1"/>
      <w:tblInd w:w="0" w:type="dxa"/>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CellMar>
        <w:left w:w="108" w:type="dxa"/>
        <w:top w:w="0" w:type="dxa"/>
        <w:right w:w="108" w:type="dxa"/>
        <w:bottom w:w="0" w:type="dxa"/>
      </w:tblCellMar>
    </w:tbl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C9C9C9" w:themeColor="accent3" w:themeTint="98" w:sz="12" w:space="0"/>
        </w:tcBorders>
      </w:tcPr>
    </w:tblStylePr>
    <w:tblStylePr w:type="lastCol">
      <w:rPr>
        <w:rFonts w:ascii="Arial" w:hAnsi="Arial"/>
        <w:color w:val="404040"/>
        <w:sz w:val="22"/>
      </w:rPr>
      <w:tcPr>
        <w:tcBorders>
          <w:left w:val="single" w:color="C9C9C9" w:themeColor="accent3" w:themeTint="98" w:sz="12" w:space="0"/>
        </w:tcBorders>
      </w:tcPr>
    </w:tblStylePr>
    <w:tblStylePr w:type="lastRow">
      <w:rPr>
        <w:rFonts w:ascii="Arial" w:hAnsi="Arial"/>
        <w:color w:val="404040"/>
        <w:sz w:val="22"/>
      </w:rPr>
      <w:tcPr>
        <w:tcBorders>
          <w:top w:val="single" w:color="C9C9C9" w:themeColor="accent3" w:themeTint="98" w:sz="12" w:space="0"/>
        </w:tcBorders>
      </w:tcPr>
    </w:tblStylePr>
  </w:style>
  <w:style w:type="table" w:styleId="895" w:customStyle="1">
    <w:name w:val="Bordered - Accent 4"/>
    <w:basedOn w:val="756"/>
    <w:uiPriority w:val="99"/>
    <w:pPr>
      <w:spacing w:after="0" w:line="240" w:lineRule="auto"/>
    </w:pPr>
    <w:tblPr>
      <w:tblStyleRowBandSize w:val="1"/>
      <w:tblStyleColBandSize w:val="1"/>
      <w:tblInd w:w="0" w:type="dxa"/>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CellMar>
        <w:left w:w="108" w:type="dxa"/>
        <w:top w:w="0" w:type="dxa"/>
        <w:right w:w="108" w:type="dxa"/>
        <w:bottom w:w="0" w:type="dxa"/>
      </w:tblCellMar>
    </w:tbl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FD865" w:themeColor="accent4" w:themeTint="9A" w:sz="12" w:space="0"/>
        </w:tcBorders>
      </w:tcPr>
    </w:tblStylePr>
    <w:tblStylePr w:type="lastCol">
      <w:rPr>
        <w:rFonts w:ascii="Arial" w:hAnsi="Arial"/>
        <w:color w:val="404040"/>
        <w:sz w:val="22"/>
      </w:rPr>
      <w:tcPr>
        <w:tcBorders>
          <w:left w:val="single" w:color="FFD865" w:themeColor="accent4" w:themeTint="9A" w:sz="12" w:space="0"/>
        </w:tcBorders>
      </w:tcPr>
    </w:tblStylePr>
    <w:tblStylePr w:type="lastRow">
      <w:rPr>
        <w:rFonts w:ascii="Arial" w:hAnsi="Arial"/>
        <w:color w:val="404040"/>
        <w:sz w:val="22"/>
      </w:rPr>
      <w:tcPr>
        <w:tcBorders>
          <w:top w:val="single" w:color="FFD865" w:themeColor="accent4" w:themeTint="9A" w:sz="12" w:space="0"/>
        </w:tcBorders>
      </w:tcPr>
    </w:tblStylePr>
  </w:style>
  <w:style w:type="table" w:styleId="896" w:customStyle="1">
    <w:name w:val="Bordered - Accent 5"/>
    <w:basedOn w:val="756"/>
    <w:uiPriority w:val="99"/>
    <w:pPr>
      <w:spacing w:after="0" w:line="240" w:lineRule="auto"/>
    </w:pPr>
    <w:tblPr>
      <w:tblStyleRowBandSize w:val="1"/>
      <w:tblStyleColBandSize w:val="1"/>
      <w:tblInd w:w="0" w:type="dxa"/>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CellMar>
        <w:left w:w="108" w:type="dxa"/>
        <w:top w:w="0" w:type="dxa"/>
        <w:right w:w="108" w:type="dxa"/>
        <w:bottom w:w="0" w:type="dxa"/>
      </w:tblCellMar>
    </w:tblPr>
    <w:tblStylePr w:type="band1Horz">
      <w:rPr>
        <w:rFonts w:ascii="Arial" w:hAnsi="Arial"/>
        <w:color w:val="404040"/>
        <w:sz w:val="22"/>
      </w:r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8DA9DB" w:themeColor="accent5" w:themeTint="9A" w:sz="12" w:space="0"/>
        </w:tcBorders>
      </w:tcPr>
    </w:tblStylePr>
    <w:tblStylePr w:type="lastCol">
      <w:rPr>
        <w:rFonts w:ascii="Arial" w:hAnsi="Arial"/>
        <w:color w:val="404040"/>
        <w:sz w:val="22"/>
      </w:rPr>
      <w:tcPr>
        <w:tcBorders>
          <w:left w:val="single" w:color="8DA9DB" w:themeColor="accent5" w:themeTint="9A" w:sz="12" w:space="0"/>
        </w:tcBorders>
      </w:tcPr>
    </w:tblStylePr>
    <w:tblStylePr w:type="lastRow">
      <w:rPr>
        <w:rFonts w:ascii="Arial" w:hAnsi="Arial"/>
        <w:color w:val="404040"/>
        <w:sz w:val="22"/>
      </w:rPr>
      <w:tcPr>
        <w:tcBorders>
          <w:top w:val="single" w:color="8DA9DB" w:themeColor="accent5" w:themeTint="9A" w:sz="12" w:space="0"/>
        </w:tcBorders>
      </w:tcPr>
    </w:tblStylePr>
  </w:style>
  <w:style w:type="table" w:styleId="897" w:customStyle="1">
    <w:name w:val="Bordered - Accent 6"/>
    <w:basedOn w:val="756"/>
    <w:uiPriority w:val="99"/>
    <w:pPr>
      <w:spacing w:after="0" w:line="240" w:lineRule="auto"/>
    </w:pPr>
    <w:tblPr>
      <w:tblStyleRowBandSize w:val="1"/>
      <w:tblStyleColBandSize w:val="1"/>
      <w:tblInd w:w="0" w:type="dxa"/>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CellMar>
        <w:left w:w="108" w:type="dxa"/>
        <w:top w:w="0" w:type="dxa"/>
        <w:right w:w="108" w:type="dxa"/>
        <w:bottom w:w="0" w:type="dxa"/>
      </w:tblCellMar>
    </w:tbl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A9D08E" w:themeColor="accent6" w:themeTint="98" w:sz="12" w:space="0"/>
        </w:tcBorders>
      </w:tcPr>
    </w:tblStylePr>
    <w:tblStylePr w:type="lastCol">
      <w:rPr>
        <w:rFonts w:ascii="Arial" w:hAnsi="Arial"/>
        <w:color w:val="404040"/>
        <w:sz w:val="22"/>
      </w:rPr>
      <w:tcPr>
        <w:tcBorders>
          <w:left w:val="single" w:color="A9D08E" w:themeColor="accent6" w:themeTint="98" w:sz="12" w:space="0"/>
        </w:tcBorders>
      </w:tcPr>
    </w:tblStylePr>
    <w:tblStylePr w:type="lastRow">
      <w:rPr>
        <w:rFonts w:ascii="Arial" w:hAnsi="Arial"/>
        <w:color w:val="404040"/>
        <w:sz w:val="22"/>
      </w:rPr>
      <w:tcPr>
        <w:tcBorders>
          <w:top w:val="single" w:color="A9D08E" w:themeColor="accent6" w:themeTint="98" w:sz="12" w:space="0"/>
        </w:tcBorders>
      </w:tcPr>
    </w:tblStylePr>
  </w:style>
  <w:style w:type="character" w:styleId="898" w:customStyle="1">
    <w:name w:val="Footnote Text Char"/>
    <w:link w:val="1028"/>
    <w:uiPriority w:val="99"/>
    <w:rPr>
      <w:sz w:val="18"/>
    </w:rPr>
  </w:style>
  <w:style w:type="character" w:styleId="899" w:customStyle="1">
    <w:name w:val="Endnote Text Char"/>
    <w:link w:val="1249"/>
    <w:uiPriority w:val="99"/>
    <w:rPr>
      <w:sz w:val="20"/>
    </w:rPr>
  </w:style>
  <w:style w:type="paragraph" w:styleId="900">
    <w:name w:val="table of figures"/>
    <w:basedOn w:val="754"/>
    <w:next w:val="754"/>
    <w:uiPriority w:val="99"/>
    <w:unhideWhenUsed/>
  </w:style>
  <w:style w:type="paragraph" w:styleId="901" w:customStyle="1">
    <w:name w:val="Heading 1"/>
    <w:basedOn w:val="754"/>
    <w:next w:val="754"/>
    <w:link w:val="911"/>
    <w:uiPriority w:val="9"/>
    <w:qFormat/>
    <w:pPr>
      <w:numPr>
        <w:numId w:val="1"/>
      </w:numPr>
      <w:ind w:left="0" w:firstLine="540"/>
      <w:jc w:val="center"/>
      <w:keepNext/>
      <w:spacing w:after="144" w:line="262" w:lineRule="atLeast"/>
      <w:shd w:val="clear" w:color="auto" w:fill="ffffff"/>
      <w:widowControl/>
      <w:outlineLvl w:val="0"/>
    </w:pPr>
    <w:rPr>
      <w:rFonts w:ascii="Cambria" w:hAnsi="Cambria"/>
      <w:b/>
      <w:bCs/>
      <w:sz w:val="32"/>
      <w:szCs w:val="32"/>
    </w:rPr>
  </w:style>
  <w:style w:type="paragraph" w:styleId="902" w:customStyle="1">
    <w:name w:val="Heading 2"/>
    <w:basedOn w:val="754"/>
    <w:next w:val="754"/>
    <w:link w:val="913"/>
    <w:unhideWhenUsed/>
    <w:qFormat/>
    <w:pPr>
      <w:keepLines/>
      <w:keepNext/>
      <w:spacing w:before="40"/>
      <w:outlineLvl w:val="1"/>
    </w:pPr>
    <w:rPr>
      <w:rFonts w:asciiTheme="majorHAnsi" w:hAnsiTheme="majorHAnsi" w:eastAsiaTheme="majorEastAsia" w:cstheme="majorBidi"/>
      <w:color w:val="2e74b5" w:themeColor="accent1" w:themeShade="BF"/>
      <w:sz w:val="26"/>
      <w:szCs w:val="26"/>
    </w:rPr>
  </w:style>
  <w:style w:type="paragraph" w:styleId="903" w:customStyle="1">
    <w:name w:val="Heading 3"/>
    <w:basedOn w:val="754"/>
    <w:next w:val="754"/>
    <w:link w:val="914"/>
    <w:unhideWhenUsed/>
    <w:qFormat/>
    <w:pPr>
      <w:keepLines/>
      <w:keepNext/>
      <w:spacing w:before="40"/>
      <w:outlineLvl w:val="2"/>
    </w:pPr>
    <w:rPr>
      <w:rFonts w:asciiTheme="majorHAnsi" w:hAnsiTheme="majorHAnsi" w:eastAsiaTheme="majorEastAsia" w:cstheme="majorBidi"/>
      <w:color w:val="1f4d78" w:themeColor="accent1" w:themeShade="7F"/>
      <w:sz w:val="24"/>
      <w:szCs w:val="24"/>
    </w:rPr>
  </w:style>
  <w:style w:type="paragraph" w:styleId="904" w:customStyle="1">
    <w:name w:val="Heading 4"/>
    <w:basedOn w:val="754"/>
    <w:next w:val="754"/>
    <w:link w:val="915"/>
    <w:uiPriority w:val="9"/>
    <w:qFormat/>
    <w:pPr>
      <w:numPr>
        <w:ilvl w:val="3"/>
        <w:numId w:val="1"/>
      </w:numPr>
      <w:keepNext/>
      <w:spacing w:before="240" w:after="60"/>
      <w:widowControl/>
      <w:outlineLvl w:val="3"/>
    </w:pPr>
    <w:rPr>
      <w:rFonts w:ascii="Calibri" w:hAnsi="Calibri"/>
      <w:b/>
      <w:bCs/>
      <w:sz w:val="28"/>
      <w:szCs w:val="28"/>
    </w:rPr>
  </w:style>
  <w:style w:type="paragraph" w:styleId="905" w:customStyle="1">
    <w:name w:val="Heading 5"/>
    <w:basedOn w:val="754"/>
    <w:next w:val="754"/>
    <w:link w:val="916"/>
    <w:unhideWhenUsed/>
    <w:qFormat/>
    <w:pPr>
      <w:spacing w:before="240" w:after="60"/>
      <w:outlineLvl w:val="4"/>
    </w:pPr>
    <w:rPr>
      <w:rFonts w:ascii="Calibri" w:hAnsi="Calibri"/>
      <w:b/>
      <w:bCs/>
      <w:i/>
      <w:iCs/>
      <w:sz w:val="26"/>
      <w:szCs w:val="26"/>
    </w:rPr>
  </w:style>
  <w:style w:type="paragraph" w:styleId="906" w:customStyle="1">
    <w:name w:val="Heading 6"/>
    <w:basedOn w:val="754"/>
    <w:next w:val="754"/>
    <w:link w:val="1080"/>
    <w:uiPriority w:val="9"/>
    <w:qFormat/>
    <w:pPr>
      <w:ind w:firstLine="567"/>
      <w:spacing w:before="240" w:after="60"/>
      <w:widowControl/>
      <w:outlineLvl w:val="5"/>
    </w:pPr>
    <w:rPr>
      <w:b/>
      <w:bCs/>
      <w:sz w:val="22"/>
      <w:szCs w:val="22"/>
    </w:rPr>
  </w:style>
  <w:style w:type="paragraph" w:styleId="907" w:customStyle="1">
    <w:name w:val="Heading 7"/>
    <w:basedOn w:val="754"/>
    <w:next w:val="754"/>
    <w:link w:val="1081"/>
    <w:uiPriority w:val="9"/>
    <w:qFormat/>
    <w:pPr>
      <w:ind w:firstLine="567"/>
      <w:spacing w:before="240" w:after="60"/>
      <w:widowControl/>
      <w:outlineLvl w:val="6"/>
    </w:pPr>
    <w:rPr>
      <w:sz w:val="24"/>
      <w:szCs w:val="24"/>
    </w:rPr>
  </w:style>
  <w:style w:type="paragraph" w:styleId="908" w:customStyle="1">
    <w:name w:val="Heading 8"/>
    <w:basedOn w:val="754"/>
    <w:next w:val="754"/>
    <w:link w:val="1082"/>
    <w:uiPriority w:val="9"/>
    <w:qFormat/>
    <w:pPr>
      <w:ind w:firstLine="567"/>
      <w:spacing w:before="240" w:after="60"/>
      <w:widowControl/>
      <w:outlineLvl w:val="7"/>
    </w:pPr>
    <w:rPr>
      <w:i/>
      <w:iCs/>
      <w:sz w:val="24"/>
      <w:szCs w:val="24"/>
    </w:rPr>
  </w:style>
  <w:style w:type="paragraph" w:styleId="909" w:customStyle="1">
    <w:name w:val="Heading 9"/>
    <w:basedOn w:val="754"/>
    <w:next w:val="754"/>
    <w:link w:val="1083"/>
    <w:uiPriority w:val="9"/>
    <w:qFormat/>
    <w:pPr>
      <w:ind w:firstLine="567"/>
      <w:spacing w:before="240" w:after="60"/>
      <w:widowControl/>
      <w:outlineLvl w:val="8"/>
    </w:pPr>
    <w:rPr>
      <w:rFonts w:ascii="Arial" w:hAnsi="Arial"/>
      <w:sz w:val="22"/>
      <w:szCs w:val="22"/>
    </w:rPr>
  </w:style>
  <w:style w:type="paragraph" w:styleId="910" w:customStyle="1">
    <w:name w:val="Standard"/>
    <w:pPr>
      <w:spacing w:after="0" w:line="240" w:lineRule="auto"/>
    </w:pPr>
    <w:rPr>
      <w:rFonts w:ascii="Times New Roman" w:hAnsi="Times New Roman" w:eastAsia="Times New Roman" w:cs="Times New Roman"/>
      <w:sz w:val="28"/>
      <w:szCs w:val="24"/>
      <w:lang w:eastAsia="ru-RU"/>
    </w:rPr>
  </w:style>
  <w:style w:type="character" w:styleId="911" w:customStyle="1">
    <w:name w:val="Заголовок 1 Знак"/>
    <w:basedOn w:val="755"/>
    <w:link w:val="901"/>
    <w:uiPriority w:val="9"/>
    <w:rPr>
      <w:rFonts w:ascii="Cambria" w:hAnsi="Cambria" w:eastAsia="Times New Roman" w:cs="Times New Roman"/>
      <w:b/>
      <w:bCs/>
      <w:sz w:val="32"/>
      <w:szCs w:val="32"/>
      <w:shd w:val="clear" w:color="auto" w:fill="ffffff"/>
      <w:lang w:eastAsia="ar-SA"/>
    </w:rPr>
  </w:style>
  <w:style w:type="character" w:styleId="912" w:customStyle="1">
    <w:name w:val="hl"/>
    <w:basedOn w:val="755"/>
  </w:style>
  <w:style w:type="character" w:styleId="913" w:customStyle="1">
    <w:name w:val="Заголовок 2 Знак"/>
    <w:basedOn w:val="755"/>
    <w:link w:val="902"/>
    <w:rPr>
      <w:rFonts w:asciiTheme="majorHAnsi" w:hAnsiTheme="majorHAnsi" w:eastAsiaTheme="majorEastAsia" w:cstheme="majorBidi"/>
      <w:color w:val="2e74b5" w:themeColor="accent1" w:themeShade="BF"/>
      <w:sz w:val="26"/>
      <w:szCs w:val="26"/>
      <w:lang w:eastAsia="ar-SA"/>
    </w:rPr>
  </w:style>
  <w:style w:type="character" w:styleId="914" w:customStyle="1">
    <w:name w:val="Заголовок 3 Знак"/>
    <w:basedOn w:val="755"/>
    <w:link w:val="903"/>
    <w:rPr>
      <w:rFonts w:asciiTheme="majorHAnsi" w:hAnsiTheme="majorHAnsi" w:eastAsiaTheme="majorEastAsia" w:cstheme="majorBidi"/>
      <w:color w:val="1f4d78" w:themeColor="accent1" w:themeShade="7F"/>
      <w:sz w:val="24"/>
      <w:szCs w:val="24"/>
      <w:lang w:eastAsia="ar-SA"/>
    </w:rPr>
  </w:style>
  <w:style w:type="character" w:styleId="915" w:customStyle="1">
    <w:name w:val="Заголовок 4 Знак"/>
    <w:basedOn w:val="755"/>
    <w:link w:val="904"/>
    <w:uiPriority w:val="9"/>
    <w:rPr>
      <w:rFonts w:ascii="Calibri" w:hAnsi="Calibri" w:eastAsia="Times New Roman" w:cs="Times New Roman"/>
      <w:b/>
      <w:bCs/>
      <w:sz w:val="28"/>
      <w:szCs w:val="28"/>
      <w:lang w:eastAsia="ar-SA"/>
    </w:rPr>
  </w:style>
  <w:style w:type="character" w:styleId="916" w:customStyle="1">
    <w:name w:val="Заголовок 5 Знак"/>
    <w:basedOn w:val="755"/>
    <w:link w:val="905"/>
    <w:rPr>
      <w:rFonts w:ascii="Calibri" w:hAnsi="Calibri" w:eastAsia="Times New Roman" w:cs="Times New Roman"/>
      <w:b/>
      <w:bCs/>
      <w:i/>
      <w:iCs/>
      <w:sz w:val="26"/>
      <w:szCs w:val="26"/>
      <w:lang w:eastAsia="ar-SA"/>
    </w:rPr>
  </w:style>
  <w:style w:type="numbering" w:styleId="917" w:customStyle="1">
    <w:name w:val="Нет списка1"/>
    <w:next w:val="757"/>
    <w:uiPriority w:val="99"/>
    <w:semiHidden/>
    <w:unhideWhenUsed/>
  </w:style>
  <w:style w:type="character" w:styleId="918" w:customStyle="1">
    <w:name w:val="Absatz-Standardschriftart"/>
  </w:style>
  <w:style w:type="character" w:styleId="919" w:customStyle="1">
    <w:name w:val="WW8Num5z0"/>
    <w:rPr>
      <w:rFonts w:ascii="Symbol" w:hAnsi="Symbol"/>
    </w:rPr>
  </w:style>
  <w:style w:type="character" w:styleId="920" w:customStyle="1">
    <w:name w:val="WW8Num6z0"/>
    <w:rPr>
      <w:rFonts w:cs="Times New Roman"/>
    </w:rPr>
  </w:style>
  <w:style w:type="character" w:styleId="921" w:customStyle="1">
    <w:name w:val="WW8Num7z0"/>
    <w:rPr>
      <w:rFonts w:cs="Times New Roman"/>
    </w:rPr>
  </w:style>
  <w:style w:type="character" w:styleId="922" w:customStyle="1">
    <w:name w:val="WW8Num8z0"/>
    <w:rPr>
      <w:rFonts w:cs="Times New Roman"/>
    </w:rPr>
  </w:style>
  <w:style w:type="character" w:styleId="923" w:customStyle="1">
    <w:name w:val="WW8Num9z0"/>
    <w:rPr>
      <w:rFonts w:cs="Times New Roman"/>
    </w:rPr>
  </w:style>
  <w:style w:type="character" w:styleId="924" w:customStyle="1">
    <w:name w:val="WW8Num10z0"/>
    <w:rPr>
      <w:rFonts w:cs="Times New Roman"/>
    </w:rPr>
  </w:style>
  <w:style w:type="character" w:styleId="925" w:customStyle="1">
    <w:name w:val="WW8Num11z0"/>
    <w:rPr>
      <w:rFonts w:ascii="Wingdings" w:hAnsi="Wingdings"/>
    </w:rPr>
  </w:style>
  <w:style w:type="character" w:styleId="926" w:customStyle="1">
    <w:name w:val="WW8Num11z1"/>
    <w:rPr>
      <w:rFonts w:ascii="Courier New" w:hAnsi="Courier New"/>
    </w:rPr>
  </w:style>
  <w:style w:type="character" w:styleId="927" w:customStyle="1">
    <w:name w:val="WW8Num11z3"/>
    <w:rPr>
      <w:rFonts w:ascii="Symbol" w:hAnsi="Symbol"/>
    </w:rPr>
  </w:style>
  <w:style w:type="character" w:styleId="928" w:customStyle="1">
    <w:name w:val="WW8Num12z0"/>
    <w:rPr>
      <w:rFonts w:cs="Times New Roman"/>
    </w:rPr>
  </w:style>
  <w:style w:type="character" w:styleId="929" w:customStyle="1">
    <w:name w:val="WW8Num13z0"/>
    <w:rPr>
      <w:rFonts w:cs="Times New Roman"/>
    </w:rPr>
  </w:style>
  <w:style w:type="character" w:styleId="930" w:customStyle="1">
    <w:name w:val="WW8Num14z0"/>
    <w:rPr>
      <w:rFonts w:ascii="Symbol" w:hAnsi="Symbol"/>
    </w:rPr>
  </w:style>
  <w:style w:type="character" w:styleId="931" w:customStyle="1">
    <w:name w:val="WW8Num15z0"/>
    <w:rPr>
      <w:rFonts w:cs="Times New Roman"/>
      <w:sz w:val="24"/>
      <w:szCs w:val="24"/>
    </w:rPr>
  </w:style>
  <w:style w:type="character" w:styleId="932" w:customStyle="1">
    <w:name w:val="WW8Num15z1"/>
    <w:rPr>
      <w:rFonts w:cs="Times New Roman"/>
    </w:rPr>
  </w:style>
  <w:style w:type="character" w:styleId="933" w:customStyle="1">
    <w:name w:val="WW8Num16z0"/>
    <w:rPr>
      <w:rFonts w:cs="Times New Roman"/>
    </w:rPr>
  </w:style>
  <w:style w:type="character" w:styleId="934" w:customStyle="1">
    <w:name w:val="WW8Num17z0"/>
    <w:rPr>
      <w:rFonts w:cs="Times New Roman"/>
    </w:rPr>
  </w:style>
  <w:style w:type="character" w:styleId="935" w:customStyle="1">
    <w:name w:val="WW8Num18z0"/>
    <w:rPr>
      <w:rFonts w:cs="Times New Roman"/>
    </w:rPr>
  </w:style>
  <w:style w:type="character" w:styleId="936" w:customStyle="1">
    <w:name w:val="WW8Num19z0"/>
    <w:rPr>
      <w:rFonts w:cs="Times New Roman"/>
    </w:rPr>
  </w:style>
  <w:style w:type="character" w:styleId="937" w:customStyle="1">
    <w:name w:val="WW8Num20z0"/>
    <w:rPr>
      <w:rFonts w:ascii="Symbol" w:hAnsi="Symbol"/>
    </w:rPr>
  </w:style>
  <w:style w:type="character" w:styleId="938" w:customStyle="1">
    <w:name w:val="WW8Num21z0"/>
    <w:rPr>
      <w:rFonts w:cs="Times New Roman"/>
    </w:rPr>
  </w:style>
  <w:style w:type="character" w:styleId="939" w:customStyle="1">
    <w:name w:val="WW8Num22z0"/>
    <w:rPr>
      <w:rFonts w:cs="Times New Roman"/>
    </w:rPr>
  </w:style>
  <w:style w:type="character" w:styleId="940" w:customStyle="1">
    <w:name w:val="WW8Num23z0"/>
    <w:rPr>
      <w:rFonts w:cs="Times New Roman"/>
    </w:rPr>
  </w:style>
  <w:style w:type="character" w:styleId="941" w:customStyle="1">
    <w:name w:val="WW8Num24z0"/>
    <w:rPr>
      <w:rFonts w:cs="Times New Roman"/>
    </w:rPr>
  </w:style>
  <w:style w:type="character" w:styleId="942" w:customStyle="1">
    <w:name w:val="WW8Num25z0"/>
    <w:rPr>
      <w:rFonts w:cs="Times New Roman"/>
    </w:rPr>
  </w:style>
  <w:style w:type="character" w:styleId="943" w:customStyle="1">
    <w:name w:val="WW8Num26z0"/>
    <w:rPr>
      <w:rFonts w:ascii="Symbol" w:hAnsi="Symbol"/>
    </w:rPr>
  </w:style>
  <w:style w:type="character" w:styleId="944" w:customStyle="1">
    <w:name w:val="WW8Num27z0"/>
    <w:rPr>
      <w:rFonts w:cs="Times New Roman"/>
    </w:rPr>
  </w:style>
  <w:style w:type="character" w:styleId="945" w:customStyle="1">
    <w:name w:val="WW8Num28z0"/>
    <w:rPr>
      <w:rFonts w:cs="Times New Roman"/>
    </w:rPr>
  </w:style>
  <w:style w:type="character" w:styleId="946" w:customStyle="1">
    <w:name w:val="WW8Num29z0"/>
    <w:rPr>
      <w:rFonts w:cs="Times New Roman"/>
    </w:rPr>
  </w:style>
  <w:style w:type="character" w:styleId="947" w:customStyle="1">
    <w:name w:val="WW8Num30z0"/>
    <w:rPr>
      <w:rFonts w:cs="Times New Roman"/>
    </w:rPr>
  </w:style>
  <w:style w:type="character" w:styleId="948" w:customStyle="1">
    <w:name w:val="WW8Num31z0"/>
    <w:rPr>
      <w:rFonts w:cs="Times New Roman"/>
    </w:rPr>
  </w:style>
  <w:style w:type="character" w:styleId="949" w:customStyle="1">
    <w:name w:val="WW8Num32z0"/>
    <w:rPr>
      <w:rFonts w:cs="Times New Roman"/>
    </w:rPr>
  </w:style>
  <w:style w:type="character" w:styleId="950" w:customStyle="1">
    <w:name w:val="WW8Num33z0"/>
    <w:rPr>
      <w:rFonts w:cs="Times New Roman"/>
    </w:rPr>
  </w:style>
  <w:style w:type="character" w:styleId="951" w:customStyle="1">
    <w:name w:val="WW8Num34z0"/>
    <w:rPr>
      <w:rFonts w:ascii="Symbol" w:hAnsi="Symbol"/>
    </w:rPr>
  </w:style>
  <w:style w:type="character" w:styleId="952" w:customStyle="1">
    <w:name w:val="WW8Num35z0"/>
    <w:rPr>
      <w:rFonts w:ascii="Symbol" w:hAnsi="Symbol"/>
    </w:rPr>
  </w:style>
  <w:style w:type="character" w:styleId="953" w:customStyle="1">
    <w:name w:val="WW8Num36z0"/>
    <w:rPr>
      <w:rFonts w:ascii="Symbol" w:hAnsi="Symbol"/>
    </w:rPr>
  </w:style>
  <w:style w:type="character" w:styleId="954" w:customStyle="1">
    <w:name w:val="WW8Num37z0"/>
    <w:rPr>
      <w:rFonts w:cs="Times New Roman"/>
    </w:rPr>
  </w:style>
  <w:style w:type="character" w:styleId="955" w:customStyle="1">
    <w:name w:val="WW8Num39z0"/>
    <w:rPr>
      <w:rFonts w:cs="Times New Roman"/>
    </w:rPr>
  </w:style>
  <w:style w:type="character" w:styleId="956" w:customStyle="1">
    <w:name w:val="WW8Num40z0"/>
    <w:rPr>
      <w:rFonts w:cs="Times New Roman"/>
    </w:rPr>
  </w:style>
  <w:style w:type="character" w:styleId="957" w:customStyle="1">
    <w:name w:val="WW8Num41z0"/>
    <w:rPr>
      <w:rFonts w:cs="Times New Roman"/>
    </w:rPr>
  </w:style>
  <w:style w:type="character" w:styleId="958" w:customStyle="1">
    <w:name w:val="WW8Num42z0"/>
    <w:rPr>
      <w:rFonts w:cs="Times New Roman"/>
    </w:rPr>
  </w:style>
  <w:style w:type="character" w:styleId="959" w:customStyle="1">
    <w:name w:val="Основной шрифт абзаца3"/>
  </w:style>
  <w:style w:type="character" w:styleId="960" w:customStyle="1">
    <w:name w:val="Название Знак"/>
    <w:uiPriority w:val="10"/>
    <w:rPr>
      <w:rFonts w:ascii="Times New Roman" w:hAnsi="Times New Roman" w:cs="Times New Roman"/>
      <w:sz w:val="28"/>
      <w:szCs w:val="28"/>
    </w:rPr>
  </w:style>
  <w:style w:type="character" w:styleId="961" w:customStyle="1">
    <w:name w:val="Нижний колонтитул Знак"/>
    <w:uiPriority w:val="99"/>
    <w:rPr>
      <w:rFonts w:ascii="Times New Roman" w:hAnsi="Times New Roman" w:eastAsia="SimSun" w:cs="Times New Roman"/>
      <w:sz w:val="24"/>
      <w:szCs w:val="24"/>
    </w:rPr>
  </w:style>
  <w:style w:type="character" w:styleId="962">
    <w:name w:val="page number"/>
    <w:rPr>
      <w:rFonts w:cs="Times New Roman"/>
    </w:rPr>
  </w:style>
  <w:style w:type="character" w:styleId="963" w:customStyle="1">
    <w:name w:val="Основной текст Знак"/>
    <w:rPr>
      <w:rFonts w:ascii="Times New Roman" w:hAnsi="Times New Roman" w:cs="Times New Roman"/>
      <w:b/>
      <w:bCs/>
      <w:sz w:val="24"/>
      <w:szCs w:val="24"/>
    </w:rPr>
  </w:style>
  <w:style w:type="character" w:styleId="964" w:customStyle="1">
    <w:name w:val="Основной текст с отступом Знак"/>
    <w:rPr>
      <w:rFonts w:ascii="Times New Roman" w:hAnsi="Times New Roman" w:cs="Times New Roman"/>
      <w:sz w:val="24"/>
      <w:szCs w:val="24"/>
    </w:rPr>
  </w:style>
  <w:style w:type="character" w:styleId="965" w:customStyle="1">
    <w:name w:val="Основной текст с отступом 2 Знак"/>
    <w:link w:val="1146"/>
    <w:rPr>
      <w:rFonts w:ascii="Times New Roman" w:hAnsi="Times New Roman" w:cs="Times New Roman"/>
      <w:sz w:val="24"/>
      <w:szCs w:val="24"/>
    </w:rPr>
  </w:style>
  <w:style w:type="character" w:styleId="966" w:customStyle="1">
    <w:name w:val="Основной текст 2 Знак"/>
    <w:link w:val="1143"/>
    <w:rPr>
      <w:rFonts w:ascii="Times New Roman" w:hAnsi="Times New Roman" w:cs="Times New Roman"/>
      <w:color w:val="ff0000"/>
    </w:rPr>
  </w:style>
  <w:style w:type="character" w:styleId="967" w:customStyle="1">
    <w:name w:val="Основной текст с отступом 3 Знак"/>
    <w:link w:val="1089"/>
    <w:rPr>
      <w:rFonts w:ascii="Times New Roman" w:hAnsi="Times New Roman" w:cs="Times New Roman"/>
    </w:rPr>
  </w:style>
  <w:style w:type="character" w:styleId="968" w:customStyle="1">
    <w:name w:val="Заголовок 1 Знак Знак"/>
    <w:rPr>
      <w:rFonts w:cs="Times New Roman"/>
      <w:b/>
      <w:bCs/>
      <w:sz w:val="28"/>
      <w:szCs w:val="28"/>
      <w:lang w:val="ru-RU" w:eastAsia="ar-SA" w:bidi="ar-SA"/>
    </w:rPr>
  </w:style>
  <w:style w:type="character" w:styleId="969" w:customStyle="1">
    <w:name w:val="Верхний колонтитул Знак"/>
    <w:uiPriority w:val="99"/>
    <w:rPr>
      <w:rFonts w:ascii="Times New Roman" w:hAnsi="Times New Roman" w:cs="Times New Roman"/>
      <w:sz w:val="24"/>
      <w:szCs w:val="24"/>
    </w:rPr>
  </w:style>
  <w:style w:type="character" w:styleId="970">
    <w:name w:val="Emphasis"/>
    <w:uiPriority w:val="20"/>
    <w:qFormat/>
    <w:rPr>
      <w:rFonts w:cs="Times New Roman"/>
      <w:i/>
      <w:iCs/>
    </w:rPr>
  </w:style>
  <w:style w:type="character" w:styleId="971" w:customStyle="1">
    <w:name w:val="Текст сноски Знак"/>
    <w:rPr>
      <w:rFonts w:ascii="Times New Roman" w:hAnsi="Times New Roman" w:cs="Times New Roman"/>
      <w:sz w:val="20"/>
      <w:szCs w:val="20"/>
    </w:rPr>
  </w:style>
  <w:style w:type="character" w:styleId="972" w:customStyle="1">
    <w:name w:val="Текст Знак"/>
    <w:link w:val="1200"/>
    <w:rPr>
      <w:rFonts w:ascii="Courier New" w:hAnsi="Courier New" w:cs="Courier New"/>
      <w:sz w:val="20"/>
      <w:szCs w:val="20"/>
    </w:rPr>
  </w:style>
  <w:style w:type="character" w:styleId="973" w:customStyle="1">
    <w:name w:val="Текст выноски Знак"/>
    <w:rPr>
      <w:rFonts w:ascii="Tahoma" w:hAnsi="Tahoma" w:eastAsia="SimSun" w:cs="Tahoma"/>
      <w:sz w:val="16"/>
      <w:szCs w:val="16"/>
    </w:rPr>
  </w:style>
  <w:style w:type="character" w:styleId="974" w:customStyle="1">
    <w:name w:val="Без интервала Знак"/>
    <w:uiPriority w:val="1"/>
    <w:rPr>
      <w:rFonts w:ascii="Times New Roman" w:hAnsi="Times New Roman" w:cs="Times New Roman"/>
      <w:sz w:val="24"/>
      <w:lang w:val="ru-RU" w:eastAsia="ar-SA" w:bidi="ar-SA"/>
    </w:rPr>
  </w:style>
  <w:style w:type="character" w:styleId="975" w:customStyle="1">
    <w:name w:val="Стиль полужирный"/>
    <w:rPr>
      <w:rFonts w:cs="Times New Roman"/>
      <w:b/>
      <w:bCs/>
    </w:rPr>
  </w:style>
  <w:style w:type="character" w:styleId="976" w:customStyle="1">
    <w:name w:val="Стиль Заголовок 3 + Черный Знак"/>
    <w:rPr>
      <w:rFonts w:ascii="Times New Roman" w:hAnsi="Times New Roman" w:eastAsia="SimSun" w:cs="Arial"/>
      <w:b/>
      <w:bCs/>
      <w:caps/>
      <w:color w:val="000000"/>
      <w:sz w:val="24"/>
      <w:szCs w:val="24"/>
      <w:u w:val="single"/>
    </w:rPr>
  </w:style>
  <w:style w:type="character" w:styleId="977">
    <w:name w:val="Hyperlink"/>
    <w:uiPriority w:val="99"/>
    <w:rPr>
      <w:rFonts w:cs="Times New Roman"/>
      <w:color w:val="0000ff"/>
      <w:u w:val="single"/>
    </w:rPr>
  </w:style>
  <w:style w:type="character" w:styleId="978" w:customStyle="1">
    <w:name w:val="Знак примечания1"/>
    <w:rPr>
      <w:rFonts w:cs="Times New Roman"/>
      <w:sz w:val="16"/>
      <w:szCs w:val="16"/>
    </w:rPr>
  </w:style>
  <w:style w:type="character" w:styleId="979" w:customStyle="1">
    <w:name w:val="Текст примечания Знак"/>
    <w:rPr>
      <w:rFonts w:ascii="Times New Roman" w:hAnsi="Times New Roman" w:eastAsia="SimSun" w:cs="Times New Roman"/>
    </w:rPr>
  </w:style>
  <w:style w:type="character" w:styleId="980" w:customStyle="1">
    <w:name w:val="Тема примечания Знак"/>
    <w:rPr>
      <w:rFonts w:ascii="Times New Roman" w:hAnsi="Times New Roman" w:eastAsia="SimSun" w:cs="Times New Roman"/>
      <w:b/>
      <w:bCs/>
    </w:rPr>
  </w:style>
  <w:style w:type="character" w:styleId="981" w:customStyle="1">
    <w:name w:val="Подзаголовок Знак"/>
    <w:rPr>
      <w:rFonts w:ascii="Cambria" w:hAnsi="Cambria" w:cs="Times New Roman"/>
      <w:sz w:val="24"/>
      <w:szCs w:val="24"/>
    </w:rPr>
  </w:style>
  <w:style w:type="character" w:styleId="982" w:customStyle="1">
    <w:name w:val="Цветовое выделение"/>
    <w:rPr>
      <w:b/>
      <w:color w:val="000080"/>
    </w:rPr>
  </w:style>
  <w:style w:type="character" w:styleId="983" w:customStyle="1">
    <w:name w:val="Гипертекстовая ссылка"/>
    <w:uiPriority w:val="99"/>
    <w:rPr>
      <w:rFonts w:cs="Times New Roman"/>
      <w:b/>
      <w:bCs/>
      <w:color w:val="008000"/>
    </w:rPr>
  </w:style>
  <w:style w:type="character" w:styleId="984">
    <w:name w:val="Strong"/>
    <w:qFormat/>
    <w:rPr>
      <w:b/>
    </w:rPr>
  </w:style>
  <w:style w:type="character" w:styleId="985" w:customStyle="1">
    <w:name w:val="Основной шрифт абзаца2"/>
  </w:style>
  <w:style w:type="character" w:styleId="986" w:customStyle="1">
    <w:name w:val="WW-Absatz-Standardschriftart"/>
  </w:style>
  <w:style w:type="character" w:styleId="987" w:customStyle="1">
    <w:name w:val="Основной шрифт абзаца1"/>
  </w:style>
  <w:style w:type="character" w:styleId="988" w:customStyle="1">
    <w:name w:val="Текст выноски Знак1"/>
    <w:rPr>
      <w:rFonts w:ascii="Tahoma" w:hAnsi="Tahoma" w:cs="Tahoma"/>
      <w:sz w:val="16"/>
      <w:szCs w:val="16"/>
    </w:rPr>
  </w:style>
  <w:style w:type="character" w:styleId="989" w:customStyle="1">
    <w:name w:val="Верхний колонтитул Знак1"/>
    <w:rPr>
      <w:rFonts w:ascii="Calibri" w:hAnsi="Calibri" w:cs="Calibri"/>
      <w:sz w:val="22"/>
      <w:szCs w:val="22"/>
    </w:rPr>
  </w:style>
  <w:style w:type="character" w:styleId="990" w:customStyle="1">
    <w:name w:val="Нижний колонтитул Знак1"/>
    <w:rPr>
      <w:rFonts w:ascii="Calibri" w:hAnsi="Calibri" w:cs="Calibri"/>
      <w:sz w:val="22"/>
      <w:szCs w:val="22"/>
    </w:rPr>
  </w:style>
  <w:style w:type="character" w:styleId="991" w:customStyle="1">
    <w:name w:val="blk"/>
    <w:basedOn w:val="959"/>
  </w:style>
  <w:style w:type="character" w:styleId="992">
    <w:name w:val="FollowedHyperlink"/>
    <w:uiPriority w:val="99"/>
    <w:rPr>
      <w:color w:val="800080"/>
      <w:u w:val="single"/>
    </w:rPr>
  </w:style>
  <w:style w:type="character" w:styleId="993" w:customStyle="1">
    <w:name w:val="nobr"/>
    <w:basedOn w:val="959"/>
  </w:style>
  <w:style w:type="paragraph" w:styleId="994">
    <w:name w:val="Title"/>
    <w:basedOn w:val="754"/>
    <w:next w:val="996"/>
    <w:link w:val="995"/>
    <w:uiPriority w:val="10"/>
    <w:qFormat/>
    <w:pPr>
      <w:keepNext/>
      <w:spacing w:before="240" w:after="120" w:line="276" w:lineRule="auto"/>
      <w:widowControl/>
    </w:pPr>
    <w:rPr>
      <w:rFonts w:ascii="Arial" w:hAnsi="Arial" w:eastAsia="SimSun" w:cs="Arial"/>
      <w:sz w:val="28"/>
      <w:szCs w:val="28"/>
    </w:rPr>
  </w:style>
  <w:style w:type="character" w:styleId="995" w:customStyle="1">
    <w:name w:val="Название Знак2"/>
    <w:basedOn w:val="755"/>
    <w:link w:val="994"/>
    <w:rPr>
      <w:rFonts w:ascii="Arial" w:hAnsi="Arial" w:eastAsia="SimSun" w:cs="Arial"/>
      <w:sz w:val="28"/>
      <w:szCs w:val="28"/>
      <w:lang w:eastAsia="ar-SA"/>
    </w:rPr>
  </w:style>
  <w:style w:type="paragraph" w:styleId="996">
    <w:name w:val="Body Text"/>
    <w:basedOn w:val="754"/>
    <w:link w:val="997"/>
    <w:pPr>
      <w:jc w:val="center"/>
      <w:widowControl/>
    </w:pPr>
    <w:rPr>
      <w:b/>
      <w:bCs/>
      <w:sz w:val="24"/>
      <w:szCs w:val="24"/>
    </w:rPr>
  </w:style>
  <w:style w:type="character" w:styleId="997" w:customStyle="1">
    <w:name w:val="Основной текст Знак1"/>
    <w:basedOn w:val="755"/>
    <w:link w:val="996"/>
    <w:rPr>
      <w:rFonts w:ascii="Times New Roman" w:hAnsi="Times New Roman" w:eastAsia="Times New Roman" w:cs="Times New Roman"/>
      <w:b/>
      <w:bCs/>
      <w:sz w:val="24"/>
      <w:szCs w:val="24"/>
      <w:lang w:eastAsia="ar-SA"/>
    </w:rPr>
  </w:style>
  <w:style w:type="paragraph" w:styleId="998">
    <w:name w:val="List"/>
    <w:basedOn w:val="996"/>
    <w:link w:val="1103"/>
    <w:pPr>
      <w:jc w:val="left"/>
      <w:spacing w:after="120" w:line="276" w:lineRule="auto"/>
    </w:pPr>
    <w:rPr>
      <w:rFonts w:ascii="Arial" w:hAnsi="Arial" w:cs="Arial"/>
      <w:b w:val="0"/>
      <w:bCs w:val="0"/>
      <w:sz w:val="22"/>
      <w:szCs w:val="22"/>
    </w:rPr>
  </w:style>
  <w:style w:type="paragraph" w:styleId="999" w:customStyle="1">
    <w:name w:val="Название3"/>
    <w:basedOn w:val="754"/>
    <w:pPr>
      <w:spacing w:before="120" w:after="120"/>
      <w:suppressLineNumbers/>
    </w:pPr>
    <w:rPr>
      <w:rFonts w:ascii="Arial" w:hAnsi="Arial" w:cs="Arial"/>
      <w:i/>
      <w:iCs/>
      <w:szCs w:val="24"/>
    </w:rPr>
  </w:style>
  <w:style w:type="paragraph" w:styleId="1000" w:customStyle="1">
    <w:name w:val="Указатель3"/>
    <w:basedOn w:val="754"/>
    <w:pPr>
      <w:suppressLineNumbers/>
    </w:pPr>
    <w:rPr>
      <w:rFonts w:ascii="Arial" w:hAnsi="Arial" w:cs="Arial"/>
    </w:rPr>
  </w:style>
  <w:style w:type="paragraph" w:styleId="1001" w:customStyle="1">
    <w:name w:val="ConsNormal"/>
    <w:pPr>
      <w:ind w:right="19772" w:firstLine="720"/>
      <w:spacing w:after="0" w:line="240" w:lineRule="auto"/>
      <w:widowControl w:val="off"/>
    </w:pPr>
    <w:rPr>
      <w:rFonts w:ascii="Arial" w:hAnsi="Arial" w:eastAsia="SimSun" w:cs="Arial"/>
      <w:sz w:val="20"/>
      <w:szCs w:val="20"/>
      <w:lang w:eastAsia="ar-SA"/>
    </w:rPr>
  </w:style>
  <w:style w:type="paragraph" w:styleId="1002" w:customStyle="1">
    <w:name w:val="ConsNonformat"/>
    <w:pPr>
      <w:ind w:right="19772"/>
      <w:spacing w:after="0" w:line="240" w:lineRule="auto"/>
      <w:widowControl w:val="off"/>
    </w:pPr>
    <w:rPr>
      <w:rFonts w:ascii="Courier New" w:hAnsi="Courier New" w:eastAsia="SimSun" w:cs="Courier New"/>
      <w:sz w:val="20"/>
      <w:szCs w:val="20"/>
      <w:lang w:eastAsia="ar-SA"/>
    </w:rPr>
  </w:style>
  <w:style w:type="paragraph" w:styleId="1003" w:customStyle="1">
    <w:name w:val="ConsTitle"/>
    <w:pPr>
      <w:ind w:right="19772"/>
      <w:spacing w:after="0" w:line="240" w:lineRule="auto"/>
      <w:widowControl w:val="off"/>
    </w:pPr>
    <w:rPr>
      <w:rFonts w:ascii="Arial" w:hAnsi="Arial" w:eastAsia="SimSun" w:cs="Arial"/>
      <w:b/>
      <w:bCs/>
      <w:sz w:val="16"/>
      <w:szCs w:val="16"/>
      <w:lang w:eastAsia="ar-SA"/>
    </w:rPr>
  </w:style>
  <w:style w:type="paragraph" w:styleId="1004" w:customStyle="1">
    <w:name w:val="ConsCell"/>
    <w:pPr>
      <w:ind w:right="19772"/>
      <w:spacing w:after="0" w:line="240" w:lineRule="auto"/>
      <w:widowControl w:val="off"/>
    </w:pPr>
    <w:rPr>
      <w:rFonts w:ascii="Arial" w:hAnsi="Arial" w:eastAsia="SimSun" w:cs="Arial"/>
      <w:sz w:val="20"/>
      <w:szCs w:val="20"/>
      <w:lang w:eastAsia="ar-SA"/>
    </w:rPr>
  </w:style>
  <w:style w:type="paragraph" w:styleId="1005" w:customStyle="1">
    <w:name w:val="ConsDocList"/>
    <w:pPr>
      <w:ind w:right="19772"/>
      <w:spacing w:after="0" w:line="240" w:lineRule="auto"/>
      <w:widowControl w:val="off"/>
    </w:pPr>
    <w:rPr>
      <w:rFonts w:ascii="Courier New" w:hAnsi="Courier New" w:eastAsia="SimSun" w:cs="Courier New"/>
      <w:sz w:val="20"/>
      <w:szCs w:val="20"/>
      <w:lang w:eastAsia="ar-SA"/>
    </w:rPr>
  </w:style>
  <w:style w:type="paragraph" w:styleId="1006">
    <w:name w:val="Normal (Web)"/>
    <w:basedOn w:val="754"/>
    <w:uiPriority w:val="99"/>
    <w:pPr>
      <w:ind w:left="75" w:right="75" w:firstLine="225"/>
      <w:jc w:val="both"/>
      <w:spacing w:before="75" w:after="75"/>
      <w:widowControl/>
    </w:pPr>
    <w:rPr>
      <w:rFonts w:ascii="Verdana" w:hAnsi="Verdana" w:cs="Verdana"/>
      <w:color w:val="000000"/>
      <w:sz w:val="18"/>
      <w:szCs w:val="18"/>
    </w:rPr>
  </w:style>
  <w:style w:type="paragraph" w:styleId="1007" w:customStyle="1">
    <w:name w:val="StGen0"/>
    <w:basedOn w:val="754"/>
    <w:next w:val="1008"/>
    <w:link w:val="1066"/>
    <w:qFormat/>
    <w:pPr>
      <w:jc w:val="center"/>
      <w:widowControl/>
    </w:pPr>
    <w:rPr>
      <w:sz w:val="28"/>
      <w:szCs w:val="28"/>
    </w:rPr>
  </w:style>
  <w:style w:type="paragraph" w:styleId="1008">
    <w:name w:val="Subtitle"/>
    <w:basedOn w:val="754"/>
    <w:next w:val="754"/>
    <w:link w:val="1009"/>
    <w:qFormat/>
    <w:pPr>
      <w:jc w:val="center"/>
      <w:spacing w:after="60"/>
      <w:widowControl/>
    </w:pPr>
    <w:rPr>
      <w:rFonts w:ascii="Cambria" w:hAnsi="Cambria"/>
      <w:sz w:val="24"/>
      <w:szCs w:val="24"/>
    </w:rPr>
  </w:style>
  <w:style w:type="character" w:styleId="1009" w:customStyle="1">
    <w:name w:val="Подзаголовок Знак1"/>
    <w:basedOn w:val="755"/>
    <w:link w:val="1008"/>
    <w:rPr>
      <w:rFonts w:ascii="Cambria" w:hAnsi="Cambria" w:eastAsia="Times New Roman" w:cs="Times New Roman"/>
      <w:sz w:val="24"/>
      <w:szCs w:val="24"/>
      <w:lang w:eastAsia="ar-SA"/>
    </w:rPr>
  </w:style>
  <w:style w:type="paragraph" w:styleId="1010" w:customStyle="1">
    <w:name w:val="- СТРАНИЦА -"/>
    <w:pPr>
      <w:spacing w:after="0" w:line="240" w:lineRule="auto"/>
    </w:pPr>
    <w:rPr>
      <w:rFonts w:ascii="Times New Roman" w:hAnsi="Times New Roman" w:eastAsia="Arial" w:cs="Times New Roman"/>
      <w:sz w:val="20"/>
      <w:szCs w:val="20"/>
      <w:lang w:eastAsia="ar-SA"/>
    </w:rPr>
  </w:style>
  <w:style w:type="paragraph" w:styleId="1011" w:customStyle="1">
    <w:name w:val="Footer"/>
    <w:basedOn w:val="754"/>
    <w:link w:val="1012"/>
    <w:uiPriority w:val="99"/>
    <w:pPr>
      <w:widowControl/>
      <w:tabs>
        <w:tab w:val="center" w:pos="4677" w:leader="none"/>
        <w:tab w:val="right" w:pos="9355" w:leader="none"/>
      </w:tabs>
    </w:pPr>
    <w:rPr>
      <w:rFonts w:eastAsia="SimSun"/>
      <w:sz w:val="24"/>
      <w:szCs w:val="24"/>
    </w:rPr>
  </w:style>
  <w:style w:type="character" w:styleId="1012" w:customStyle="1">
    <w:name w:val="Нижний колонтитул Знак2"/>
    <w:basedOn w:val="755"/>
    <w:link w:val="1011"/>
    <w:rPr>
      <w:rFonts w:ascii="Times New Roman" w:hAnsi="Times New Roman" w:eastAsia="SimSun" w:cs="Times New Roman"/>
      <w:sz w:val="24"/>
      <w:szCs w:val="24"/>
      <w:lang w:eastAsia="ar-SA"/>
    </w:rPr>
  </w:style>
  <w:style w:type="paragraph" w:styleId="1013" w:customStyle="1">
    <w:name w:val="Îáû÷íûé"/>
    <w:pPr>
      <w:spacing w:after="0" w:line="240" w:lineRule="auto"/>
    </w:pPr>
    <w:rPr>
      <w:rFonts w:ascii="Times New Roman" w:hAnsi="Times New Roman" w:eastAsia="Arial" w:cs="Times New Roman"/>
      <w:sz w:val="20"/>
      <w:szCs w:val="20"/>
      <w:lang w:val="en-US" w:eastAsia="ar-SA"/>
    </w:rPr>
  </w:style>
  <w:style w:type="paragraph" w:styleId="1014" w:customStyle="1">
    <w:name w:val="Цитата1"/>
    <w:basedOn w:val="754"/>
    <w:pPr>
      <w:ind w:left="360" w:right="333"/>
      <w:jc w:val="both"/>
      <w:spacing w:before="120"/>
      <w:widowControl/>
      <w:tabs>
        <w:tab w:val="left" w:pos="10440" w:leader="none"/>
      </w:tabs>
    </w:pPr>
    <w:rPr>
      <w:b/>
      <w:bCs/>
      <w:sz w:val="24"/>
      <w:szCs w:val="24"/>
    </w:rPr>
  </w:style>
  <w:style w:type="paragraph" w:styleId="1015">
    <w:name w:val="Body Text Indent"/>
    <w:basedOn w:val="754"/>
    <w:link w:val="1016"/>
    <w:pPr>
      <w:ind w:left="3600" w:hanging="2700"/>
      <w:tabs>
        <w:tab w:val="left" w:pos="3600" w:leader="none"/>
      </w:tabs>
    </w:pPr>
    <w:rPr>
      <w:sz w:val="24"/>
      <w:szCs w:val="24"/>
    </w:rPr>
  </w:style>
  <w:style w:type="character" w:styleId="1016" w:customStyle="1">
    <w:name w:val="Основной текст с отступом Знак1"/>
    <w:basedOn w:val="755"/>
    <w:link w:val="1015"/>
    <w:rPr>
      <w:rFonts w:ascii="Times New Roman" w:hAnsi="Times New Roman" w:eastAsia="Times New Roman" w:cs="Times New Roman"/>
      <w:sz w:val="24"/>
      <w:szCs w:val="24"/>
      <w:lang w:eastAsia="ar-SA"/>
    </w:rPr>
  </w:style>
  <w:style w:type="paragraph" w:styleId="1017" w:customStyle="1">
    <w:name w:val="Основной текст с отступом 21"/>
    <w:basedOn w:val="754"/>
    <w:pPr>
      <w:ind w:left="283"/>
      <w:spacing w:after="120" w:line="480" w:lineRule="auto"/>
      <w:widowControl/>
    </w:pPr>
    <w:rPr>
      <w:sz w:val="24"/>
      <w:szCs w:val="24"/>
    </w:rPr>
  </w:style>
  <w:style w:type="paragraph" w:styleId="1018" w:customStyle="1">
    <w:name w:val="Основной текст 21"/>
    <w:basedOn w:val="754"/>
    <w:pPr>
      <w:ind w:left="540" w:firstLine="720"/>
      <w:jc w:val="both"/>
    </w:pPr>
    <w:rPr>
      <w:color w:val="ff0000"/>
    </w:rPr>
  </w:style>
  <w:style w:type="paragraph" w:styleId="1019" w:customStyle="1">
    <w:name w:val="Основной текст с отступом 31"/>
    <w:basedOn w:val="754"/>
    <w:pPr>
      <w:ind w:left="540" w:firstLine="720"/>
      <w:jc w:val="both"/>
      <w:widowControl/>
    </w:pPr>
  </w:style>
  <w:style w:type="paragraph" w:styleId="1020" w:customStyle="1">
    <w:name w:val="Header"/>
    <w:basedOn w:val="754"/>
    <w:link w:val="1021"/>
    <w:uiPriority w:val="99"/>
    <w:pPr>
      <w:widowControl/>
      <w:tabs>
        <w:tab w:val="center" w:pos="4677" w:leader="none"/>
        <w:tab w:val="right" w:pos="9355" w:leader="none"/>
      </w:tabs>
    </w:pPr>
    <w:rPr>
      <w:sz w:val="24"/>
      <w:szCs w:val="24"/>
    </w:rPr>
  </w:style>
  <w:style w:type="character" w:styleId="1021" w:customStyle="1">
    <w:name w:val="Верхний колонтитул Знак2"/>
    <w:basedOn w:val="755"/>
    <w:link w:val="1020"/>
    <w:rPr>
      <w:rFonts w:ascii="Times New Roman" w:hAnsi="Times New Roman" w:eastAsia="Times New Roman" w:cs="Times New Roman"/>
      <w:sz w:val="24"/>
      <w:szCs w:val="24"/>
      <w:lang w:eastAsia="ar-SA"/>
    </w:rPr>
  </w:style>
  <w:style w:type="paragraph" w:styleId="1022" w:customStyle="1">
    <w:name w:val="ConsPlusNormal"/>
    <w:pPr>
      <w:ind w:firstLine="720"/>
      <w:spacing w:after="0" w:line="240" w:lineRule="auto"/>
    </w:pPr>
    <w:rPr>
      <w:rFonts w:ascii="Arial" w:hAnsi="Arial" w:eastAsia="Arial" w:cs="Arial"/>
      <w:sz w:val="20"/>
      <w:szCs w:val="20"/>
      <w:lang w:eastAsia="ar-SA"/>
    </w:rPr>
  </w:style>
  <w:style w:type="paragraph" w:styleId="1023" w:customStyle="1">
    <w:name w:val="ConsPlusNonformat"/>
    <w:pPr>
      <w:spacing w:after="0" w:line="240" w:lineRule="auto"/>
    </w:pPr>
    <w:rPr>
      <w:rFonts w:ascii="Courier New" w:hAnsi="Courier New" w:eastAsia="Arial" w:cs="Courier New"/>
      <w:sz w:val="20"/>
      <w:szCs w:val="20"/>
      <w:lang w:eastAsia="ar-SA"/>
    </w:rPr>
  </w:style>
  <w:style w:type="paragraph" w:styleId="1024" w:customStyle="1">
    <w:name w:val="ConsPlusTitle"/>
    <w:pPr>
      <w:spacing w:after="0" w:line="240" w:lineRule="auto"/>
    </w:pPr>
    <w:rPr>
      <w:rFonts w:ascii="Arial" w:hAnsi="Arial" w:eastAsia="Arial" w:cs="Arial"/>
      <w:b/>
      <w:bCs/>
      <w:sz w:val="20"/>
      <w:szCs w:val="20"/>
      <w:lang w:eastAsia="ar-SA"/>
    </w:rPr>
  </w:style>
  <w:style w:type="paragraph" w:styleId="1025" w:customStyle="1">
    <w:name w:val="текст 1"/>
    <w:basedOn w:val="754"/>
    <w:next w:val="754"/>
    <w:pPr>
      <w:ind w:firstLine="540"/>
      <w:jc w:val="both"/>
      <w:widowControl/>
    </w:pPr>
    <w:rPr>
      <w:szCs w:val="24"/>
    </w:rPr>
  </w:style>
  <w:style w:type="paragraph" w:styleId="1026" w:customStyle="1">
    <w:name w:val="S_Титульный"/>
    <w:basedOn w:val="754"/>
    <w:pPr>
      <w:ind w:left="3060"/>
      <w:jc w:val="right"/>
      <w:spacing w:line="360" w:lineRule="auto"/>
      <w:widowControl/>
    </w:pPr>
    <w:rPr>
      <w:b/>
      <w:caps/>
      <w:sz w:val="24"/>
      <w:szCs w:val="24"/>
    </w:rPr>
  </w:style>
  <w:style w:type="paragraph" w:styleId="1027" w:customStyle="1">
    <w:name w:val="Таблица"/>
    <w:basedOn w:val="754"/>
    <w:pPr>
      <w:jc w:val="both"/>
      <w:widowControl/>
    </w:pPr>
    <w:rPr>
      <w:sz w:val="24"/>
      <w:szCs w:val="24"/>
    </w:rPr>
  </w:style>
  <w:style w:type="paragraph" w:styleId="1028">
    <w:name w:val="footnote text"/>
    <w:basedOn w:val="754"/>
    <w:link w:val="1029"/>
    <w:pPr>
      <w:widowControl/>
    </w:pPr>
  </w:style>
  <w:style w:type="character" w:styleId="1029" w:customStyle="1">
    <w:name w:val="Текст сноски Знак1"/>
    <w:basedOn w:val="755"/>
    <w:link w:val="1028"/>
    <w:rPr>
      <w:rFonts w:ascii="Times New Roman" w:hAnsi="Times New Roman" w:eastAsia="Times New Roman" w:cs="Times New Roman"/>
      <w:sz w:val="20"/>
      <w:szCs w:val="20"/>
      <w:lang w:eastAsia="ar-SA"/>
    </w:rPr>
  </w:style>
  <w:style w:type="paragraph" w:styleId="1030" w:customStyle="1">
    <w:name w:val="Текст1"/>
    <w:basedOn w:val="754"/>
    <w:pPr>
      <w:widowControl/>
    </w:pPr>
    <w:rPr>
      <w:rFonts w:ascii="Courier New" w:hAnsi="Courier New"/>
    </w:rPr>
  </w:style>
  <w:style w:type="paragraph" w:styleId="1031">
    <w:name w:val="Balloon Text"/>
    <w:basedOn w:val="754"/>
    <w:link w:val="1032"/>
    <w:pPr>
      <w:widowControl/>
    </w:pPr>
    <w:rPr>
      <w:rFonts w:ascii="Tahoma" w:hAnsi="Tahoma" w:eastAsia="SimSun"/>
      <w:sz w:val="16"/>
      <w:szCs w:val="16"/>
    </w:rPr>
  </w:style>
  <w:style w:type="character" w:styleId="1032" w:customStyle="1">
    <w:name w:val="Текст выноски Знак2"/>
    <w:basedOn w:val="755"/>
    <w:link w:val="1031"/>
    <w:rPr>
      <w:rFonts w:ascii="Tahoma" w:hAnsi="Tahoma" w:eastAsia="SimSun" w:cs="Times New Roman"/>
      <w:sz w:val="16"/>
      <w:szCs w:val="16"/>
      <w:lang w:eastAsia="ar-SA"/>
    </w:rPr>
  </w:style>
  <w:style w:type="paragraph" w:styleId="1033">
    <w:name w:val="No Spacing"/>
    <w:uiPriority w:val="1"/>
    <w:qFormat/>
    <w:pPr>
      <w:spacing w:after="0" w:line="240" w:lineRule="auto"/>
    </w:pPr>
    <w:rPr>
      <w:rFonts w:ascii="Times New Roman" w:hAnsi="Times New Roman" w:eastAsia="Arial" w:cs="Times New Roman"/>
      <w:sz w:val="24"/>
      <w:szCs w:val="20"/>
      <w:lang w:eastAsia="ar-SA"/>
    </w:rPr>
  </w:style>
  <w:style w:type="paragraph" w:styleId="1034">
    <w:name w:val="List Paragraph"/>
    <w:basedOn w:val="754"/>
    <w:link w:val="1098"/>
    <w:uiPriority w:val="34"/>
    <w:qFormat/>
    <w:pPr>
      <w:ind w:left="708"/>
      <w:spacing w:after="200" w:line="276" w:lineRule="auto"/>
      <w:widowControl/>
    </w:pPr>
    <w:rPr>
      <w:rFonts w:ascii="Calibri" w:hAnsi="Calibri"/>
      <w:sz w:val="22"/>
      <w:szCs w:val="22"/>
    </w:rPr>
  </w:style>
  <w:style w:type="paragraph" w:styleId="1035" w:customStyle="1">
    <w:name w:val="Стиль Заголовок 3 + Черный"/>
    <w:basedOn w:val="903"/>
    <w:pPr>
      <w:ind w:firstLine="567"/>
      <w:jc w:val="center"/>
      <w:keepLines w:val="0"/>
      <w:spacing w:before="120"/>
      <w:widowControl/>
    </w:pPr>
    <w:rPr>
      <w:rFonts w:ascii="Times New Roman" w:hAnsi="Times New Roman" w:eastAsia="SimSun" w:cs="Times New Roman"/>
      <w:b/>
      <w:bCs/>
      <w:caps/>
      <w:color w:val="000000"/>
      <w:u w:val="single"/>
    </w:rPr>
  </w:style>
  <w:style w:type="paragraph" w:styleId="1036">
    <w:name w:val="toc 1"/>
    <w:basedOn w:val="754"/>
    <w:next w:val="754"/>
    <w:uiPriority w:val="39"/>
    <w:qFormat/>
    <w:pPr>
      <w:spacing w:before="120" w:after="120"/>
      <w:widowControl/>
    </w:pPr>
    <w:rPr>
      <w:rFonts w:eastAsia="SimSun"/>
      <w:b/>
      <w:bCs/>
      <w:caps/>
    </w:rPr>
  </w:style>
  <w:style w:type="paragraph" w:styleId="1037">
    <w:name w:val="toc 2"/>
    <w:basedOn w:val="754"/>
    <w:next w:val="754"/>
    <w:uiPriority w:val="39"/>
    <w:qFormat/>
    <w:pPr>
      <w:ind w:left="240"/>
      <w:widowControl/>
    </w:pPr>
    <w:rPr>
      <w:rFonts w:eastAsia="SimSun"/>
      <w:smallCaps/>
    </w:rPr>
  </w:style>
  <w:style w:type="paragraph" w:styleId="1038">
    <w:name w:val="toc 3"/>
    <w:basedOn w:val="754"/>
    <w:next w:val="754"/>
    <w:uiPriority w:val="39"/>
    <w:qFormat/>
    <w:pPr>
      <w:ind w:left="480"/>
      <w:widowControl/>
    </w:pPr>
    <w:rPr>
      <w:rFonts w:eastAsia="SimSun"/>
      <w:i/>
      <w:iCs/>
    </w:rPr>
  </w:style>
  <w:style w:type="paragraph" w:styleId="1039">
    <w:name w:val="toc 4"/>
    <w:basedOn w:val="754"/>
    <w:next w:val="754"/>
    <w:uiPriority w:val="39"/>
    <w:pPr>
      <w:ind w:left="720"/>
      <w:widowControl/>
    </w:pPr>
    <w:rPr>
      <w:rFonts w:eastAsia="SimSun"/>
      <w:sz w:val="18"/>
      <w:szCs w:val="18"/>
    </w:rPr>
  </w:style>
  <w:style w:type="paragraph" w:styleId="1040">
    <w:name w:val="toc 5"/>
    <w:basedOn w:val="754"/>
    <w:next w:val="754"/>
    <w:uiPriority w:val="39"/>
    <w:pPr>
      <w:ind w:left="960"/>
      <w:widowControl/>
    </w:pPr>
    <w:rPr>
      <w:rFonts w:eastAsia="SimSun"/>
      <w:sz w:val="18"/>
      <w:szCs w:val="18"/>
    </w:rPr>
  </w:style>
  <w:style w:type="paragraph" w:styleId="1041">
    <w:name w:val="toc 6"/>
    <w:basedOn w:val="754"/>
    <w:next w:val="754"/>
    <w:uiPriority w:val="39"/>
    <w:pPr>
      <w:ind w:left="1200"/>
      <w:widowControl/>
    </w:pPr>
    <w:rPr>
      <w:rFonts w:eastAsia="SimSun"/>
      <w:sz w:val="18"/>
      <w:szCs w:val="18"/>
    </w:rPr>
  </w:style>
  <w:style w:type="paragraph" w:styleId="1042">
    <w:name w:val="toc 7"/>
    <w:basedOn w:val="754"/>
    <w:next w:val="754"/>
    <w:uiPriority w:val="39"/>
    <w:pPr>
      <w:ind w:left="1440"/>
      <w:widowControl/>
    </w:pPr>
    <w:rPr>
      <w:rFonts w:eastAsia="SimSun"/>
      <w:sz w:val="18"/>
      <w:szCs w:val="18"/>
    </w:rPr>
  </w:style>
  <w:style w:type="paragraph" w:styleId="1043">
    <w:name w:val="toc 8"/>
    <w:basedOn w:val="754"/>
    <w:next w:val="754"/>
    <w:uiPriority w:val="39"/>
    <w:pPr>
      <w:ind w:left="1680"/>
      <w:widowControl/>
    </w:pPr>
    <w:rPr>
      <w:rFonts w:eastAsia="SimSun"/>
      <w:sz w:val="18"/>
      <w:szCs w:val="18"/>
    </w:rPr>
  </w:style>
  <w:style w:type="paragraph" w:styleId="1044">
    <w:name w:val="toc 9"/>
    <w:basedOn w:val="754"/>
    <w:next w:val="754"/>
    <w:uiPriority w:val="39"/>
    <w:pPr>
      <w:ind w:left="1920"/>
      <w:widowControl/>
    </w:pPr>
    <w:rPr>
      <w:rFonts w:eastAsia="SimSun"/>
      <w:sz w:val="18"/>
      <w:szCs w:val="18"/>
    </w:rPr>
  </w:style>
  <w:style w:type="paragraph" w:styleId="1045" w:customStyle="1">
    <w:name w:val="Стиль Заголовок 3 + подчеркивание"/>
    <w:basedOn w:val="903"/>
    <w:pPr>
      <w:ind w:firstLine="567"/>
      <w:jc w:val="center"/>
      <w:keepLines w:val="0"/>
      <w:spacing w:before="120"/>
      <w:widowControl/>
    </w:pPr>
    <w:rPr>
      <w:rFonts w:ascii="Times New Roman" w:hAnsi="Times New Roman" w:eastAsia="SimSun" w:cs="Times New Roman"/>
      <w:b/>
      <w:bCs/>
      <w:color w:val="auto"/>
      <w:u w:val="single"/>
    </w:rPr>
  </w:style>
  <w:style w:type="paragraph" w:styleId="1046" w:customStyle="1">
    <w:name w:val="Текст примечания1"/>
    <w:basedOn w:val="754"/>
    <w:pPr>
      <w:widowControl/>
    </w:pPr>
    <w:rPr>
      <w:rFonts w:eastAsia="SimSun"/>
    </w:rPr>
  </w:style>
  <w:style w:type="paragraph" w:styleId="1047">
    <w:name w:val="annotation text"/>
    <w:basedOn w:val="754"/>
    <w:link w:val="1048"/>
    <w:semiHidden/>
    <w:unhideWhenUsed/>
  </w:style>
  <w:style w:type="character" w:styleId="1048" w:customStyle="1">
    <w:name w:val="Текст примечания Знак1"/>
    <w:basedOn w:val="755"/>
    <w:link w:val="1047"/>
    <w:uiPriority w:val="99"/>
    <w:semiHidden/>
    <w:rPr>
      <w:rFonts w:ascii="Times New Roman" w:hAnsi="Times New Roman" w:eastAsia="Times New Roman" w:cs="Times New Roman"/>
      <w:sz w:val="20"/>
      <w:szCs w:val="20"/>
      <w:lang w:eastAsia="ar-SA"/>
    </w:rPr>
  </w:style>
  <w:style w:type="paragraph" w:styleId="1049">
    <w:name w:val="annotation subject"/>
    <w:basedOn w:val="1046"/>
    <w:next w:val="1046"/>
    <w:link w:val="1050"/>
    <w:rPr>
      <w:b/>
      <w:bCs/>
    </w:rPr>
  </w:style>
  <w:style w:type="character" w:styleId="1050" w:customStyle="1">
    <w:name w:val="Тема примечания Знак1"/>
    <w:basedOn w:val="1048"/>
    <w:link w:val="1049"/>
    <w:rPr>
      <w:rFonts w:ascii="Times New Roman" w:hAnsi="Times New Roman" w:eastAsia="SimSun" w:cs="Times New Roman"/>
      <w:b/>
      <w:bCs/>
      <w:sz w:val="20"/>
      <w:szCs w:val="20"/>
      <w:lang w:eastAsia="ar-SA"/>
    </w:rPr>
  </w:style>
  <w:style w:type="paragraph" w:styleId="1051" w:customStyle="1">
    <w:name w:val="Нормальный (таблица)"/>
    <w:basedOn w:val="754"/>
    <w:next w:val="754"/>
    <w:uiPriority w:val="99"/>
    <w:pPr>
      <w:jc w:val="both"/>
      <w:widowControl/>
    </w:pPr>
    <w:rPr>
      <w:rFonts w:ascii="Arial" w:hAnsi="Arial" w:cs="Arial"/>
      <w:sz w:val="24"/>
      <w:szCs w:val="24"/>
    </w:rPr>
  </w:style>
  <w:style w:type="paragraph" w:styleId="1052" w:customStyle="1">
    <w:name w:val="Прижатый влево"/>
    <w:basedOn w:val="754"/>
    <w:next w:val="754"/>
    <w:uiPriority w:val="99"/>
    <w:pPr>
      <w:widowControl/>
    </w:pPr>
    <w:rPr>
      <w:rFonts w:ascii="Arial" w:hAnsi="Arial" w:cs="Arial"/>
      <w:sz w:val="24"/>
      <w:szCs w:val="24"/>
    </w:rPr>
  </w:style>
  <w:style w:type="paragraph" w:styleId="1053" w:customStyle="1">
    <w:name w:val="Заголовок статьи"/>
    <w:basedOn w:val="754"/>
    <w:next w:val="754"/>
    <w:pPr>
      <w:ind w:left="1612" w:hanging="892"/>
      <w:jc w:val="both"/>
      <w:widowControl/>
    </w:pPr>
    <w:rPr>
      <w:rFonts w:ascii="Arial" w:hAnsi="Arial" w:cs="Arial"/>
      <w:sz w:val="24"/>
      <w:szCs w:val="24"/>
    </w:rPr>
  </w:style>
  <w:style w:type="paragraph" w:styleId="1054" w:customStyle="1">
    <w:name w:val="Название объекта1"/>
    <w:basedOn w:val="754"/>
    <w:next w:val="754"/>
    <w:pPr>
      <w:widowControl/>
    </w:pPr>
    <w:rPr>
      <w:rFonts w:eastAsia="SimSun"/>
      <w:b/>
      <w:bCs/>
    </w:rPr>
  </w:style>
  <w:style w:type="paragraph" w:styleId="1055" w:customStyle="1">
    <w:name w:val="Заголовок 0"/>
    <w:pPr>
      <w:jc w:val="center"/>
      <w:spacing w:after="0" w:line="240" w:lineRule="auto"/>
    </w:pPr>
    <w:rPr>
      <w:rFonts w:ascii="Arial" w:hAnsi="Arial" w:eastAsia="Arial" w:cs="Times New Roman"/>
      <w:sz w:val="28"/>
      <w:szCs w:val="20"/>
      <w:lang w:eastAsia="ar-SA"/>
    </w:rPr>
  </w:style>
  <w:style w:type="paragraph" w:styleId="1056" w:customStyle="1">
    <w:name w:val="Название2"/>
    <w:basedOn w:val="754"/>
    <w:pPr>
      <w:spacing w:before="120" w:after="120" w:line="276" w:lineRule="auto"/>
      <w:widowControl/>
      <w:suppressLineNumbers/>
    </w:pPr>
    <w:rPr>
      <w:rFonts w:ascii="Arial" w:hAnsi="Arial" w:cs="Arial"/>
      <w:i/>
      <w:iCs/>
      <w:szCs w:val="24"/>
    </w:rPr>
  </w:style>
  <w:style w:type="paragraph" w:styleId="1057" w:customStyle="1">
    <w:name w:val="Указатель2"/>
    <w:basedOn w:val="754"/>
    <w:pPr>
      <w:spacing w:after="200" w:line="276" w:lineRule="auto"/>
      <w:widowControl/>
      <w:suppressLineNumbers/>
    </w:pPr>
    <w:rPr>
      <w:rFonts w:ascii="Arial" w:hAnsi="Arial" w:cs="Arial"/>
      <w:sz w:val="22"/>
      <w:szCs w:val="22"/>
    </w:rPr>
  </w:style>
  <w:style w:type="paragraph" w:styleId="1058" w:customStyle="1">
    <w:name w:val="Название1"/>
    <w:basedOn w:val="754"/>
    <w:pPr>
      <w:spacing w:before="120" w:after="120" w:line="276" w:lineRule="auto"/>
      <w:widowControl/>
      <w:suppressLineNumbers/>
    </w:pPr>
    <w:rPr>
      <w:rFonts w:ascii="Arial" w:hAnsi="Arial" w:cs="Arial"/>
      <w:i/>
      <w:iCs/>
      <w:szCs w:val="24"/>
    </w:rPr>
  </w:style>
  <w:style w:type="paragraph" w:styleId="1059" w:customStyle="1">
    <w:name w:val="Указатель1"/>
    <w:basedOn w:val="754"/>
    <w:pPr>
      <w:spacing w:after="200" w:line="276" w:lineRule="auto"/>
      <w:widowControl/>
      <w:suppressLineNumbers/>
    </w:pPr>
    <w:rPr>
      <w:rFonts w:ascii="Arial" w:hAnsi="Arial" w:cs="Arial"/>
      <w:sz w:val="22"/>
      <w:szCs w:val="22"/>
    </w:rPr>
  </w:style>
  <w:style w:type="paragraph" w:styleId="1060" w:customStyle="1">
    <w:name w:val="Содержимое таблицы"/>
    <w:basedOn w:val="754"/>
    <w:pPr>
      <w:spacing w:after="200" w:line="276" w:lineRule="auto"/>
      <w:widowControl/>
      <w:suppressLineNumbers/>
    </w:pPr>
    <w:rPr>
      <w:rFonts w:ascii="Calibri" w:hAnsi="Calibri" w:cs="Calibri"/>
      <w:sz w:val="22"/>
      <w:szCs w:val="22"/>
    </w:rPr>
  </w:style>
  <w:style w:type="paragraph" w:styleId="1061" w:customStyle="1">
    <w:name w:val="Заголовок таблицы"/>
    <w:basedOn w:val="1060"/>
    <w:pPr>
      <w:jc w:val="center"/>
    </w:pPr>
    <w:rPr>
      <w:b/>
      <w:bCs/>
    </w:rPr>
  </w:style>
  <w:style w:type="paragraph" w:styleId="1062" w:customStyle="1">
    <w:name w:val="s_1"/>
    <w:basedOn w:val="754"/>
    <w:pPr>
      <w:spacing w:before="280" w:after="280"/>
      <w:widowControl/>
    </w:pPr>
    <w:rPr>
      <w:sz w:val="24"/>
      <w:szCs w:val="24"/>
    </w:rPr>
  </w:style>
  <w:style w:type="paragraph" w:styleId="1063" w:customStyle="1">
    <w:name w:val="s_22"/>
    <w:basedOn w:val="754"/>
    <w:pPr>
      <w:spacing w:before="280" w:after="280"/>
      <w:widowControl/>
    </w:pPr>
    <w:rPr>
      <w:sz w:val="24"/>
      <w:szCs w:val="24"/>
    </w:rPr>
  </w:style>
  <w:style w:type="paragraph" w:styleId="1064" w:customStyle="1">
    <w:name w:val="formattext"/>
    <w:basedOn w:val="754"/>
    <w:pPr>
      <w:spacing w:before="100" w:beforeAutospacing="1" w:after="100" w:afterAutospacing="1"/>
      <w:widowControl/>
    </w:pPr>
    <w:rPr>
      <w:sz w:val="24"/>
      <w:szCs w:val="24"/>
      <w:lang w:eastAsia="ru-RU"/>
    </w:rPr>
  </w:style>
  <w:style w:type="table" w:styleId="1065">
    <w:name w:val="Table Grid"/>
    <w:basedOn w:val="756"/>
    <w:uiPriority w:val="59"/>
    <w:pPr>
      <w:spacing w:after="0" w:line="240" w:lineRule="auto"/>
    </w:pPr>
    <w:rPr>
      <w:rFonts w:ascii="Times New Roman" w:hAnsi="Times New Roman" w:eastAsia="Times New Roman" w:cs="Times New Roman"/>
      <w:sz w:val="20"/>
      <w:szCs w:val="20"/>
      <w:lang w:eastAsia="ru-RU"/>
    </w:r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character" w:styleId="1066" w:customStyle="1">
    <w:name w:val="Название Знак1"/>
    <w:link w:val="1007"/>
    <w:rPr>
      <w:rFonts w:ascii="Times New Roman" w:hAnsi="Times New Roman" w:eastAsia="Times New Roman" w:cs="Times New Roman"/>
      <w:sz w:val="28"/>
      <w:szCs w:val="28"/>
      <w:lang w:eastAsia="ar-SA"/>
    </w:rPr>
  </w:style>
  <w:style w:type="paragraph" w:styleId="1067" w:customStyle="1">
    <w:name w:val="s_3"/>
    <w:basedOn w:val="754"/>
    <w:pPr>
      <w:spacing w:before="100" w:beforeAutospacing="1" w:after="100" w:afterAutospacing="1"/>
      <w:widowControl/>
    </w:pPr>
    <w:rPr>
      <w:sz w:val="24"/>
      <w:szCs w:val="24"/>
      <w:lang w:eastAsia="ru-RU"/>
    </w:rPr>
  </w:style>
  <w:style w:type="paragraph" w:styleId="1068" w:customStyle="1">
    <w:name w:val="s_15"/>
    <w:basedOn w:val="754"/>
    <w:pPr>
      <w:spacing w:before="100" w:beforeAutospacing="1" w:after="100" w:afterAutospacing="1"/>
      <w:widowControl/>
    </w:pPr>
    <w:rPr>
      <w:sz w:val="24"/>
      <w:szCs w:val="24"/>
      <w:lang w:eastAsia="ru-RU"/>
    </w:rPr>
  </w:style>
  <w:style w:type="character" w:styleId="1069" w:customStyle="1">
    <w:name w:val="s_10"/>
    <w:basedOn w:val="755"/>
  </w:style>
  <w:style w:type="paragraph" w:styleId="1070" w:customStyle="1">
    <w:name w:val="s_9"/>
    <w:basedOn w:val="754"/>
    <w:pPr>
      <w:spacing w:before="100" w:beforeAutospacing="1" w:after="100" w:afterAutospacing="1"/>
      <w:widowControl/>
    </w:pPr>
    <w:rPr>
      <w:sz w:val="24"/>
      <w:szCs w:val="24"/>
      <w:lang w:eastAsia="ru-RU"/>
    </w:rPr>
  </w:style>
  <w:style w:type="paragraph" w:styleId="1071" w:customStyle="1">
    <w:name w:val="paragraph"/>
    <w:basedOn w:val="754"/>
    <w:pPr>
      <w:spacing w:before="100" w:beforeAutospacing="1" w:after="100" w:afterAutospacing="1"/>
      <w:widowControl/>
    </w:pPr>
    <w:rPr>
      <w:sz w:val="24"/>
      <w:szCs w:val="24"/>
      <w:lang w:eastAsia="ru-RU"/>
    </w:rPr>
  </w:style>
  <w:style w:type="paragraph" w:styleId="1072" w:customStyle="1">
    <w:name w:val="s_16"/>
    <w:basedOn w:val="754"/>
    <w:pPr>
      <w:spacing w:before="100" w:beforeAutospacing="1" w:after="100" w:afterAutospacing="1"/>
      <w:widowControl/>
    </w:pPr>
    <w:rPr>
      <w:sz w:val="24"/>
      <w:szCs w:val="24"/>
      <w:lang w:eastAsia="ru-RU"/>
    </w:rPr>
  </w:style>
  <w:style w:type="paragraph" w:styleId="1073" w:customStyle="1">
    <w:name w:val="headertext"/>
    <w:basedOn w:val="754"/>
    <w:pPr>
      <w:spacing w:before="100" w:beforeAutospacing="1" w:after="100" w:afterAutospacing="1"/>
      <w:widowControl/>
    </w:pPr>
    <w:rPr>
      <w:sz w:val="24"/>
      <w:szCs w:val="24"/>
      <w:lang w:eastAsia="ru-RU"/>
    </w:rPr>
  </w:style>
  <w:style w:type="paragraph" w:styleId="1074" w:customStyle="1">
    <w:name w:val="5_текст"/>
    <w:basedOn w:val="996"/>
    <w:link w:val="1075"/>
    <w:qFormat/>
    <w:pPr>
      <w:ind w:firstLine="720"/>
      <w:jc w:val="both"/>
    </w:pPr>
    <w:rPr>
      <w:rFonts w:eastAsia="Calibri"/>
      <w:b w:val="0"/>
      <w:bCs w:val="0"/>
      <w:lang w:eastAsia="en-US"/>
    </w:rPr>
  </w:style>
  <w:style w:type="character" w:styleId="1075" w:customStyle="1">
    <w:name w:val="5_текст Знак"/>
    <w:link w:val="1074"/>
    <w:rPr>
      <w:rFonts w:ascii="Times New Roman" w:hAnsi="Times New Roman" w:eastAsia="Calibri" w:cs="Times New Roman"/>
      <w:sz w:val="24"/>
      <w:szCs w:val="24"/>
    </w:rPr>
  </w:style>
  <w:style w:type="numbering" w:styleId="1076" w:customStyle="1">
    <w:name w:val="Нет списка2"/>
    <w:next w:val="757"/>
    <w:uiPriority w:val="99"/>
    <w:semiHidden/>
    <w:unhideWhenUsed/>
  </w:style>
  <w:style w:type="table" w:styleId="1077" w:customStyle="1">
    <w:name w:val="Сетка таблицы1"/>
    <w:basedOn w:val="756"/>
    <w:next w:val="1065"/>
    <w:uiPriority w:val="59"/>
    <w:pPr>
      <w:spacing w:after="0" w:line="240" w:lineRule="auto"/>
    </w:pPr>
    <w:rPr>
      <w:rFonts w:ascii="Times New Roman" w:hAnsi="Times New Roman" w:eastAsia="Times New Roman" w:cs="Times New Roman"/>
      <w:sz w:val="20"/>
      <w:szCs w:val="20"/>
      <w:lang w:eastAsia="ru-RU"/>
    </w:r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character" w:styleId="1078">
    <w:name w:val="annotation reference"/>
    <w:basedOn w:val="755"/>
    <w:semiHidden/>
    <w:unhideWhenUsed/>
    <w:rPr>
      <w:sz w:val="16"/>
      <w:szCs w:val="16"/>
    </w:rPr>
  </w:style>
  <w:style w:type="paragraph" w:styleId="1079" w:customStyle="1">
    <w:name w:val="indent_1"/>
    <w:basedOn w:val="754"/>
    <w:pPr>
      <w:spacing w:before="100" w:beforeAutospacing="1" w:after="100" w:afterAutospacing="1"/>
      <w:widowControl/>
    </w:pPr>
    <w:rPr>
      <w:sz w:val="24"/>
      <w:szCs w:val="24"/>
      <w:lang w:eastAsia="ru-RU"/>
    </w:rPr>
  </w:style>
  <w:style w:type="character" w:styleId="1080" w:customStyle="1">
    <w:name w:val="Заголовок 6 Знак"/>
    <w:basedOn w:val="755"/>
    <w:link w:val="906"/>
    <w:uiPriority w:val="9"/>
    <w:rPr>
      <w:rFonts w:ascii="Times New Roman" w:hAnsi="Times New Roman" w:eastAsia="Times New Roman" w:cs="Times New Roman"/>
      <w:b/>
      <w:bCs/>
    </w:rPr>
  </w:style>
  <w:style w:type="character" w:styleId="1081" w:customStyle="1">
    <w:name w:val="Заголовок 7 Знак"/>
    <w:basedOn w:val="755"/>
    <w:link w:val="907"/>
    <w:uiPriority w:val="9"/>
    <w:rPr>
      <w:rFonts w:ascii="Times New Roman" w:hAnsi="Times New Roman" w:eastAsia="Times New Roman" w:cs="Times New Roman"/>
      <w:sz w:val="24"/>
      <w:szCs w:val="24"/>
    </w:rPr>
  </w:style>
  <w:style w:type="character" w:styleId="1082" w:customStyle="1">
    <w:name w:val="Заголовок 8 Знак"/>
    <w:basedOn w:val="755"/>
    <w:link w:val="908"/>
    <w:uiPriority w:val="9"/>
    <w:rPr>
      <w:rFonts w:ascii="Times New Roman" w:hAnsi="Times New Roman" w:eastAsia="Times New Roman" w:cs="Times New Roman"/>
      <w:i/>
      <w:iCs/>
      <w:sz w:val="24"/>
      <w:szCs w:val="24"/>
    </w:rPr>
  </w:style>
  <w:style w:type="character" w:styleId="1083" w:customStyle="1">
    <w:name w:val="Заголовок 9 Знак"/>
    <w:basedOn w:val="755"/>
    <w:link w:val="909"/>
    <w:uiPriority w:val="9"/>
    <w:rPr>
      <w:rFonts w:ascii="Arial" w:hAnsi="Arial" w:eastAsia="Times New Roman" w:cs="Times New Roman"/>
    </w:rPr>
  </w:style>
  <w:style w:type="numbering" w:styleId="1084" w:customStyle="1">
    <w:name w:val="Нет списка3"/>
    <w:next w:val="757"/>
    <w:uiPriority w:val="99"/>
    <w:semiHidden/>
    <w:unhideWhenUsed/>
  </w:style>
  <w:style w:type="paragraph" w:styleId="1085" w:customStyle="1">
    <w:name w:val="Обычный текст"/>
    <w:basedOn w:val="754"/>
    <w:link w:val="1366"/>
    <w:qFormat/>
    <w:pPr>
      <w:ind w:firstLine="709"/>
      <w:jc w:val="both"/>
      <w:widowControl/>
    </w:pPr>
    <w:rPr>
      <w:sz w:val="24"/>
      <w:szCs w:val="24"/>
      <w:lang w:val="en-US" w:bidi="en-US"/>
    </w:rPr>
  </w:style>
  <w:style w:type="paragraph" w:styleId="1086" w:customStyle="1">
    <w:name w:val="Iau?iue"/>
    <w:uiPriority w:val="99"/>
    <w:pPr>
      <w:spacing w:after="0" w:line="240" w:lineRule="auto"/>
      <w:widowControl w:val="off"/>
    </w:pPr>
    <w:rPr>
      <w:rFonts w:ascii="Times New Roman" w:hAnsi="Times New Roman" w:eastAsia="Arial" w:cs="Times New Roman"/>
      <w:sz w:val="20"/>
      <w:szCs w:val="20"/>
      <w:lang w:eastAsia="ar-SA"/>
    </w:rPr>
  </w:style>
  <w:style w:type="character" w:styleId="1087" w:customStyle="1">
    <w:name w:val="Основной текст (5)"/>
    <w:rPr>
      <w:b/>
      <w:bCs/>
      <w:i/>
      <w:iCs/>
      <w:sz w:val="23"/>
      <w:szCs w:val="23"/>
      <w:u w:val="single"/>
      <w:shd w:val="clear" w:color="auto" w:fill="ffffff"/>
      <w:lang w:bidi="ar-SA"/>
    </w:rPr>
  </w:style>
  <w:style w:type="table" w:styleId="1088" w:customStyle="1">
    <w:name w:val="Сетка таблицы2"/>
    <w:basedOn w:val="756"/>
    <w:next w:val="1065"/>
    <w:pPr>
      <w:spacing w:after="0" w:line="240" w:lineRule="auto"/>
    </w:pPr>
    <w:rPr>
      <w:rFonts w:ascii="Calibri" w:hAnsi="Calibri" w:eastAsia="Calibri" w:cs="Times New Roman"/>
      <w:sz w:val="20"/>
      <w:szCs w:val="20"/>
      <w:lang w:eastAsia="ru-RU"/>
    </w:r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paragraph" w:styleId="1089">
    <w:name w:val="Body Text Indent 3"/>
    <w:basedOn w:val="754"/>
    <w:link w:val="967"/>
    <w:unhideWhenUsed/>
    <w:pPr>
      <w:ind w:left="283"/>
      <w:spacing w:after="120" w:line="276" w:lineRule="auto"/>
      <w:widowControl/>
    </w:pPr>
    <w:rPr>
      <w:rFonts w:eastAsiaTheme="minorHAnsi"/>
      <w:sz w:val="22"/>
      <w:szCs w:val="22"/>
      <w:lang w:eastAsia="en-US"/>
    </w:rPr>
  </w:style>
  <w:style w:type="character" w:styleId="1090" w:customStyle="1">
    <w:name w:val="Основной текст с отступом 3 Знак1"/>
    <w:basedOn w:val="755"/>
    <w:uiPriority w:val="99"/>
    <w:semiHidden/>
    <w:rPr>
      <w:rFonts w:ascii="Times New Roman" w:hAnsi="Times New Roman" w:eastAsia="Times New Roman" w:cs="Times New Roman"/>
      <w:sz w:val="16"/>
      <w:szCs w:val="16"/>
      <w:lang w:eastAsia="ar-SA"/>
    </w:rPr>
  </w:style>
  <w:style w:type="paragraph" w:styleId="1091" w:customStyle="1">
    <w:name w:val="Знак Знак3"/>
    <w:basedOn w:val="754"/>
    <w:pPr>
      <w:spacing w:after="160" w:line="240" w:lineRule="exact"/>
      <w:widowControl/>
    </w:pPr>
    <w:rPr>
      <w:rFonts w:ascii="Verdana" w:hAnsi="Verdana"/>
      <w:lang w:val="en-US" w:eastAsia="en-US"/>
    </w:rPr>
  </w:style>
  <w:style w:type="paragraph" w:styleId="1092" w:customStyle="1">
    <w:name w:val="Стиль Заголовок 3 + 12 пт"/>
    <w:basedOn w:val="903"/>
    <w:pPr>
      <w:numPr>
        <w:ilvl w:val="2"/>
      </w:numPr>
      <w:keepLines w:val="0"/>
      <w:spacing w:before="240" w:after="120"/>
      <w:widowControl/>
      <w:tabs>
        <w:tab w:val="num" w:pos="0" w:leader="none"/>
        <w:tab w:val="left" w:pos="2340" w:leader="none"/>
      </w:tabs>
    </w:pPr>
    <w:rPr>
      <w:rFonts w:ascii="Times New Roman" w:hAnsi="Times New Roman" w:eastAsia="Times New Roman" w:cs="Times New Roman"/>
      <w:b/>
      <w:bCs/>
      <w:color w:val="auto"/>
      <w:szCs w:val="26"/>
    </w:rPr>
  </w:style>
  <w:style w:type="paragraph" w:styleId="1093" w:customStyle="1">
    <w:name w:val="Стиль ОСНОВНОЙ !!! + Times New Roman 12 пт"/>
    <w:basedOn w:val="754"/>
    <w:link w:val="1094"/>
    <w:pPr>
      <w:ind w:firstLine="851"/>
      <w:jc w:val="both"/>
      <w:spacing w:before="120"/>
      <w:widowControl/>
    </w:pPr>
    <w:rPr>
      <w:sz w:val="24"/>
      <w:szCs w:val="24"/>
    </w:rPr>
  </w:style>
  <w:style w:type="character" w:styleId="1094" w:customStyle="1">
    <w:name w:val="Стиль ОСНОВНОЙ !!! + Times New Roman 12 пт Знак"/>
    <w:link w:val="1093"/>
    <w:rPr>
      <w:rFonts w:ascii="Times New Roman" w:hAnsi="Times New Roman" w:eastAsia="Times New Roman" w:cs="Times New Roman"/>
      <w:sz w:val="24"/>
      <w:szCs w:val="24"/>
    </w:rPr>
  </w:style>
  <w:style w:type="paragraph" w:styleId="1095" w:customStyle="1">
    <w:name w:val="ОСНОВНОЙ !!!"/>
    <w:basedOn w:val="996"/>
    <w:link w:val="1096"/>
    <w:pPr>
      <w:ind w:firstLine="900"/>
      <w:jc w:val="both"/>
      <w:spacing w:before="120"/>
    </w:pPr>
    <w:rPr>
      <w:rFonts w:ascii="Arial" w:hAnsi="Arial"/>
      <w:b w:val="0"/>
      <w:bCs w:val="0"/>
    </w:rPr>
  </w:style>
  <w:style w:type="character" w:styleId="1096" w:customStyle="1">
    <w:name w:val="ОСНОВНОЙ !!! Знак1"/>
    <w:link w:val="1095"/>
    <w:rPr>
      <w:rFonts w:ascii="Arial" w:hAnsi="Arial" w:eastAsia="Times New Roman" w:cs="Times New Roman"/>
      <w:sz w:val="24"/>
      <w:szCs w:val="24"/>
    </w:rPr>
  </w:style>
  <w:style w:type="paragraph" w:styleId="1097" w:customStyle="1">
    <w:name w:val="Стиль ОСНОВНОЙ !!! + Слева:  159 см Первая строка:  0 см"/>
    <w:basedOn w:val="1095"/>
    <w:pPr>
      <w:ind w:left="900" w:firstLine="0"/>
    </w:pPr>
    <w:rPr>
      <w:szCs w:val="20"/>
    </w:rPr>
  </w:style>
  <w:style w:type="character" w:styleId="1098" w:customStyle="1">
    <w:name w:val="Абзац списка Знак"/>
    <w:link w:val="1034"/>
    <w:uiPriority w:val="34"/>
    <w:qFormat/>
    <w:rPr>
      <w:rFonts w:ascii="Calibri" w:hAnsi="Calibri" w:eastAsia="Times New Roman" w:cs="Times New Roman"/>
      <w:lang w:eastAsia="ar-SA"/>
    </w:rPr>
  </w:style>
  <w:style w:type="paragraph" w:styleId="1099">
    <w:name w:val="Block Text"/>
    <w:basedOn w:val="754"/>
    <w:pPr>
      <w:ind w:left="360" w:right="333" w:firstLine="851"/>
      <w:jc w:val="both"/>
      <w:spacing w:before="120"/>
      <w:widowControl/>
      <w:tabs>
        <w:tab w:val="left" w:pos="10440" w:leader="none"/>
      </w:tabs>
    </w:pPr>
    <w:rPr>
      <w:b/>
      <w:bCs/>
      <w:color w:val="000000"/>
      <w:sz w:val="28"/>
      <w:szCs w:val="28"/>
      <w:lang w:eastAsia="ru-RU"/>
    </w:rPr>
  </w:style>
  <w:style w:type="paragraph" w:styleId="1100" w:customStyle="1">
    <w:name w:val="Default"/>
    <w:pPr>
      <w:spacing w:after="0" w:line="240" w:lineRule="auto"/>
    </w:pPr>
    <w:rPr>
      <w:rFonts w:ascii="Times New Roman" w:hAnsi="Times New Roman" w:eastAsia="Calibri" w:cs="Times New Roman"/>
      <w:color w:val="000000"/>
      <w:sz w:val="24"/>
      <w:szCs w:val="24"/>
      <w:lang w:eastAsia="ru-RU"/>
    </w:rPr>
  </w:style>
  <w:style w:type="paragraph" w:styleId="1101" w:customStyle="1">
    <w:name w:val="Абзац"/>
    <w:basedOn w:val="754"/>
    <w:link w:val="1102"/>
    <w:qFormat/>
    <w:pPr>
      <w:ind w:firstLine="567"/>
      <w:jc w:val="both"/>
      <w:spacing w:before="120" w:after="60"/>
      <w:widowControl/>
    </w:pPr>
    <w:rPr>
      <w:sz w:val="24"/>
      <w:szCs w:val="24"/>
    </w:rPr>
  </w:style>
  <w:style w:type="character" w:styleId="1102" w:customStyle="1">
    <w:name w:val="Абзац Знак"/>
    <w:link w:val="1101"/>
    <w:rPr>
      <w:rFonts w:ascii="Times New Roman" w:hAnsi="Times New Roman" w:eastAsia="Times New Roman" w:cs="Times New Roman"/>
      <w:sz w:val="24"/>
      <w:szCs w:val="24"/>
    </w:rPr>
  </w:style>
  <w:style w:type="character" w:styleId="1103" w:customStyle="1">
    <w:name w:val="Список Знак"/>
    <w:link w:val="998"/>
    <w:rPr>
      <w:rFonts w:ascii="Arial" w:hAnsi="Arial" w:eastAsia="Times New Roman" w:cs="Arial"/>
      <w:lang w:eastAsia="ar-SA"/>
    </w:rPr>
  </w:style>
  <w:style w:type="paragraph" w:styleId="1104" w:customStyle="1">
    <w:name w:val="ООО  «Институт Территориального Планирования"/>
    <w:basedOn w:val="754"/>
    <w:link w:val="1105"/>
    <w:qFormat/>
    <w:pPr>
      <w:ind w:left="709"/>
      <w:jc w:val="right"/>
      <w:spacing w:line="360" w:lineRule="auto"/>
      <w:widowControl/>
    </w:pPr>
    <w:rPr>
      <w:sz w:val="24"/>
      <w:szCs w:val="24"/>
    </w:rPr>
  </w:style>
  <w:style w:type="character" w:styleId="1105" w:customStyle="1">
    <w:name w:val="ООО  «Институт Территориального Планирования Знак"/>
    <w:link w:val="1104"/>
    <w:rPr>
      <w:rFonts w:ascii="Times New Roman" w:hAnsi="Times New Roman" w:eastAsia="Times New Roman" w:cs="Times New Roman"/>
      <w:sz w:val="24"/>
      <w:szCs w:val="24"/>
    </w:rPr>
  </w:style>
  <w:style w:type="paragraph" w:styleId="1106" w:customStyle="1">
    <w:name w:val="Caption"/>
    <w:basedOn w:val="754"/>
    <w:next w:val="754"/>
    <w:link w:val="1107"/>
    <w:qFormat/>
    <w:pPr>
      <w:jc w:val="center"/>
      <w:spacing w:before="120" w:after="120"/>
      <w:widowControl/>
    </w:pPr>
    <w:rPr>
      <w:b/>
      <w:bCs/>
      <w:sz w:val="22"/>
    </w:rPr>
  </w:style>
  <w:style w:type="character" w:styleId="1107" w:customStyle="1">
    <w:name w:val="Название объекта Знак2"/>
    <w:link w:val="1106"/>
    <w:rPr>
      <w:rFonts w:ascii="Times New Roman" w:hAnsi="Times New Roman" w:eastAsia="Times New Roman" w:cs="Times New Roman"/>
      <w:b/>
      <w:bCs/>
      <w:szCs w:val="20"/>
    </w:rPr>
  </w:style>
  <w:style w:type="paragraph" w:styleId="1108" w:customStyle="1">
    <w:name w:val="Табличный"/>
    <w:basedOn w:val="754"/>
    <w:pPr>
      <w:jc w:val="center"/>
      <w:keepNext/>
      <w:spacing w:before="60" w:after="60"/>
    </w:pPr>
    <w:rPr>
      <w:b/>
      <w:sz w:val="22"/>
      <w:lang w:eastAsia="ru-RU"/>
    </w:rPr>
  </w:style>
  <w:style w:type="paragraph" w:styleId="1109" w:customStyle="1">
    <w:name w:val="Список нумерованный"/>
    <w:basedOn w:val="754"/>
    <w:pPr>
      <w:numPr>
        <w:numId w:val="8"/>
      </w:numPr>
      <w:jc w:val="both"/>
      <w:spacing w:before="120"/>
      <w:widowControl/>
    </w:pPr>
    <w:rPr>
      <w:sz w:val="24"/>
      <w:szCs w:val="24"/>
      <w:lang w:eastAsia="ru-RU"/>
    </w:rPr>
  </w:style>
  <w:style w:type="paragraph" w:styleId="1110" w:customStyle="1">
    <w:name w:val="Содержание"/>
    <w:basedOn w:val="754"/>
    <w:pPr>
      <w:jc w:val="center"/>
      <w:spacing w:before="240" w:after="240"/>
    </w:pPr>
    <w:rPr>
      <w:b/>
      <w:caps/>
      <w:sz w:val="24"/>
      <w:lang w:eastAsia="ru-RU"/>
    </w:rPr>
  </w:style>
  <w:style w:type="paragraph" w:styleId="1111" w:customStyle="1">
    <w:name w:val="Название таблицы"/>
    <w:basedOn w:val="1106"/>
    <w:pPr>
      <w:jc w:val="left"/>
      <w:keepNext/>
      <w:spacing w:after="0"/>
    </w:pPr>
    <w:rPr>
      <w:szCs w:val="22"/>
    </w:rPr>
  </w:style>
  <w:style w:type="paragraph" w:styleId="1112" w:customStyle="1">
    <w:name w:val="Табличный_заголовки"/>
    <w:basedOn w:val="754"/>
    <w:pPr>
      <w:jc w:val="center"/>
      <w:keepLines/>
      <w:keepNext/>
      <w:widowControl/>
    </w:pPr>
    <w:rPr>
      <w:b/>
      <w:lang w:eastAsia="ru-RU"/>
    </w:rPr>
  </w:style>
  <w:style w:type="paragraph" w:styleId="1113" w:customStyle="1">
    <w:name w:val="Табличный_центр"/>
    <w:basedOn w:val="754"/>
    <w:pPr>
      <w:jc w:val="center"/>
      <w:widowControl/>
    </w:pPr>
    <w:rPr>
      <w:sz w:val="22"/>
      <w:szCs w:val="22"/>
      <w:lang w:eastAsia="ru-RU"/>
    </w:rPr>
  </w:style>
  <w:style w:type="paragraph" w:styleId="1114" w:customStyle="1">
    <w:name w:val="Список 1)"/>
    <w:basedOn w:val="754"/>
    <w:pPr>
      <w:numPr>
        <w:numId w:val="6"/>
      </w:numPr>
      <w:jc w:val="both"/>
      <w:spacing w:after="60"/>
      <w:widowControl/>
    </w:pPr>
    <w:rPr>
      <w:sz w:val="24"/>
      <w:szCs w:val="24"/>
      <w:lang w:eastAsia="ru-RU"/>
    </w:rPr>
  </w:style>
  <w:style w:type="paragraph" w:styleId="1115" w:customStyle="1">
    <w:name w:val="Табличный_нумерованный"/>
    <w:basedOn w:val="754"/>
    <w:link w:val="1116"/>
    <w:pPr>
      <w:numPr>
        <w:numId w:val="5"/>
      </w:numPr>
      <w:widowControl/>
    </w:pPr>
    <w:rPr>
      <w:sz w:val="22"/>
      <w:szCs w:val="22"/>
    </w:rPr>
  </w:style>
  <w:style w:type="character" w:styleId="1116" w:customStyle="1">
    <w:name w:val="Табличный_нумерованный Знак"/>
    <w:link w:val="1115"/>
    <w:rPr>
      <w:rFonts w:ascii="Times New Roman" w:hAnsi="Times New Roman" w:eastAsia="Times New Roman" w:cs="Times New Roman"/>
    </w:rPr>
  </w:style>
  <w:style w:type="paragraph" w:styleId="1117">
    <w:name w:val="toa heading"/>
    <w:basedOn w:val="754"/>
    <w:next w:val="754"/>
    <w:semiHidden/>
    <w:pPr>
      <w:jc w:val="center"/>
      <w:spacing w:before="40" w:after="20"/>
      <w:widowControl/>
    </w:pPr>
    <w:rPr>
      <w:b/>
      <w:sz w:val="22"/>
      <w:lang w:eastAsia="ru-RU"/>
    </w:rPr>
  </w:style>
  <w:style w:type="paragraph" w:styleId="1118" w:customStyle="1">
    <w:name w:val="Требования"/>
    <w:basedOn w:val="754"/>
    <w:pPr>
      <w:numPr>
        <w:ilvl w:val="1"/>
        <w:numId w:val="7"/>
      </w:numPr>
      <w:ind w:firstLine="567"/>
      <w:jc w:val="both"/>
      <w:spacing w:before="120" w:after="60"/>
      <w:widowControl/>
      <w:outlineLvl w:val="1"/>
    </w:pPr>
    <w:rPr>
      <w:bCs/>
      <w:i/>
      <w:iCs/>
      <w:sz w:val="24"/>
      <w:szCs w:val="24"/>
      <w:lang w:eastAsia="ru-RU"/>
    </w:rPr>
  </w:style>
  <w:style w:type="paragraph" w:styleId="1119" w:customStyle="1">
    <w:name w:val="Список а)"/>
    <w:basedOn w:val="998"/>
    <w:pPr>
      <w:numPr>
        <w:numId w:val="4"/>
      </w:numPr>
      <w:jc w:val="both"/>
      <w:spacing w:after="60" w:line="240" w:lineRule="auto"/>
    </w:pPr>
    <w:rPr>
      <w:rFonts w:ascii="Times New Roman" w:hAnsi="Times New Roman" w:cs="Times New Roman"/>
      <w:sz w:val="24"/>
      <w:szCs w:val="24"/>
    </w:rPr>
  </w:style>
  <w:style w:type="paragraph" w:styleId="1120">
    <w:name w:val="Document Map"/>
    <w:basedOn w:val="754"/>
    <w:link w:val="1121"/>
    <w:semiHidden/>
    <w:pPr>
      <w:jc w:val="both"/>
      <w:shd w:val="clear" w:color="auto" w:fill="000080"/>
    </w:pPr>
    <w:rPr>
      <w:rFonts w:ascii="Tahoma" w:hAnsi="Tahoma"/>
      <w:sz w:val="24"/>
    </w:rPr>
  </w:style>
  <w:style w:type="character" w:styleId="1121" w:customStyle="1">
    <w:name w:val="Схема документа Знак"/>
    <w:basedOn w:val="755"/>
    <w:link w:val="1120"/>
    <w:semiHidden/>
    <w:rPr>
      <w:rFonts w:ascii="Tahoma" w:hAnsi="Tahoma" w:eastAsia="Times New Roman" w:cs="Times New Roman"/>
      <w:sz w:val="24"/>
      <w:szCs w:val="20"/>
      <w:shd w:val="clear" w:color="auto" w:fill="000080"/>
    </w:rPr>
  </w:style>
  <w:style w:type="paragraph" w:styleId="1122" w:customStyle="1">
    <w:name w:val="Табличный_слева"/>
    <w:basedOn w:val="754"/>
    <w:pPr>
      <w:widowControl/>
    </w:pPr>
    <w:rPr>
      <w:sz w:val="22"/>
      <w:szCs w:val="22"/>
      <w:lang w:eastAsia="ru-RU"/>
    </w:rPr>
  </w:style>
  <w:style w:type="paragraph" w:styleId="1123" w:customStyle="1">
    <w:name w:val="Обычный 1"/>
    <w:basedOn w:val="754"/>
    <w:next w:val="754"/>
    <w:semiHidden/>
    <w:pPr>
      <w:ind w:left="360" w:hanging="360"/>
      <w:jc w:val="both"/>
      <w:spacing w:before="120"/>
      <w:widowControl/>
      <w:tabs>
        <w:tab w:val="num" w:pos="360" w:leader="none"/>
      </w:tabs>
    </w:pPr>
    <w:rPr>
      <w:sz w:val="24"/>
      <w:lang w:eastAsia="ru-RU"/>
    </w:rPr>
  </w:style>
  <w:style w:type="paragraph" w:styleId="1124" w:customStyle="1">
    <w:name w:val="Обычный влево"/>
    <w:basedOn w:val="1123"/>
    <w:pPr>
      <w:ind w:left="0" w:firstLine="0"/>
      <w:jc w:val="left"/>
      <w:spacing w:before="0"/>
      <w:tabs>
        <w:tab w:val="clear" w:pos="360" w:leader="none"/>
      </w:tabs>
    </w:pPr>
  </w:style>
  <w:style w:type="paragraph" w:styleId="1125" w:customStyle="1">
    <w:name w:val="Табличный_по ширине"/>
    <w:basedOn w:val="1122"/>
    <w:pPr>
      <w:jc w:val="both"/>
    </w:pPr>
  </w:style>
  <w:style w:type="paragraph" w:styleId="1126" w:customStyle="1">
    <w:name w:val="Табличный_центр_10"/>
    <w:basedOn w:val="754"/>
    <w:qFormat/>
    <w:pPr>
      <w:jc w:val="center"/>
      <w:widowControl/>
    </w:pPr>
    <w:rPr>
      <w:szCs w:val="24"/>
      <w:lang w:eastAsia="ru-RU"/>
    </w:rPr>
  </w:style>
  <w:style w:type="paragraph" w:styleId="1127" w:customStyle="1">
    <w:name w:val="Табличный_слева_10"/>
    <w:basedOn w:val="754"/>
    <w:qFormat/>
    <w:pPr>
      <w:widowControl/>
    </w:pPr>
    <w:rPr>
      <w:szCs w:val="24"/>
      <w:lang w:eastAsia="ru-RU"/>
    </w:rPr>
  </w:style>
  <w:style w:type="paragraph" w:styleId="1128" w:customStyle="1">
    <w:name w:val="Табличный_по ширине_10"/>
    <w:basedOn w:val="754"/>
    <w:qFormat/>
    <w:pPr>
      <w:jc w:val="both"/>
      <w:widowControl/>
    </w:pPr>
    <w:rPr>
      <w:szCs w:val="24"/>
      <w:lang w:eastAsia="ru-RU"/>
    </w:rPr>
  </w:style>
  <w:style w:type="paragraph" w:styleId="1129" w:customStyle="1">
    <w:name w:val="Табличный_нумерованный_10"/>
    <w:basedOn w:val="754"/>
    <w:qFormat/>
    <w:pPr>
      <w:numPr>
        <w:numId w:val="9"/>
      </w:numPr>
      <w:widowControl/>
    </w:pPr>
    <w:rPr>
      <w:szCs w:val="24"/>
      <w:lang w:eastAsia="ru-RU"/>
    </w:rPr>
  </w:style>
  <w:style w:type="paragraph" w:styleId="1130" w:customStyle="1">
    <w:name w:val="Табличный_заголовки_10"/>
    <w:basedOn w:val="1101"/>
    <w:qFormat/>
    <w:pPr>
      <w:jc w:val="center"/>
    </w:pPr>
    <w:rPr>
      <w:b/>
      <w:sz w:val="20"/>
    </w:rPr>
  </w:style>
  <w:style w:type="paragraph" w:styleId="1131">
    <w:name w:val="Quote"/>
    <w:basedOn w:val="754"/>
    <w:next w:val="754"/>
    <w:link w:val="1132"/>
    <w:uiPriority w:val="29"/>
    <w:qFormat/>
    <w:pPr>
      <w:ind w:firstLine="680"/>
      <w:jc w:val="both"/>
      <w:spacing w:line="360" w:lineRule="auto"/>
      <w:widowControl/>
    </w:pPr>
    <w:rPr>
      <w:rFonts w:ascii="Cambria" w:hAnsi="Cambria"/>
      <w:i/>
      <w:iCs/>
      <w:color w:val="5a5a5a"/>
      <w:sz w:val="24"/>
      <w:szCs w:val="24"/>
    </w:rPr>
  </w:style>
  <w:style w:type="character" w:styleId="1132" w:customStyle="1">
    <w:name w:val="Цитата 2 Знак"/>
    <w:basedOn w:val="755"/>
    <w:link w:val="1131"/>
    <w:uiPriority w:val="29"/>
    <w:rPr>
      <w:rFonts w:ascii="Cambria" w:hAnsi="Cambria" w:eastAsia="Times New Roman" w:cs="Times New Roman"/>
      <w:i/>
      <w:iCs/>
      <w:color w:val="5a5a5a"/>
      <w:sz w:val="24"/>
      <w:szCs w:val="24"/>
    </w:rPr>
  </w:style>
  <w:style w:type="paragraph" w:styleId="1133">
    <w:name w:val="Intense Quote"/>
    <w:basedOn w:val="754"/>
    <w:next w:val="754"/>
    <w:link w:val="1134"/>
    <w:uiPriority w:val="30"/>
    <w:qFormat/>
    <w:pPr>
      <w:ind w:left="1440" w:right="1440" w:firstLine="680"/>
      <w:jc w:val="both"/>
      <w:spacing w:before="320" w:after="320" w:line="300" w:lineRule="auto"/>
      <w:shd w:val="clear" w:color="auto" w:fill="4f81bd"/>
      <w:widowControl/>
      <w:pBdr>
        <w:top w:val="single" w:color="B8CCE4" w:sz="12" w:space="10"/>
        <w:left w:val="single" w:color="4F81BD" w:sz="36" w:space="4"/>
        <w:bottom w:val="single" w:color="9BBB59" w:sz="24" w:space="10"/>
        <w:right w:val="single" w:color="4F81BD" w:sz="36" w:space="4"/>
      </w:pBdr>
    </w:pPr>
    <w:rPr>
      <w:rFonts w:ascii="Cambria" w:hAnsi="Cambria"/>
      <w:i/>
      <w:iCs/>
      <w:color w:val="f4f4f4"/>
      <w:sz w:val="24"/>
      <w:szCs w:val="24"/>
    </w:rPr>
  </w:style>
  <w:style w:type="character" w:styleId="1134" w:customStyle="1">
    <w:name w:val="Выделенная цитата Знак"/>
    <w:basedOn w:val="755"/>
    <w:link w:val="1133"/>
    <w:uiPriority w:val="30"/>
    <w:rPr>
      <w:rFonts w:ascii="Cambria" w:hAnsi="Cambria" w:eastAsia="Times New Roman" w:cs="Times New Roman"/>
      <w:i/>
      <w:iCs/>
      <w:color w:val="f4f4f4"/>
      <w:sz w:val="24"/>
      <w:szCs w:val="24"/>
      <w:shd w:val="clear" w:color="auto" w:fill="4f81bd"/>
    </w:rPr>
  </w:style>
  <w:style w:type="character" w:styleId="1135">
    <w:name w:val="Subtle Emphasis"/>
    <w:uiPriority w:val="19"/>
    <w:qFormat/>
    <w:rPr>
      <w:i/>
      <w:iCs/>
      <w:color w:val="5a5a5a"/>
    </w:rPr>
  </w:style>
  <w:style w:type="character" w:styleId="1136">
    <w:name w:val="Intense Emphasis"/>
    <w:uiPriority w:val="21"/>
    <w:qFormat/>
    <w:rPr>
      <w:b/>
      <w:bCs/>
      <w:i/>
      <w:iCs/>
      <w:color w:val="4f81bd"/>
      <w:sz w:val="22"/>
      <w:szCs w:val="22"/>
    </w:rPr>
  </w:style>
  <w:style w:type="character" w:styleId="1137">
    <w:name w:val="Subtle Reference"/>
    <w:uiPriority w:val="31"/>
    <w:qFormat/>
    <w:rPr>
      <w:color w:val="auto"/>
      <w:u w:val="single"/>
    </w:rPr>
  </w:style>
  <w:style w:type="character" w:styleId="1138">
    <w:name w:val="Intense Reference"/>
    <w:uiPriority w:val="32"/>
    <w:qFormat/>
    <w:rPr>
      <w:b/>
      <w:bCs/>
      <w:color w:val="76923c"/>
      <w:u w:val="single"/>
    </w:rPr>
  </w:style>
  <w:style w:type="character" w:styleId="1139">
    <w:name w:val="Book Title"/>
    <w:uiPriority w:val="33"/>
    <w:qFormat/>
    <w:rPr>
      <w:rFonts w:ascii="Cambria" w:hAnsi="Cambria" w:eastAsia="Times New Roman" w:cs="Times New Roman"/>
      <w:b/>
      <w:bCs/>
      <w:i/>
      <w:iCs/>
      <w:color w:val="auto"/>
    </w:rPr>
  </w:style>
  <w:style w:type="paragraph" w:styleId="1140">
    <w:name w:val="List Bullet"/>
    <w:basedOn w:val="754"/>
    <w:uiPriority w:val="99"/>
    <w:unhideWhenUsed/>
    <w:pPr>
      <w:contextualSpacing/>
      <w:ind w:left="1571" w:hanging="360"/>
      <w:jc w:val="both"/>
      <w:spacing w:line="360" w:lineRule="auto"/>
      <w:widowControl/>
    </w:pPr>
    <w:rPr>
      <w:sz w:val="24"/>
      <w:szCs w:val="24"/>
      <w:lang w:eastAsia="ru-RU"/>
    </w:rPr>
  </w:style>
  <w:style w:type="paragraph" w:styleId="1141">
    <w:name w:val="TOC Heading"/>
    <w:basedOn w:val="901"/>
    <w:next w:val="754"/>
    <w:uiPriority w:val="39"/>
    <w:qFormat/>
    <w:pPr>
      <w:numPr>
        <w:numId w:val="0"/>
      </w:numPr>
      <w:ind w:firstLine="680"/>
      <w:jc w:val="both"/>
      <w:keepNext w:val="0"/>
      <w:spacing w:before="600" w:after="80" w:line="360" w:lineRule="auto"/>
      <w:shd w:val="clear" w:color="auto" w:fill="auto"/>
      <w:pBdr>
        <w:bottom w:val="single" w:color="365F91" w:sz="12" w:space="1"/>
      </w:pBdr>
      <w:outlineLvl w:val="9"/>
    </w:pPr>
    <w:rPr>
      <w:color w:val="365f91"/>
      <w:sz w:val="24"/>
      <w:szCs w:val="24"/>
    </w:rPr>
  </w:style>
  <w:style w:type="character" w:styleId="1142">
    <w:name w:val="footnote reference"/>
    <w:uiPriority w:val="99"/>
    <w:rPr>
      <w:vertAlign w:val="superscript"/>
    </w:rPr>
  </w:style>
  <w:style w:type="paragraph" w:styleId="1143">
    <w:name w:val="Body Text 2"/>
    <w:basedOn w:val="754"/>
    <w:link w:val="966"/>
    <w:pPr>
      <w:ind w:firstLine="680"/>
      <w:jc w:val="center"/>
      <w:spacing w:line="360" w:lineRule="auto"/>
      <w:widowControl/>
    </w:pPr>
    <w:rPr>
      <w:rFonts w:eastAsiaTheme="minorHAnsi"/>
      <w:color w:val="ff0000"/>
      <w:sz w:val="22"/>
      <w:szCs w:val="22"/>
      <w:lang w:eastAsia="en-US"/>
    </w:rPr>
  </w:style>
  <w:style w:type="character" w:styleId="1144" w:customStyle="1">
    <w:name w:val="Основной текст 2 Знак1"/>
    <w:basedOn w:val="755"/>
    <w:uiPriority w:val="99"/>
    <w:semiHidden/>
    <w:rPr>
      <w:rFonts w:ascii="Times New Roman" w:hAnsi="Times New Roman" w:eastAsia="Times New Roman" w:cs="Times New Roman"/>
      <w:sz w:val="20"/>
      <w:szCs w:val="20"/>
      <w:lang w:eastAsia="ar-SA"/>
    </w:rPr>
  </w:style>
  <w:style w:type="numbering" w:styleId="1145">
    <w:name w:val="Outline List 2"/>
    <w:basedOn w:val="757"/>
    <w:pPr>
      <w:numPr>
        <w:numId w:val="10"/>
      </w:numPr>
    </w:pPr>
  </w:style>
  <w:style w:type="paragraph" w:styleId="1146">
    <w:name w:val="Body Text Indent 2"/>
    <w:basedOn w:val="754"/>
    <w:link w:val="965"/>
    <w:pPr>
      <w:ind w:left="283" w:firstLine="680"/>
      <w:jc w:val="both"/>
      <w:spacing w:after="120" w:line="480" w:lineRule="auto"/>
      <w:widowControl/>
    </w:pPr>
    <w:rPr>
      <w:rFonts w:eastAsiaTheme="minorHAnsi"/>
      <w:sz w:val="24"/>
      <w:szCs w:val="24"/>
      <w:lang w:eastAsia="en-US"/>
    </w:rPr>
  </w:style>
  <w:style w:type="character" w:styleId="1147" w:customStyle="1">
    <w:name w:val="Основной текст с отступом 2 Знак1"/>
    <w:basedOn w:val="755"/>
    <w:uiPriority w:val="99"/>
    <w:semiHidden/>
    <w:rPr>
      <w:rFonts w:ascii="Times New Roman" w:hAnsi="Times New Roman" w:eastAsia="Times New Roman" w:cs="Times New Roman"/>
      <w:sz w:val="20"/>
      <w:szCs w:val="20"/>
      <w:lang w:eastAsia="ar-SA"/>
    </w:rPr>
  </w:style>
  <w:style w:type="numbering" w:styleId="1148">
    <w:name w:val="Outline List 1"/>
    <w:basedOn w:val="757"/>
    <w:pPr>
      <w:numPr>
        <w:numId w:val="11"/>
      </w:numPr>
    </w:pPr>
  </w:style>
  <w:style w:type="paragraph" w:styleId="1149">
    <w:name w:val="Body Text 3"/>
    <w:basedOn w:val="754"/>
    <w:link w:val="1150"/>
    <w:pPr>
      <w:ind w:firstLine="680"/>
      <w:jc w:val="both"/>
      <w:spacing w:after="120" w:line="360" w:lineRule="auto"/>
      <w:widowControl/>
    </w:pPr>
    <w:rPr>
      <w:sz w:val="16"/>
      <w:szCs w:val="16"/>
    </w:rPr>
  </w:style>
  <w:style w:type="character" w:styleId="1150" w:customStyle="1">
    <w:name w:val="Основной текст 3 Знак"/>
    <w:basedOn w:val="755"/>
    <w:link w:val="1149"/>
    <w:rPr>
      <w:rFonts w:ascii="Times New Roman" w:hAnsi="Times New Roman" w:eastAsia="Times New Roman" w:cs="Times New Roman"/>
      <w:sz w:val="16"/>
      <w:szCs w:val="16"/>
    </w:rPr>
  </w:style>
  <w:style w:type="character" w:styleId="1151">
    <w:name w:val="line number"/>
    <w:rPr>
      <w:sz w:val="18"/>
      <w:szCs w:val="18"/>
    </w:rPr>
  </w:style>
  <w:style w:type="paragraph" w:styleId="1152">
    <w:name w:val="List 2"/>
    <w:basedOn w:val="998"/>
    <w:pPr>
      <w:ind w:left="1800" w:hanging="360"/>
      <w:jc w:val="both"/>
      <w:spacing w:after="240" w:line="240" w:lineRule="atLeast"/>
    </w:pPr>
    <w:rPr>
      <w:spacing w:val="-5"/>
      <w:sz w:val="20"/>
      <w:szCs w:val="20"/>
      <w:lang w:eastAsia="en-US"/>
    </w:rPr>
  </w:style>
  <w:style w:type="paragraph" w:styleId="1153">
    <w:name w:val="List 3"/>
    <w:basedOn w:val="998"/>
    <w:pPr>
      <w:ind w:left="2160" w:hanging="360"/>
      <w:jc w:val="both"/>
      <w:spacing w:after="240" w:line="240" w:lineRule="atLeast"/>
    </w:pPr>
    <w:rPr>
      <w:spacing w:val="-5"/>
      <w:sz w:val="20"/>
      <w:szCs w:val="20"/>
      <w:lang w:eastAsia="en-US"/>
    </w:rPr>
  </w:style>
  <w:style w:type="paragraph" w:styleId="1154">
    <w:name w:val="List 4"/>
    <w:basedOn w:val="998"/>
    <w:pPr>
      <w:ind w:left="2520" w:hanging="360"/>
      <w:jc w:val="both"/>
      <w:spacing w:after="240" w:line="240" w:lineRule="atLeast"/>
    </w:pPr>
    <w:rPr>
      <w:spacing w:val="-5"/>
      <w:sz w:val="20"/>
      <w:szCs w:val="20"/>
      <w:lang w:eastAsia="en-US"/>
    </w:rPr>
  </w:style>
  <w:style w:type="paragraph" w:styleId="1155">
    <w:name w:val="List 5"/>
    <w:basedOn w:val="998"/>
    <w:pPr>
      <w:ind w:left="2880" w:hanging="360"/>
      <w:jc w:val="both"/>
      <w:spacing w:after="240" w:line="240" w:lineRule="atLeast"/>
    </w:pPr>
    <w:rPr>
      <w:spacing w:val="-5"/>
      <w:sz w:val="20"/>
      <w:szCs w:val="20"/>
      <w:lang w:eastAsia="en-US"/>
    </w:rPr>
  </w:style>
  <w:style w:type="paragraph" w:styleId="1156">
    <w:name w:val="List Bullet 2"/>
    <w:basedOn w:val="1140"/>
    <w:pPr>
      <w:contextualSpacing w:val="0"/>
      <w:ind w:left="1800"/>
      <w:spacing w:after="240" w:line="240" w:lineRule="atLeast"/>
      <w:tabs>
        <w:tab w:val="num" w:pos="360" w:leader="none"/>
      </w:tabs>
    </w:pPr>
    <w:rPr>
      <w:rFonts w:ascii="Arial" w:hAnsi="Arial" w:cs="Arial"/>
      <w:spacing w:val="-5"/>
      <w:sz w:val="20"/>
      <w:szCs w:val="20"/>
      <w:lang w:eastAsia="en-US"/>
    </w:rPr>
  </w:style>
  <w:style w:type="paragraph" w:styleId="1157">
    <w:name w:val="List Bullet 3"/>
    <w:basedOn w:val="1140"/>
    <w:pPr>
      <w:contextualSpacing w:val="0"/>
      <w:ind w:left="2160"/>
      <w:spacing w:after="240" w:line="240" w:lineRule="atLeast"/>
      <w:tabs>
        <w:tab w:val="num" w:pos="360" w:leader="none"/>
      </w:tabs>
    </w:pPr>
    <w:rPr>
      <w:rFonts w:ascii="Arial" w:hAnsi="Arial" w:cs="Arial"/>
      <w:spacing w:val="-5"/>
      <w:sz w:val="20"/>
      <w:szCs w:val="20"/>
      <w:lang w:eastAsia="en-US"/>
    </w:rPr>
  </w:style>
  <w:style w:type="paragraph" w:styleId="1158">
    <w:name w:val="List Bullet 4"/>
    <w:basedOn w:val="1140"/>
    <w:pPr>
      <w:contextualSpacing w:val="0"/>
      <w:ind w:left="2520"/>
      <w:spacing w:after="240" w:line="240" w:lineRule="atLeast"/>
      <w:tabs>
        <w:tab w:val="num" w:pos="360" w:leader="none"/>
      </w:tabs>
    </w:pPr>
    <w:rPr>
      <w:rFonts w:ascii="Arial" w:hAnsi="Arial" w:cs="Arial"/>
      <w:spacing w:val="-5"/>
      <w:sz w:val="20"/>
      <w:szCs w:val="20"/>
      <w:lang w:eastAsia="en-US"/>
    </w:rPr>
  </w:style>
  <w:style w:type="paragraph" w:styleId="1159">
    <w:name w:val="List Bullet 5"/>
    <w:basedOn w:val="1140"/>
    <w:pPr>
      <w:contextualSpacing w:val="0"/>
      <w:ind w:left="2880"/>
      <w:spacing w:after="240" w:line="240" w:lineRule="atLeast"/>
      <w:tabs>
        <w:tab w:val="num" w:pos="360" w:leader="none"/>
      </w:tabs>
    </w:pPr>
    <w:rPr>
      <w:rFonts w:ascii="Arial" w:hAnsi="Arial" w:cs="Arial"/>
      <w:spacing w:val="-5"/>
      <w:sz w:val="20"/>
      <w:szCs w:val="20"/>
      <w:lang w:eastAsia="en-US"/>
    </w:rPr>
  </w:style>
  <w:style w:type="paragraph" w:styleId="1160">
    <w:name w:val="List Continue"/>
    <w:basedOn w:val="998"/>
    <w:pPr>
      <w:ind w:left="1440"/>
      <w:jc w:val="both"/>
      <w:spacing w:after="240" w:line="240" w:lineRule="atLeast"/>
    </w:pPr>
    <w:rPr>
      <w:spacing w:val="-5"/>
      <w:sz w:val="20"/>
      <w:szCs w:val="20"/>
      <w:lang w:eastAsia="en-US"/>
    </w:rPr>
  </w:style>
  <w:style w:type="paragraph" w:styleId="1161">
    <w:name w:val="List Continue 2"/>
    <w:basedOn w:val="1160"/>
    <w:pPr>
      <w:ind w:left="2160"/>
    </w:pPr>
  </w:style>
  <w:style w:type="paragraph" w:styleId="1162">
    <w:name w:val="List Continue 3"/>
    <w:basedOn w:val="1160"/>
    <w:pPr>
      <w:ind w:left="2520"/>
    </w:pPr>
  </w:style>
  <w:style w:type="paragraph" w:styleId="1163">
    <w:name w:val="List Continue 4"/>
    <w:basedOn w:val="1160"/>
    <w:pPr>
      <w:ind w:left="2880"/>
    </w:pPr>
  </w:style>
  <w:style w:type="paragraph" w:styleId="1164">
    <w:name w:val="List Continue 5"/>
    <w:basedOn w:val="1160"/>
    <w:pPr>
      <w:ind w:left="3240"/>
    </w:pPr>
  </w:style>
  <w:style w:type="paragraph" w:styleId="1165">
    <w:name w:val="List Number"/>
    <w:basedOn w:val="754"/>
    <w:pPr>
      <w:ind w:firstLine="709"/>
      <w:jc w:val="both"/>
      <w:spacing w:before="100" w:beforeAutospacing="1" w:after="100" w:afterAutospacing="1" w:line="360" w:lineRule="auto"/>
      <w:widowControl/>
    </w:pPr>
    <w:rPr>
      <w:sz w:val="28"/>
      <w:szCs w:val="28"/>
      <w:lang w:eastAsia="ru-RU"/>
    </w:rPr>
  </w:style>
  <w:style w:type="paragraph" w:styleId="1166">
    <w:name w:val="List Number 2"/>
    <w:basedOn w:val="1165"/>
    <w:pPr>
      <w:ind w:left="1800" w:hanging="360"/>
      <w:spacing w:before="0" w:beforeAutospacing="0" w:after="240" w:afterAutospacing="0" w:line="240" w:lineRule="atLeast"/>
    </w:pPr>
    <w:rPr>
      <w:rFonts w:ascii="Arial" w:hAnsi="Arial" w:cs="Arial"/>
      <w:spacing w:val="-5"/>
      <w:sz w:val="20"/>
      <w:szCs w:val="20"/>
      <w:lang w:eastAsia="en-US"/>
    </w:rPr>
  </w:style>
  <w:style w:type="paragraph" w:styleId="1167">
    <w:name w:val="List Number 3"/>
    <w:basedOn w:val="1165"/>
    <w:pPr>
      <w:ind w:left="2160"/>
      <w:spacing w:before="0" w:beforeAutospacing="0" w:after="240" w:afterAutospacing="0" w:line="240" w:lineRule="atLeast"/>
      <w:tabs>
        <w:tab w:val="num" w:pos="720" w:leader="none"/>
      </w:tabs>
    </w:pPr>
    <w:rPr>
      <w:rFonts w:ascii="Arial" w:hAnsi="Arial" w:cs="Arial"/>
      <w:spacing w:val="-5"/>
      <w:sz w:val="20"/>
      <w:szCs w:val="20"/>
      <w:lang w:eastAsia="en-US"/>
    </w:rPr>
  </w:style>
  <w:style w:type="paragraph" w:styleId="1168">
    <w:name w:val="List Number 4"/>
    <w:basedOn w:val="1165"/>
    <w:pPr>
      <w:ind w:left="2520" w:hanging="360"/>
      <w:spacing w:before="0" w:beforeAutospacing="0" w:after="240" w:afterAutospacing="0" w:line="240" w:lineRule="atLeast"/>
    </w:pPr>
    <w:rPr>
      <w:rFonts w:ascii="Arial" w:hAnsi="Arial" w:cs="Arial"/>
      <w:spacing w:val="-5"/>
      <w:sz w:val="20"/>
      <w:szCs w:val="20"/>
      <w:lang w:eastAsia="en-US"/>
    </w:rPr>
  </w:style>
  <w:style w:type="paragraph" w:styleId="1169">
    <w:name w:val="List Number 5"/>
    <w:basedOn w:val="1165"/>
    <w:pPr>
      <w:ind w:left="2880" w:hanging="360"/>
      <w:spacing w:before="0" w:beforeAutospacing="0" w:after="240" w:afterAutospacing="0" w:line="240" w:lineRule="atLeast"/>
    </w:pPr>
    <w:rPr>
      <w:rFonts w:ascii="Arial" w:hAnsi="Arial" w:cs="Arial"/>
      <w:spacing w:val="-5"/>
      <w:sz w:val="20"/>
      <w:szCs w:val="20"/>
      <w:lang w:eastAsia="en-US"/>
    </w:rPr>
  </w:style>
  <w:style w:type="paragraph" w:styleId="1170">
    <w:name w:val="Message Header"/>
    <w:basedOn w:val="996"/>
    <w:link w:val="1171"/>
    <w:pPr>
      <w:ind w:left="1080" w:right="2160" w:hanging="1080"/>
      <w:jc w:val="both"/>
      <w:keepLines/>
      <w:spacing w:after="120" w:line="280" w:lineRule="exact"/>
      <w:tabs>
        <w:tab w:val="left" w:pos="3600" w:leader="none"/>
        <w:tab w:val="left" w:pos="4680" w:leader="none"/>
      </w:tabs>
    </w:pPr>
    <w:rPr>
      <w:rFonts w:ascii="Arial" w:hAnsi="Arial"/>
      <w:b w:val="0"/>
      <w:bCs w:val="0"/>
      <w:sz w:val="22"/>
      <w:szCs w:val="22"/>
      <w:lang w:eastAsia="en-US"/>
    </w:rPr>
  </w:style>
  <w:style w:type="character" w:styleId="1171" w:customStyle="1">
    <w:name w:val="Шапка Знак"/>
    <w:basedOn w:val="755"/>
    <w:link w:val="1170"/>
    <w:rPr>
      <w:rFonts w:ascii="Arial" w:hAnsi="Arial" w:eastAsia="Times New Roman" w:cs="Times New Roman"/>
    </w:rPr>
  </w:style>
  <w:style w:type="paragraph" w:styleId="1172">
    <w:name w:val="Normal Indent"/>
    <w:basedOn w:val="754"/>
    <w:pPr>
      <w:ind w:left="1440" w:firstLine="709"/>
      <w:jc w:val="both"/>
      <w:spacing w:line="360" w:lineRule="auto"/>
      <w:widowControl/>
    </w:pPr>
    <w:rPr>
      <w:rFonts w:ascii="Arial" w:hAnsi="Arial" w:cs="Arial"/>
      <w:spacing w:val="-5"/>
      <w:lang w:eastAsia="en-US"/>
    </w:rPr>
  </w:style>
  <w:style w:type="paragraph" w:styleId="1173">
    <w:name w:val="HTML Address"/>
    <w:basedOn w:val="754"/>
    <w:link w:val="1174"/>
    <w:pPr>
      <w:ind w:left="1080" w:firstLine="709"/>
      <w:jc w:val="both"/>
      <w:spacing w:line="360" w:lineRule="auto"/>
      <w:widowControl/>
    </w:pPr>
    <w:rPr>
      <w:rFonts w:ascii="Arial" w:hAnsi="Arial"/>
      <w:i/>
      <w:iCs/>
      <w:spacing w:val="-5"/>
      <w:lang w:eastAsia="en-US"/>
    </w:rPr>
  </w:style>
  <w:style w:type="character" w:styleId="1174" w:customStyle="1">
    <w:name w:val="Адрес HTML Знак"/>
    <w:basedOn w:val="755"/>
    <w:link w:val="1173"/>
    <w:rPr>
      <w:rFonts w:ascii="Arial" w:hAnsi="Arial" w:eastAsia="Times New Roman" w:cs="Times New Roman"/>
      <w:i/>
      <w:iCs/>
      <w:spacing w:val="-5"/>
      <w:sz w:val="20"/>
      <w:szCs w:val="20"/>
    </w:rPr>
  </w:style>
  <w:style w:type="paragraph" w:styleId="1175">
    <w:name w:val="envelope address"/>
    <w:basedOn w:val="754"/>
    <w:pPr>
      <w:ind w:left="2880" w:firstLine="709"/>
      <w:jc w:val="both"/>
      <w:spacing w:line="360" w:lineRule="auto"/>
      <w:widowControl/>
      <w:framePr w:w="7920" w:h="1980" w:hSpace="180" w:wrap="auto" w:hAnchor="page" w:xAlign="center" w:yAlign="bottom" w:hRule="exact"/>
    </w:pPr>
    <w:rPr>
      <w:rFonts w:ascii="Arial" w:hAnsi="Arial" w:cs="Arial"/>
      <w:spacing w:val="-5"/>
      <w:sz w:val="28"/>
      <w:szCs w:val="28"/>
      <w:lang w:eastAsia="en-US"/>
    </w:rPr>
  </w:style>
  <w:style w:type="character" w:styleId="1176">
    <w:name w:val="HTML Acronym"/>
    <w:rPr>
      <w:lang w:val="ru-RU"/>
    </w:rPr>
  </w:style>
  <w:style w:type="paragraph" w:styleId="1177">
    <w:name w:val="Date"/>
    <w:basedOn w:val="754"/>
    <w:next w:val="754"/>
    <w:link w:val="1178"/>
    <w:pPr>
      <w:ind w:left="1080" w:firstLine="709"/>
      <w:jc w:val="both"/>
      <w:spacing w:line="360" w:lineRule="auto"/>
      <w:widowControl/>
    </w:pPr>
    <w:rPr>
      <w:rFonts w:ascii="Arial" w:hAnsi="Arial"/>
      <w:spacing w:val="-5"/>
      <w:lang w:eastAsia="en-US"/>
    </w:rPr>
  </w:style>
  <w:style w:type="character" w:styleId="1178" w:customStyle="1">
    <w:name w:val="Дата Знак"/>
    <w:basedOn w:val="755"/>
    <w:link w:val="1177"/>
    <w:rPr>
      <w:rFonts w:ascii="Arial" w:hAnsi="Arial" w:eastAsia="Times New Roman" w:cs="Times New Roman"/>
      <w:spacing w:val="-5"/>
      <w:sz w:val="20"/>
      <w:szCs w:val="20"/>
    </w:rPr>
  </w:style>
  <w:style w:type="paragraph" w:styleId="1179">
    <w:name w:val="Note Heading"/>
    <w:basedOn w:val="754"/>
    <w:next w:val="754"/>
    <w:link w:val="1180"/>
    <w:pPr>
      <w:ind w:left="1080" w:firstLine="709"/>
      <w:jc w:val="both"/>
      <w:spacing w:line="360" w:lineRule="auto"/>
      <w:widowControl/>
    </w:pPr>
    <w:rPr>
      <w:rFonts w:ascii="Arial" w:hAnsi="Arial"/>
      <w:spacing w:val="-5"/>
      <w:lang w:eastAsia="en-US"/>
    </w:rPr>
  </w:style>
  <w:style w:type="character" w:styleId="1180" w:customStyle="1">
    <w:name w:val="Заголовок записки Знак"/>
    <w:basedOn w:val="755"/>
    <w:link w:val="1179"/>
    <w:rPr>
      <w:rFonts w:ascii="Arial" w:hAnsi="Arial" w:eastAsia="Times New Roman" w:cs="Times New Roman"/>
      <w:spacing w:val="-5"/>
      <w:sz w:val="20"/>
      <w:szCs w:val="20"/>
    </w:rPr>
  </w:style>
  <w:style w:type="character" w:styleId="1181">
    <w:name w:val="HTML Keyboard"/>
    <w:rPr>
      <w:rFonts w:ascii="Courier New" w:hAnsi="Courier New" w:cs="Courier New"/>
      <w:sz w:val="20"/>
      <w:szCs w:val="20"/>
      <w:lang w:val="ru-RU"/>
    </w:rPr>
  </w:style>
  <w:style w:type="character" w:styleId="1182">
    <w:name w:val="HTML Code"/>
    <w:rPr>
      <w:rFonts w:ascii="Courier New" w:hAnsi="Courier New" w:cs="Courier New"/>
      <w:sz w:val="20"/>
      <w:szCs w:val="20"/>
      <w:lang w:val="ru-RU"/>
    </w:rPr>
  </w:style>
  <w:style w:type="paragraph" w:styleId="1183">
    <w:name w:val="Body Text First Indent"/>
    <w:basedOn w:val="996"/>
    <w:link w:val="1184"/>
    <w:pPr>
      <w:ind w:left="1080" w:firstLine="210"/>
      <w:jc w:val="both"/>
      <w:spacing w:after="120" w:line="360" w:lineRule="auto"/>
    </w:pPr>
    <w:rPr>
      <w:rFonts w:ascii="Arial" w:hAnsi="Arial"/>
      <w:b w:val="0"/>
      <w:bCs w:val="0"/>
      <w:spacing w:val="-5"/>
      <w:lang w:eastAsia="en-US"/>
    </w:rPr>
  </w:style>
  <w:style w:type="character" w:styleId="1184" w:customStyle="1">
    <w:name w:val="Красная строка Знак"/>
    <w:basedOn w:val="997"/>
    <w:link w:val="1183"/>
    <w:rPr>
      <w:rFonts w:ascii="Arial" w:hAnsi="Arial" w:eastAsia="Times New Roman" w:cs="Times New Roman"/>
      <w:b w:val="0"/>
      <w:bCs w:val="0"/>
      <w:spacing w:val="-5"/>
      <w:sz w:val="24"/>
      <w:szCs w:val="24"/>
      <w:lang w:eastAsia="ar-SA"/>
    </w:rPr>
  </w:style>
  <w:style w:type="paragraph" w:styleId="1185">
    <w:name w:val="Body Text First Indent 2"/>
    <w:basedOn w:val="1015"/>
    <w:link w:val="1186"/>
    <w:pPr>
      <w:ind w:left="283" w:firstLine="210"/>
      <w:spacing w:after="120" w:line="360" w:lineRule="auto"/>
      <w:widowControl/>
      <w:tabs>
        <w:tab w:val="clear" w:pos="3600" w:leader="none"/>
      </w:tabs>
    </w:pPr>
    <w:rPr>
      <w:rFonts w:ascii="Arial" w:hAnsi="Arial"/>
      <w:spacing w:val="-5"/>
      <w:lang w:eastAsia="en-US"/>
    </w:rPr>
  </w:style>
  <w:style w:type="character" w:styleId="1186" w:customStyle="1">
    <w:name w:val="Красная строка 2 Знак"/>
    <w:basedOn w:val="1016"/>
    <w:link w:val="1185"/>
    <w:rPr>
      <w:rFonts w:ascii="Arial" w:hAnsi="Arial" w:eastAsia="Times New Roman" w:cs="Times New Roman"/>
      <w:spacing w:val="-5"/>
      <w:sz w:val="24"/>
      <w:szCs w:val="24"/>
      <w:lang w:eastAsia="ar-SA"/>
    </w:rPr>
  </w:style>
  <w:style w:type="character" w:styleId="1187">
    <w:name w:val="HTML Sample"/>
    <w:rPr>
      <w:rFonts w:ascii="Courier New" w:hAnsi="Courier New" w:cs="Courier New"/>
      <w:lang w:val="ru-RU"/>
    </w:rPr>
  </w:style>
  <w:style w:type="paragraph" w:styleId="1188">
    <w:name w:val="envelope return"/>
    <w:basedOn w:val="754"/>
    <w:pPr>
      <w:ind w:left="1080" w:firstLine="709"/>
      <w:jc w:val="both"/>
      <w:spacing w:line="360" w:lineRule="auto"/>
      <w:widowControl/>
    </w:pPr>
    <w:rPr>
      <w:rFonts w:ascii="Arial" w:hAnsi="Arial" w:cs="Arial"/>
      <w:spacing w:val="-5"/>
      <w:lang w:eastAsia="en-US"/>
    </w:rPr>
  </w:style>
  <w:style w:type="character" w:styleId="1189">
    <w:name w:val="HTML Definition"/>
    <w:rPr>
      <w:i/>
      <w:iCs/>
      <w:lang w:val="ru-RU"/>
    </w:rPr>
  </w:style>
  <w:style w:type="character" w:styleId="1190">
    <w:name w:val="HTML Variable"/>
    <w:rPr>
      <w:i/>
      <w:iCs/>
      <w:lang w:val="ru-RU"/>
    </w:rPr>
  </w:style>
  <w:style w:type="character" w:styleId="1191">
    <w:name w:val="HTML Typewriter"/>
    <w:rPr>
      <w:rFonts w:ascii="Courier New" w:hAnsi="Courier New" w:cs="Courier New"/>
      <w:sz w:val="20"/>
      <w:szCs w:val="20"/>
      <w:lang w:val="ru-RU"/>
    </w:rPr>
  </w:style>
  <w:style w:type="paragraph" w:styleId="1192">
    <w:name w:val="Signature"/>
    <w:basedOn w:val="754"/>
    <w:link w:val="1193"/>
    <w:pPr>
      <w:ind w:left="4252" w:firstLine="709"/>
      <w:jc w:val="both"/>
      <w:spacing w:line="360" w:lineRule="auto"/>
      <w:widowControl/>
    </w:pPr>
    <w:rPr>
      <w:rFonts w:ascii="Arial" w:hAnsi="Arial"/>
      <w:spacing w:val="-5"/>
      <w:lang w:eastAsia="en-US"/>
    </w:rPr>
  </w:style>
  <w:style w:type="character" w:styleId="1193" w:customStyle="1">
    <w:name w:val="Подпись Знак"/>
    <w:basedOn w:val="755"/>
    <w:link w:val="1192"/>
    <w:rPr>
      <w:rFonts w:ascii="Arial" w:hAnsi="Arial" w:eastAsia="Times New Roman" w:cs="Times New Roman"/>
      <w:spacing w:val="-5"/>
      <w:sz w:val="20"/>
      <w:szCs w:val="20"/>
    </w:rPr>
  </w:style>
  <w:style w:type="paragraph" w:styleId="1194">
    <w:name w:val="Salutation"/>
    <w:basedOn w:val="754"/>
    <w:next w:val="754"/>
    <w:link w:val="1195"/>
    <w:pPr>
      <w:ind w:left="1080" w:firstLine="709"/>
      <w:jc w:val="both"/>
      <w:spacing w:line="360" w:lineRule="auto"/>
      <w:widowControl/>
    </w:pPr>
    <w:rPr>
      <w:rFonts w:ascii="Arial" w:hAnsi="Arial"/>
      <w:spacing w:val="-5"/>
      <w:lang w:eastAsia="en-US"/>
    </w:rPr>
  </w:style>
  <w:style w:type="character" w:styleId="1195" w:customStyle="1">
    <w:name w:val="Приветствие Знак"/>
    <w:basedOn w:val="755"/>
    <w:link w:val="1194"/>
    <w:rPr>
      <w:rFonts w:ascii="Arial" w:hAnsi="Arial" w:eastAsia="Times New Roman" w:cs="Times New Roman"/>
      <w:spacing w:val="-5"/>
      <w:sz w:val="20"/>
      <w:szCs w:val="20"/>
    </w:rPr>
  </w:style>
  <w:style w:type="paragraph" w:styleId="1196">
    <w:name w:val="Closing"/>
    <w:basedOn w:val="754"/>
    <w:link w:val="1197"/>
    <w:pPr>
      <w:ind w:left="4252" w:firstLine="709"/>
      <w:jc w:val="both"/>
      <w:spacing w:line="360" w:lineRule="auto"/>
      <w:widowControl/>
    </w:pPr>
    <w:rPr>
      <w:rFonts w:ascii="Arial" w:hAnsi="Arial"/>
      <w:spacing w:val="-5"/>
      <w:lang w:eastAsia="en-US"/>
    </w:rPr>
  </w:style>
  <w:style w:type="character" w:styleId="1197" w:customStyle="1">
    <w:name w:val="Прощание Знак"/>
    <w:basedOn w:val="755"/>
    <w:link w:val="1196"/>
    <w:rPr>
      <w:rFonts w:ascii="Arial" w:hAnsi="Arial" w:eastAsia="Times New Roman" w:cs="Times New Roman"/>
      <w:spacing w:val="-5"/>
      <w:sz w:val="20"/>
      <w:szCs w:val="20"/>
    </w:rPr>
  </w:style>
  <w:style w:type="paragraph" w:styleId="1198">
    <w:name w:val="HTML Preformatted"/>
    <w:basedOn w:val="754"/>
    <w:link w:val="1199"/>
    <w:pPr>
      <w:ind w:left="1080" w:firstLine="709"/>
      <w:jc w:val="both"/>
      <w:spacing w:line="360" w:lineRule="auto"/>
      <w:widowControl/>
    </w:pPr>
    <w:rPr>
      <w:rFonts w:ascii="Courier New" w:hAnsi="Courier New"/>
      <w:spacing w:val="-5"/>
      <w:lang w:eastAsia="en-US"/>
    </w:rPr>
  </w:style>
  <w:style w:type="character" w:styleId="1199" w:customStyle="1">
    <w:name w:val="Стандартный HTML Знак"/>
    <w:basedOn w:val="755"/>
    <w:link w:val="1198"/>
    <w:rPr>
      <w:rFonts w:ascii="Courier New" w:hAnsi="Courier New" w:eastAsia="Times New Roman" w:cs="Times New Roman"/>
      <w:spacing w:val="-5"/>
      <w:sz w:val="20"/>
      <w:szCs w:val="20"/>
    </w:rPr>
  </w:style>
  <w:style w:type="paragraph" w:styleId="1200">
    <w:name w:val="Plain Text"/>
    <w:basedOn w:val="754"/>
    <w:link w:val="972"/>
    <w:pPr>
      <w:ind w:left="1080" w:firstLine="709"/>
      <w:jc w:val="both"/>
      <w:spacing w:line="360" w:lineRule="auto"/>
      <w:widowControl/>
    </w:pPr>
    <w:rPr>
      <w:rFonts w:ascii="Courier New" w:hAnsi="Courier New" w:cs="Courier New" w:eastAsiaTheme="minorHAnsi"/>
      <w:lang w:eastAsia="en-US"/>
    </w:rPr>
  </w:style>
  <w:style w:type="character" w:styleId="1201" w:customStyle="1">
    <w:name w:val="Текст Знак1"/>
    <w:basedOn w:val="755"/>
    <w:uiPriority w:val="99"/>
    <w:semiHidden/>
    <w:rPr>
      <w:rFonts w:ascii="Consolas" w:hAnsi="Consolas" w:eastAsia="Times New Roman" w:cs="Consolas"/>
      <w:sz w:val="21"/>
      <w:szCs w:val="21"/>
      <w:lang w:eastAsia="ar-SA"/>
    </w:rPr>
  </w:style>
  <w:style w:type="character" w:styleId="1202">
    <w:name w:val="HTML Cite"/>
    <w:rPr>
      <w:i/>
      <w:iCs/>
      <w:lang w:val="ru-RU"/>
    </w:rPr>
  </w:style>
  <w:style w:type="paragraph" w:styleId="1203">
    <w:name w:val="E-mail Signature"/>
    <w:basedOn w:val="754"/>
    <w:link w:val="1204"/>
    <w:pPr>
      <w:ind w:left="1080" w:firstLine="709"/>
      <w:jc w:val="both"/>
      <w:spacing w:line="360" w:lineRule="auto"/>
      <w:widowControl/>
    </w:pPr>
    <w:rPr>
      <w:rFonts w:ascii="Arial" w:hAnsi="Arial"/>
      <w:spacing w:val="-5"/>
      <w:lang w:eastAsia="en-US"/>
    </w:rPr>
  </w:style>
  <w:style w:type="character" w:styleId="1204" w:customStyle="1">
    <w:name w:val="Электронная подпись Знак"/>
    <w:basedOn w:val="755"/>
    <w:link w:val="1203"/>
    <w:rPr>
      <w:rFonts w:ascii="Arial" w:hAnsi="Arial" w:eastAsia="Times New Roman" w:cs="Times New Roman"/>
      <w:spacing w:val="-5"/>
      <w:sz w:val="20"/>
      <w:szCs w:val="20"/>
    </w:rPr>
  </w:style>
  <w:style w:type="table" w:styleId="1205">
    <w:name w:val="Table Web 1"/>
    <w:basedOn w:val="756"/>
    <w:pPr>
      <w:spacing w:after="0" w:line="240" w:lineRule="auto"/>
    </w:pPr>
    <w:rPr>
      <w:rFonts w:ascii="Times New Roman" w:hAnsi="Times New Roman" w:eastAsia="Times New Roman" w:cs="Times New Roman"/>
      <w:sz w:val="20"/>
      <w:szCs w:val="20"/>
      <w:lang w:eastAsia="ru-RU"/>
    </w:rPr>
    <w:tblPr>
      <w:tblCellSpacing w:w="20"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left w:w="108" w:type="dxa"/>
        <w:top w:w="0" w:type="dxa"/>
        <w:right w:w="108" w:type="dxa"/>
        <w:bottom w:w="0" w:type="dxa"/>
      </w:tblCellMar>
    </w:tblPr>
    <w:trPr>
      <w:tblCellSpacing w:w="20" w:type="dxa"/>
    </w:trPr>
    <w:tcPr>
      <w:shd w:val="clear" w:color="auto" w:fill="auto"/>
    </w:tcPr>
    <w:tblStylePr w:type="firstRow">
      <w:rPr>
        <w:color w:val="auto"/>
      </w:rPr>
    </w:tblStylePr>
  </w:style>
  <w:style w:type="table" w:styleId="1206">
    <w:name w:val="Table Web 2"/>
    <w:basedOn w:val="756"/>
    <w:pPr>
      <w:spacing w:after="0" w:line="240" w:lineRule="auto"/>
    </w:pPr>
    <w:rPr>
      <w:rFonts w:ascii="Times New Roman" w:hAnsi="Times New Roman" w:eastAsia="Times New Roman" w:cs="Times New Roman"/>
      <w:sz w:val="20"/>
      <w:szCs w:val="20"/>
      <w:lang w:eastAsia="ru-RU"/>
    </w:rPr>
    <w:tblPr>
      <w:tblCellSpacing w:w="20"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left w:w="108" w:type="dxa"/>
        <w:top w:w="0" w:type="dxa"/>
        <w:right w:w="108" w:type="dxa"/>
        <w:bottom w:w="0" w:type="dxa"/>
      </w:tblCellMar>
    </w:tblPr>
    <w:trPr>
      <w:tblCellSpacing w:w="20" w:type="dxa"/>
    </w:trPr>
    <w:tcPr>
      <w:shd w:val="clear" w:color="auto" w:fill="auto"/>
    </w:tcPr>
    <w:tblStylePr w:type="firstRow">
      <w:rPr>
        <w:color w:val="auto"/>
      </w:rPr>
    </w:tblStylePr>
  </w:style>
  <w:style w:type="table" w:styleId="1207">
    <w:name w:val="Table Web 3"/>
    <w:basedOn w:val="756"/>
    <w:pPr>
      <w:spacing w:after="0" w:line="240" w:lineRule="auto"/>
    </w:pPr>
    <w:rPr>
      <w:rFonts w:ascii="Times New Roman" w:hAnsi="Times New Roman" w:eastAsia="Times New Roman" w:cs="Times New Roman"/>
      <w:sz w:val="20"/>
      <w:szCs w:val="20"/>
      <w:lang w:eastAsia="ru-RU"/>
    </w:rPr>
    <w:tblPr>
      <w:tblCellSpacing w:w="20" w:type="dxa"/>
      <w:tblInd w:w="0" w:type="dxa"/>
      <w:tblBorders>
        <w:top w:val="single" w:color="000000" w:sz="24" w:space="0"/>
        <w:left w:val="single" w:color="000000" w:sz="24" w:space="0"/>
        <w:bottom w:val="single" w:color="000000" w:sz="24" w:space="0"/>
        <w:right w:val="single" w:color="000000" w:sz="24" w:space="0"/>
        <w:insideH w:val="single" w:color="000000" w:sz="6" w:space="0"/>
        <w:insideV w:val="single" w:color="000000" w:sz="6" w:space="0"/>
      </w:tblBorders>
      <w:tblCellMar>
        <w:left w:w="108" w:type="dxa"/>
        <w:top w:w="0" w:type="dxa"/>
        <w:right w:w="108" w:type="dxa"/>
        <w:bottom w:w="0" w:type="dxa"/>
      </w:tblCellMar>
    </w:tblPr>
    <w:trPr>
      <w:tblCellSpacing w:w="20" w:type="dxa"/>
    </w:trPr>
    <w:tcPr>
      <w:shd w:val="clear" w:color="auto" w:fill="auto"/>
    </w:tcPr>
    <w:tblStylePr w:type="firstRow">
      <w:rPr>
        <w:color w:val="auto"/>
      </w:rPr>
    </w:tblStylePr>
  </w:style>
  <w:style w:type="table" w:styleId="1208">
    <w:name w:val="Table Elegant"/>
    <w:basedOn w:val="756"/>
    <w:pPr>
      <w:spacing w:after="0" w:line="240" w:lineRule="auto"/>
    </w:pPr>
    <w:rPr>
      <w:rFonts w:ascii="Times New Roman" w:hAnsi="Times New Roman" w:eastAsia="Times New Roman" w:cs="Times New Roman"/>
      <w:sz w:val="20"/>
      <w:szCs w:val="20"/>
      <w:lang w:eastAsia="ru-RU"/>
    </w:rPr>
    <w:tblP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left w:w="108" w:type="dxa"/>
        <w:top w:w="0" w:type="dxa"/>
        <w:right w:w="108" w:type="dxa"/>
        <w:bottom w:w="0" w:type="dxa"/>
      </w:tblCellMar>
    </w:tblPr>
    <w:tcPr>
      <w:shd w:val="clear" w:color="auto" w:fill="auto"/>
    </w:tcPr>
    <w:tblStylePr w:type="firstRow">
      <w:rPr>
        <w:caps/>
        <w:color w:val="auto"/>
      </w:rPr>
    </w:tblStylePr>
  </w:style>
  <w:style w:type="table" w:styleId="1209">
    <w:name w:val="Table Subtle 1"/>
    <w:basedOn w:val="756"/>
    <w:pPr>
      <w:spacing w:after="0" w:line="240" w:lineRule="auto"/>
    </w:pPr>
    <w:rPr>
      <w:rFonts w:ascii="Times New Roman" w:hAnsi="Times New Roman" w:eastAsia="Times New Roman" w:cs="Times New Roman"/>
      <w:sz w:val="20"/>
      <w:szCs w:val="20"/>
      <w:lang w:eastAsia="ru-RU"/>
    </w:rPr>
    <w:tblPr>
      <w:tblStyleRowBandSize w:val="1"/>
      <w:tblInd w:w="0" w:type="dxa"/>
      <w:tblCellMar>
        <w:left w:w="108" w:type="dxa"/>
        <w:top w:w="0" w:type="dxa"/>
        <w:right w:w="108" w:type="dxa"/>
        <w:bottom w:w="0" w:type="dxa"/>
      </w:tblCellMar>
    </w:tblPr>
    <w:tblStylePr w:type="band1Horz">
      <w:tcPr>
        <w:shd w:val="pct25" w:color="808000" w:fill="ffffff"/>
        <w:tcBorders>
          <w:bottom w:val="single" w:color="000000" w:sz="6" w:space="0"/>
        </w:tcBorders>
      </w:tcPr>
    </w:tblStylePr>
    <w:tblStylePr w:type="firstCol">
      <w:tcPr>
        <w:tcBorders>
          <w:right w:val="single" w:color="000000" w:sz="12" w:space="0"/>
        </w:tcBorders>
      </w:tcPr>
    </w:tblStylePr>
    <w:tblStylePr w:type="firstRow">
      <w:tcPr>
        <w:tcBorders>
          <w:top w:val="single" w:color="000000" w:sz="6" w:space="0"/>
          <w:bottom w:val="single" w:color="000000" w:sz="12" w:space="0"/>
        </w:tcBorders>
      </w:tcPr>
    </w:tblStylePr>
    <w:tblStylePr w:type="lastCol">
      <w:tcPr>
        <w:tcBorders>
          <w:left w:val="single" w:color="000000" w:sz="12" w:space="0"/>
        </w:tcBorders>
      </w:tcPr>
    </w:tblStylePr>
    <w:tblStylePr w:type="lastRow">
      <w:tcPr>
        <w:shd w:val="pct25" w:color="800080" w:fill="ffffff"/>
        <w:tcBorders>
          <w:top w:val="single" w:color="000000" w:sz="12" w:space="0"/>
        </w:tcBorders>
      </w:tcPr>
    </w:tblStylePr>
    <w:tblStylePr w:type="neCell">
      <w:rPr>
        <w:b/>
        <w:bCs/>
      </w:rPr>
    </w:tblStylePr>
    <w:tblStylePr w:type="swCell">
      <w:rPr>
        <w:b/>
        <w:bCs/>
      </w:rPr>
    </w:tblStylePr>
  </w:style>
  <w:style w:type="table" w:styleId="1210">
    <w:name w:val="Table Subtle 2"/>
    <w:basedOn w:val="756"/>
    <w:pPr>
      <w:spacing w:after="0" w:line="240" w:lineRule="auto"/>
    </w:pPr>
    <w:rPr>
      <w:rFonts w:ascii="Times New Roman" w:hAnsi="Times New Roman" w:eastAsia="Times New Roman" w:cs="Times New Roman"/>
      <w:sz w:val="20"/>
      <w:szCs w:val="20"/>
      <w:lang w:eastAsia="ru-RU"/>
    </w:rPr>
    <w:tblPr>
      <w:tblInd w:w="0" w:type="dxa"/>
      <w:tblBorders>
        <w:left w:val="single" w:color="000000" w:sz="6" w:space="0"/>
        <w:right w:val="single" w:color="000000" w:sz="6" w:space="0"/>
      </w:tblBorders>
      <w:tblCellMar>
        <w:left w:w="108" w:type="dxa"/>
        <w:top w:w="0" w:type="dxa"/>
        <w:right w:w="108" w:type="dxa"/>
        <w:bottom w:w="0" w:type="dxa"/>
      </w:tblCellMar>
    </w:tblPr>
    <w:tblStylePr w:type="firstCol">
      <w:tcPr>
        <w:shd w:val="pct25" w:color="008000" w:fill="ffffff"/>
        <w:tcBorders>
          <w:right w:val="single" w:color="000000" w:sz="12" w:space="0"/>
        </w:tcBorders>
      </w:tcPr>
    </w:tblStylePr>
    <w:tblStylePr w:type="firstRow">
      <w:tcPr>
        <w:tcBorders>
          <w:bottom w:val="single" w:color="000000" w:sz="12" w:space="0"/>
        </w:tcBorders>
      </w:tcPr>
    </w:tblStylePr>
    <w:tblStylePr w:type="lastCol">
      <w:tcPr>
        <w:shd w:val="pct25" w:color="808000" w:fill="ffffff"/>
        <w:tcBorders>
          <w:left w:val="single" w:color="000000" w:sz="12" w:space="0"/>
        </w:tcBorders>
      </w:tcPr>
    </w:tblStylePr>
    <w:tblStylePr w:type="lastRow">
      <w:tcPr>
        <w:tcBorders>
          <w:top w:val="single" w:color="000000" w:sz="12" w:space="0"/>
        </w:tcBorders>
      </w:tcPr>
    </w:tblStylePr>
    <w:tblStylePr w:type="neCell">
      <w:rPr>
        <w:b/>
        <w:bCs/>
      </w:rPr>
    </w:tblStylePr>
    <w:tblStylePr w:type="swCell">
      <w:rPr>
        <w:b/>
        <w:bCs/>
      </w:rPr>
    </w:tblStylePr>
  </w:style>
  <w:style w:type="table" w:styleId="1211">
    <w:name w:val="Table Classic 1"/>
    <w:basedOn w:val="756"/>
    <w:pPr>
      <w:spacing w:after="0" w:line="240" w:lineRule="auto"/>
    </w:pPr>
    <w:rPr>
      <w:rFonts w:ascii="Times New Roman" w:hAnsi="Times New Roman" w:eastAsia="Times New Roman" w:cs="Times New Roman"/>
      <w:sz w:val="20"/>
      <w:szCs w:val="20"/>
      <w:lang w:eastAsia="ru-RU"/>
    </w:rPr>
    <w:tblPr>
      <w:tblInd w:w="0" w:type="dxa"/>
      <w:tblBorders>
        <w:top w:val="single" w:color="000000" w:sz="12" w:space="0"/>
        <w:bottom w:val="single" w:color="000000" w:sz="12" w:space="0"/>
      </w:tblBorders>
      <w:tblCellMar>
        <w:left w:w="108" w:type="dxa"/>
        <w:top w:w="0" w:type="dxa"/>
        <w:right w:w="108" w:type="dxa"/>
        <w:bottom w:w="0" w:type="dxa"/>
      </w:tblCellMar>
    </w:tblPr>
    <w:tcPr>
      <w:shd w:val="clear" w:color="auto" w:fill="auto"/>
    </w:tcPr>
    <w:tblStylePr w:type="firstCol">
      <w:tcPr>
        <w:tcBorders>
          <w:right w:val="single" w:color="000000" w:sz="6" w:space="0"/>
        </w:tcBorders>
      </w:tcPr>
    </w:tblStylePr>
    <w:tblStylePr w:type="firstRow">
      <w:rPr>
        <w:i/>
        <w:iCs/>
      </w:rPr>
      <w:tcPr>
        <w:tcBorders>
          <w:bottom w:val="single" w:color="000000" w:sz="6" w:space="0"/>
        </w:tcBorders>
      </w:tcPr>
    </w:tblStylePr>
    <w:tblStylePr w:type="lastRow">
      <w:rPr>
        <w:color w:val="auto"/>
      </w:rPr>
      <w:tcPr>
        <w:tcBorders>
          <w:top w:val="single" w:color="000000" w:sz="6" w:space="0"/>
        </w:tcBorders>
      </w:tcPr>
    </w:tblStylePr>
    <w:tblStylePr w:type="neCell">
      <w:rPr>
        <w:b/>
        <w:bCs/>
        <w:i w:val="0"/>
        <w:iCs w:val="0"/>
      </w:rPr>
    </w:tblStylePr>
    <w:tblStylePr w:type="swCell">
      <w:rPr>
        <w:b/>
        <w:bCs/>
      </w:rPr>
    </w:tblStylePr>
  </w:style>
  <w:style w:type="table" w:styleId="1212">
    <w:name w:val="Table Classic 2"/>
    <w:basedOn w:val="756"/>
    <w:pPr>
      <w:spacing w:after="0" w:line="240" w:lineRule="auto"/>
    </w:pPr>
    <w:rPr>
      <w:rFonts w:ascii="Times New Roman" w:hAnsi="Times New Roman" w:eastAsia="Times New Roman" w:cs="Times New Roman"/>
      <w:sz w:val="20"/>
      <w:szCs w:val="20"/>
      <w:lang w:eastAsia="ru-RU"/>
    </w:rPr>
    <w:tblPr>
      <w:tblInd w:w="0" w:type="dxa"/>
      <w:tblBorders>
        <w:top w:val="single" w:color="000000" w:sz="12" w:space="0"/>
        <w:bottom w:val="single" w:color="000000" w:sz="12" w:space="0"/>
      </w:tblBorders>
      <w:tblCellMar>
        <w:left w:w="108" w:type="dxa"/>
        <w:top w:w="0" w:type="dxa"/>
        <w:right w:w="108" w:type="dxa"/>
        <w:bottom w:w="0" w:type="dxa"/>
      </w:tblCellMar>
    </w:tblPr>
    <w:tcPr>
      <w:shd w:val="clear" w:color="auto" w:fill="auto"/>
    </w:tcPr>
    <w:tblStylePr w:type="firstCol">
      <w:rPr>
        <w:b/>
        <w:bCs/>
      </w:rPr>
      <w:tcPr>
        <w:shd w:val="solid" w:color="c0c0c0" w:fill="ffffff"/>
      </w:tcPr>
    </w:tblStylePr>
    <w:tblStylePr w:type="firstRow">
      <w:rPr>
        <w:color w:val="ffffff"/>
      </w:rPr>
      <w:tcPr>
        <w:shd w:val="solid" w:color="800080" w:fill="ffffff"/>
        <w:tcBorders>
          <w:bottom w:val="single" w:color="000000" w:sz="6" w:space="0"/>
        </w:tcBorders>
      </w:tcPr>
    </w:tblStylePr>
    <w:tblStylePr w:type="lastRow">
      <w:tcPr>
        <w:tcBorders>
          <w:top w:val="single" w:color="000000" w:sz="6" w:space="0"/>
        </w:tcBorders>
      </w:tcPr>
    </w:tblStylePr>
    <w:tblStylePr w:type="nwCell">
      <w:tcPr>
        <w:shd w:val="solid" w:color="800080" w:fill="ffffff"/>
      </w:tcPr>
    </w:tblStylePr>
    <w:tblStylePr w:type="neCell">
      <w:rPr>
        <w:b/>
        <w:bCs/>
      </w:rPr>
    </w:tblStylePr>
    <w:tblStylePr w:type="swCell">
      <w:rPr>
        <w:color w:val="000080"/>
      </w:rPr>
    </w:tblStylePr>
  </w:style>
  <w:style w:type="table" w:styleId="1213">
    <w:name w:val="Table Classic 3"/>
    <w:basedOn w:val="756"/>
    <w:pPr>
      <w:spacing w:after="0" w:line="240" w:lineRule="auto"/>
    </w:pPr>
    <w:rPr>
      <w:rFonts w:ascii="Times New Roman" w:hAnsi="Times New Roman" w:eastAsia="Times New Roman" w:cs="Times New Roman"/>
      <w:color w:val="000080"/>
      <w:sz w:val="20"/>
      <w:szCs w:val="20"/>
      <w:lang w:eastAsia="ru-RU"/>
    </w:rPr>
    <w:tblPr>
      <w:tblInd w:w="0" w:type="dxa"/>
      <w:tblBorders>
        <w:top w:val="single" w:color="000000" w:sz="12" w:space="0"/>
        <w:left w:val="single" w:color="000000" w:sz="12" w:space="0"/>
        <w:bottom w:val="single" w:color="000000" w:sz="12" w:space="0"/>
        <w:right w:val="single" w:color="000000" w:sz="12" w:space="0"/>
      </w:tblBorders>
      <w:tblCellMar>
        <w:left w:w="108" w:type="dxa"/>
        <w:top w:w="0" w:type="dxa"/>
        <w:right w:w="108" w:type="dxa"/>
        <w:bottom w:w="0" w:type="dxa"/>
      </w:tblCellMar>
    </w:tblPr>
    <w:tcPr>
      <w:shd w:val="solid" w:color="c0c0c0" w:fill="ffffff"/>
    </w:tcPr>
    <w:tblStylePr w:type="firstCol">
      <w:rPr>
        <w:b/>
        <w:bCs/>
        <w:color w:val="000000"/>
      </w:rPr>
    </w:tblStylePr>
    <w:tblStylePr w:type="firstRow">
      <w:rPr>
        <w:b/>
        <w:bCs/>
        <w:i/>
        <w:iCs/>
        <w:color w:val="ffffff"/>
      </w:rPr>
      <w:tcPr>
        <w:shd w:val="solid" w:color="000080" w:fill="ffffff"/>
        <w:tcBorders>
          <w:bottom w:val="single" w:color="000000" w:sz="6" w:space="0"/>
        </w:tcBorders>
      </w:tcPr>
    </w:tblStylePr>
    <w:tblStylePr w:type="lastRow">
      <w:rPr>
        <w:color w:val="000080"/>
      </w:rPr>
      <w:tcPr>
        <w:shd w:val="solid" w:color="ffffff" w:fill="ffffff"/>
        <w:tcBorders>
          <w:top w:val="single" w:color="000000" w:sz="12" w:space="0"/>
        </w:tcBorders>
      </w:tcPr>
    </w:tblStylePr>
  </w:style>
  <w:style w:type="table" w:styleId="1214">
    <w:name w:val="Table Classic 4"/>
    <w:basedOn w:val="756"/>
    <w:pPr>
      <w:spacing w:after="0" w:line="240" w:lineRule="auto"/>
    </w:pPr>
    <w:rPr>
      <w:rFonts w:ascii="Times New Roman" w:hAnsi="Times New Roman" w:eastAsia="Times New Roman" w:cs="Times New Roman"/>
      <w:sz w:val="20"/>
      <w:szCs w:val="20"/>
      <w:lang w:eastAsia="ru-RU"/>
    </w:rPr>
    <w:tblPr>
      <w:tblInd w:w="0" w:type="dxa"/>
      <w:tblBorders>
        <w:top w:val="single" w:color="000000" w:sz="12" w:space="0"/>
        <w:left w:val="single" w:color="000000" w:sz="6" w:space="0"/>
        <w:bottom w:val="single" w:color="000000" w:sz="12" w:space="0"/>
        <w:right w:val="single" w:color="000000" w:sz="6" w:space="0"/>
      </w:tblBorders>
      <w:tblCellMar>
        <w:left w:w="108" w:type="dxa"/>
        <w:top w:w="0" w:type="dxa"/>
        <w:right w:w="108" w:type="dxa"/>
        <w:bottom w:w="0" w:type="dxa"/>
      </w:tblCellMar>
    </w:tblPr>
    <w:tcPr>
      <w:shd w:val="clear" w:color="auto" w:fill="auto"/>
    </w:tcPr>
    <w:tblStylePr w:type="firstCol">
      <w:rPr>
        <w:b/>
        <w:bCs/>
      </w:rPr>
    </w:tblStylePr>
    <w:tblStylePr w:type="firstRow">
      <w:rPr>
        <w:b/>
        <w:bCs/>
        <w:i/>
        <w:iCs/>
        <w:color w:val="ffffff"/>
      </w:rPr>
      <w:tcPr>
        <w:shd w:val="pct50" w:color="000080" w:fill="ffffff"/>
        <w:tcBorders>
          <w:bottom w:val="single" w:color="000000" w:sz="6" w:space="0"/>
        </w:tcBorders>
      </w:tcPr>
    </w:tblStylePr>
    <w:tblStylePr w:type="lastRow">
      <w:rPr>
        <w:color w:val="000080"/>
      </w:rPr>
      <w:tcPr>
        <w:shd w:val="pct50" w:color="000000" w:fill="ffffff"/>
        <w:tcBorders>
          <w:bottom w:val="single" w:color="000000" w:sz="6" w:space="0"/>
        </w:tcBorders>
      </w:tcPr>
    </w:tblStylePr>
    <w:tblStylePr w:type="nwCell">
      <w:rPr>
        <w:b/>
        <w:bCs/>
      </w:rPr>
    </w:tblStylePr>
    <w:tblStylePr w:type="swCell">
      <w:rPr>
        <w:color w:val="000080"/>
      </w:rPr>
    </w:tblStylePr>
  </w:style>
  <w:style w:type="table" w:styleId="1215">
    <w:name w:val="Table 3D effects 1"/>
    <w:basedOn w:val="756"/>
    <w:pPr>
      <w:spacing w:after="0" w:line="240" w:lineRule="auto"/>
    </w:pPr>
    <w:rPr>
      <w:rFonts w:ascii="Times New Roman" w:hAnsi="Times New Roman" w:eastAsia="Times New Roman" w:cs="Times New Roman"/>
      <w:sz w:val="20"/>
      <w:szCs w:val="20"/>
      <w:lang w:eastAsia="ru-RU"/>
    </w:rPr>
    <w:tblPr>
      <w:tblInd w:w="0" w:type="dxa"/>
      <w:tblCellMar>
        <w:left w:w="108" w:type="dxa"/>
        <w:top w:w="0" w:type="dxa"/>
        <w:right w:w="108" w:type="dxa"/>
        <w:bottom w:w="0" w:type="dxa"/>
      </w:tblCellMar>
    </w:tblPr>
    <w:tcPr>
      <w:shd w:val="solid" w:color="c0c0c0" w:fill="ffffff"/>
    </w:tcPr>
    <w:tblStylePr w:type="firstCol">
      <w:rPr>
        <w:b/>
        <w:bCs/>
      </w:rPr>
      <w:tcPr>
        <w:tcBorders>
          <w:right w:val="single" w:color="808080" w:sz="6" w:space="0"/>
        </w:tcBorders>
      </w:tcPr>
    </w:tblStylePr>
    <w:tblStylePr w:type="firstRow">
      <w:rPr>
        <w:b/>
        <w:bCs/>
        <w:color w:val="800080"/>
      </w:rPr>
      <w:tcPr>
        <w:tcBorders>
          <w:bottom w:val="single" w:color="808080" w:sz="6" w:space="0"/>
        </w:tcBorders>
      </w:tcPr>
    </w:tblStylePr>
    <w:tblStylePr w:type="lastCol">
      <w:tcPr>
        <w:tcBorders>
          <w:left w:val="single" w:color="FFFFFF" w:sz="6" w:space="0"/>
        </w:tcBorders>
      </w:tcPr>
    </w:tblStylePr>
    <w:tblStylePr w:type="lastRow">
      <w:tcPr>
        <w:tcBorders>
          <w:top w:val="single" w:color="FFFFFF" w:sz="6" w:space="0"/>
        </w:tcBorders>
      </w:tcPr>
    </w:tblStylePr>
    <w:tblStylePr w:type="nwCell">
      <w:tcPr>
        <w:tcBorders>
          <w:bottom w:val="none" w:color="auto" w:sz="0" w:space="0"/>
          <w:right w:val="none" w:color="auto" w:sz="0" w:space="0"/>
        </w:tcBorders>
      </w:tcPr>
    </w:tblStylePr>
    <w:tblStylePr w:type="neCell">
      <w:tcPr>
        <w:tcBorders>
          <w:left w:val="none" w:color="auto" w:sz="0" w:space="0"/>
          <w:bottom w:val="none" w:color="auto" w:sz="0" w:space="0"/>
        </w:tcBorders>
      </w:tcPr>
    </w:tblStylePr>
    <w:tblStylePr w:type="swCell">
      <w:rPr>
        <w:color w:val="000080"/>
      </w:rPr>
      <w:tcPr>
        <w:tcBorders>
          <w:top w:val="none" w:color="auto" w:sz="0" w:space="0"/>
          <w:right w:val="none" w:color="auto" w:sz="0" w:space="0"/>
        </w:tcBorders>
      </w:tcPr>
    </w:tblStylePr>
    <w:tblStylePr w:type="seCell">
      <w:tcPr>
        <w:tcBorders>
          <w:top w:val="none" w:color="auto" w:sz="0" w:space="0"/>
          <w:left w:val="none" w:color="auto" w:sz="0" w:space="0"/>
        </w:tcBorders>
      </w:tcPr>
    </w:tblStylePr>
  </w:style>
  <w:style w:type="table" w:styleId="1216">
    <w:name w:val="Table 3D effects 2"/>
    <w:basedOn w:val="756"/>
    <w:pPr>
      <w:spacing w:after="0" w:line="240" w:lineRule="auto"/>
    </w:pPr>
    <w:rPr>
      <w:rFonts w:ascii="Times New Roman" w:hAnsi="Times New Roman" w:eastAsia="Times New Roman" w:cs="Times New Roman"/>
      <w:sz w:val="20"/>
      <w:szCs w:val="20"/>
      <w:lang w:eastAsia="ru-RU"/>
    </w:rPr>
    <w:tblPr>
      <w:tblStyleRowBandSize w:val="1"/>
      <w:tblInd w:w="0" w:type="dxa"/>
      <w:tblCellMar>
        <w:left w:w="108" w:type="dxa"/>
        <w:top w:w="0" w:type="dxa"/>
        <w:right w:w="108" w:type="dxa"/>
        <w:bottom w:w="0" w:type="dxa"/>
      </w:tblCellMar>
    </w:tblPr>
    <w:tcPr>
      <w:shd w:val="solid" w:color="c0c0c0" w:fill="ffffff"/>
    </w:tcPr>
    <w:tblStylePr w:type="band1Horz">
      <w:tcPr>
        <w:tcBorders>
          <w:top w:val="single" w:color="808080" w:sz="6" w:space="0"/>
          <w:bottom w:val="single" w:color="FFFFFF" w:sz="6" w:space="0"/>
        </w:tcBorders>
      </w:tcPr>
    </w:tblStylePr>
    <w:tblStylePr w:type="firstCol">
      <w:tcPr>
        <w:tcBorders>
          <w:top w:val="none" w:color="auto" w:sz="0" w:space="0"/>
          <w:bottom w:val="none" w:color="auto" w:sz="0" w:space="0"/>
          <w:right w:val="single" w:color="808080" w:sz="6" w:space="0"/>
        </w:tcBorders>
      </w:tcPr>
    </w:tblStylePr>
    <w:tblStylePr w:type="firstRow">
      <w:rPr>
        <w:b/>
        <w:bCs/>
      </w:rPr>
    </w:tblStylePr>
    <w:tblStylePr w:type="lastCol">
      <w:tcPr>
        <w:tcBorders>
          <w:right w:val="single" w:color="FFFFFF" w:sz="6" w:space="0"/>
        </w:tcBorders>
      </w:tcPr>
    </w:tblStylePr>
    <w:tblStylePr w:type="swCell">
      <w:rPr>
        <w:b/>
        <w:bCs/>
      </w:rPr>
    </w:tblStylePr>
  </w:style>
  <w:style w:type="table" w:styleId="1217">
    <w:name w:val="Table 3D effects 3"/>
    <w:basedOn w:val="756"/>
    <w:pPr>
      <w:spacing w:after="0" w:line="240" w:lineRule="auto"/>
    </w:pPr>
    <w:rPr>
      <w:rFonts w:ascii="Times New Roman" w:hAnsi="Times New Roman" w:eastAsia="Times New Roman" w:cs="Times New Roman"/>
      <w:sz w:val="20"/>
      <w:szCs w:val="20"/>
      <w:lang w:eastAsia="ru-RU"/>
    </w:rPr>
    <w:tblPr>
      <w:tblStyleRowBandSize w:val="1"/>
      <w:tblStyleColBandSize w:val="1"/>
      <w:tblInd w:w="0" w:type="dxa"/>
      <w:tblCellMar>
        <w:left w:w="108" w:type="dxa"/>
        <w:top w:w="0" w:type="dxa"/>
        <w:right w:w="108" w:type="dxa"/>
        <w:bottom w:w="0" w:type="dxa"/>
      </w:tblCellMar>
    </w:tblPr>
    <w:tblStylePr w:type="band1Horz">
      <w:tcPr>
        <w:tcBorders>
          <w:top w:val="single" w:color="808080" w:sz="6" w:space="0"/>
          <w:bottom w:val="single" w:color="FFFFFF" w:sz="6" w:space="0"/>
        </w:tcBorders>
      </w:tcPr>
    </w:tblStylePr>
    <w:tblStylePr w:type="band1Vert">
      <w:rPr>
        <w:color w:val="auto"/>
      </w:rPr>
      <w:tcPr>
        <w:shd w:val="solid" w:color="c0c0c0" w:fill="ffffff"/>
      </w:tcPr>
    </w:tblStylePr>
    <w:tblStylePr w:type="band2Vert">
      <w:rPr>
        <w:color w:val="auto"/>
      </w:rPr>
      <w:tcPr>
        <w:shd w:val="pct50" w:color="c0c0c0" w:fill="ffffff"/>
      </w:tcPr>
    </w:tblStylePr>
    <w:tblStylePr w:type="firstCol">
      <w:tcPr>
        <w:tcBorders>
          <w:top w:val="none" w:color="auto" w:sz="0" w:space="0"/>
          <w:bottom w:val="none" w:color="auto" w:sz="0" w:space="0"/>
          <w:right w:val="single" w:color="808080" w:sz="6" w:space="0"/>
        </w:tcBorders>
      </w:tcPr>
    </w:tblStylePr>
    <w:tblStylePr w:type="firstRow">
      <w:rPr>
        <w:b/>
        <w:bCs/>
      </w:rPr>
    </w:tblStylePr>
    <w:tblStylePr w:type="lastCol">
      <w:tcPr>
        <w:tcBorders>
          <w:right w:val="single" w:color="FFFFFF" w:sz="6" w:space="0"/>
        </w:tcBorders>
      </w:tcPr>
    </w:tblStylePr>
    <w:tblStylePr w:type="swCell">
      <w:rPr>
        <w:b/>
        <w:bCs/>
      </w:rPr>
    </w:tblStylePr>
  </w:style>
  <w:style w:type="table" w:styleId="1218">
    <w:name w:val="Table Simple 1"/>
    <w:basedOn w:val="756"/>
    <w:pPr>
      <w:spacing w:after="0" w:line="240" w:lineRule="auto"/>
    </w:pPr>
    <w:rPr>
      <w:rFonts w:ascii="Times New Roman" w:hAnsi="Times New Roman" w:eastAsia="Times New Roman" w:cs="Times New Roman"/>
      <w:sz w:val="20"/>
      <w:szCs w:val="20"/>
      <w:lang w:eastAsia="ru-RU"/>
    </w:rPr>
    <w:tblPr>
      <w:tblInd w:w="0" w:type="dxa"/>
      <w:tblBorders>
        <w:top w:val="single" w:color="008000" w:sz="12" w:space="0"/>
        <w:bottom w:val="single" w:color="008000" w:sz="12" w:space="0"/>
      </w:tblBorders>
      <w:tblCellMar>
        <w:left w:w="108" w:type="dxa"/>
        <w:top w:w="0" w:type="dxa"/>
        <w:right w:w="108" w:type="dxa"/>
        <w:bottom w:w="0" w:type="dxa"/>
      </w:tblCellMar>
    </w:tblPr>
    <w:tcPr>
      <w:shd w:val="clear" w:color="auto" w:fill="auto"/>
    </w:tcPr>
    <w:tblStylePr w:type="firstRow">
      <w:tcPr>
        <w:tcBorders>
          <w:bottom w:val="single" w:color="008000" w:sz="6" w:space="0"/>
        </w:tcBorders>
      </w:tcPr>
    </w:tblStylePr>
    <w:tblStylePr w:type="lastRow">
      <w:tcPr>
        <w:tcBorders>
          <w:top w:val="single" w:color="008000" w:sz="6" w:space="0"/>
        </w:tcBorders>
      </w:tcPr>
    </w:tblStylePr>
  </w:style>
  <w:style w:type="table" w:styleId="1219">
    <w:name w:val="Table Simple 2"/>
    <w:basedOn w:val="756"/>
    <w:pPr>
      <w:spacing w:after="0" w:line="240" w:lineRule="auto"/>
    </w:pPr>
    <w:rPr>
      <w:rFonts w:ascii="Times New Roman" w:hAnsi="Times New Roman" w:eastAsia="Times New Roman" w:cs="Times New Roman"/>
      <w:sz w:val="20"/>
      <w:szCs w:val="20"/>
      <w:lang w:eastAsia="ru-RU"/>
    </w:rPr>
    <w:tblPr>
      <w:tblInd w:w="0" w:type="dxa"/>
      <w:tblCellMar>
        <w:left w:w="108" w:type="dxa"/>
        <w:top w:w="0" w:type="dxa"/>
        <w:right w:w="108" w:type="dxa"/>
        <w:bottom w:w="0" w:type="dxa"/>
      </w:tblCellMar>
    </w:tblPr>
    <w:tblStylePr w:type="firstCol">
      <w:rPr>
        <w:b/>
        <w:bCs/>
      </w:rPr>
      <w:tcPr>
        <w:tcBorders>
          <w:right w:val="single" w:color="000000" w:sz="12" w:space="0"/>
        </w:tcBorders>
      </w:tcPr>
    </w:tblStylePr>
    <w:tblStylePr w:type="firstRow">
      <w:rPr>
        <w:b/>
        <w:bCs/>
      </w:rPr>
      <w:tcPr>
        <w:tcBorders>
          <w:bottom w:val="single" w:color="000000" w:sz="12" w:space="0"/>
        </w:tcBorders>
      </w:tcPr>
    </w:tblStylePr>
    <w:tblStylePr w:type="lastCol">
      <w:rPr>
        <w:b/>
        <w:bCs/>
      </w:rPr>
      <w:tcPr>
        <w:tcBorders>
          <w:left w:val="single" w:color="000000" w:sz="6" w:space="0"/>
        </w:tcBorders>
      </w:tcPr>
    </w:tblStylePr>
    <w:tblStylePr w:type="lastRow">
      <w:rPr>
        <w:b/>
        <w:bCs/>
        <w:color w:val="auto"/>
      </w:rPr>
      <w:tcPr>
        <w:tcBorders>
          <w:top w:val="single" w:color="000000" w:sz="6" w:space="0"/>
        </w:tcBorders>
      </w:tcPr>
    </w:tblStylePr>
    <w:tblStylePr w:type="neCell">
      <w:rPr>
        <w:b/>
        <w:bCs/>
      </w:rPr>
      <w:tcPr>
        <w:tcBorders>
          <w:left w:val="none" w:color="auto" w:sz="0" w:space="0"/>
        </w:tcBorders>
      </w:tcPr>
    </w:tblStylePr>
    <w:tblStylePr w:type="swCell">
      <w:rPr>
        <w:b/>
        <w:bCs/>
      </w:rPr>
      <w:tcPr>
        <w:tcBorders>
          <w:top w:val="none" w:color="auto" w:sz="0" w:space="0"/>
        </w:tcBorders>
      </w:tcPr>
    </w:tblStylePr>
  </w:style>
  <w:style w:type="table" w:styleId="1220">
    <w:name w:val="Table Simple 3"/>
    <w:basedOn w:val="756"/>
    <w:pPr>
      <w:spacing w:after="0" w:line="240" w:lineRule="auto"/>
    </w:pPr>
    <w:rPr>
      <w:rFonts w:ascii="Times New Roman" w:hAnsi="Times New Roman" w:eastAsia="Times New Roman" w:cs="Times New Roman"/>
      <w:sz w:val="20"/>
      <w:szCs w:val="20"/>
      <w:lang w:eastAsia="ru-RU"/>
    </w:rPr>
    <w:tblPr>
      <w:tblInd w:w="0" w:type="dxa"/>
      <w:tblBorders>
        <w:top w:val="single" w:color="000000" w:sz="12" w:space="0"/>
        <w:left w:val="single" w:color="000000" w:sz="12" w:space="0"/>
        <w:bottom w:val="single" w:color="000000" w:sz="12" w:space="0"/>
        <w:right w:val="single" w:color="000000" w:sz="12" w:space="0"/>
      </w:tblBorders>
      <w:tblCellMar>
        <w:left w:w="108" w:type="dxa"/>
        <w:top w:w="0" w:type="dxa"/>
        <w:right w:w="108" w:type="dxa"/>
        <w:bottom w:w="0" w:type="dxa"/>
      </w:tblCellMar>
    </w:tblPr>
    <w:tcPr>
      <w:shd w:val="clear" w:color="auto" w:fill="auto"/>
    </w:tcPr>
    <w:tblStylePr w:type="firstRow">
      <w:rPr>
        <w:b/>
        <w:bCs/>
        <w:color w:val="ffffff"/>
      </w:rPr>
      <w:tcPr>
        <w:shd w:val="solid" w:color="000000" w:fill="ffffff"/>
      </w:tcPr>
    </w:tblStylePr>
  </w:style>
  <w:style w:type="table" w:styleId="1221">
    <w:name w:val="Table Grid 1"/>
    <w:basedOn w:val="756"/>
    <w:pPr>
      <w:spacing w:after="0" w:line="240" w:lineRule="auto"/>
    </w:pPr>
    <w:rPr>
      <w:rFonts w:ascii="Times New Roman" w:hAnsi="Times New Roman" w:eastAsia="Times New Roman" w:cs="Times New Roman"/>
      <w:sz w:val="20"/>
      <w:szCs w:val="20"/>
      <w:lang w:eastAsia="ru-RU"/>
    </w:rPr>
    <w:tblP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left w:w="108" w:type="dxa"/>
        <w:top w:w="0" w:type="dxa"/>
        <w:right w:w="108" w:type="dxa"/>
        <w:bottom w:w="0" w:type="dxa"/>
      </w:tblCellMar>
    </w:tblPr>
    <w:tcPr>
      <w:shd w:val="clear" w:color="auto" w:fill="auto"/>
    </w:tcPr>
    <w:tblStylePr w:type="lastCol">
      <w:rPr>
        <w:i/>
        <w:iCs/>
      </w:rPr>
    </w:tblStylePr>
    <w:tblStylePr w:type="lastRow">
      <w:rPr>
        <w:i/>
        <w:iCs/>
      </w:rPr>
    </w:tblStylePr>
  </w:style>
  <w:style w:type="table" w:styleId="1222">
    <w:name w:val="Table Grid 2"/>
    <w:basedOn w:val="756"/>
    <w:pPr>
      <w:spacing w:after="0" w:line="240" w:lineRule="auto"/>
    </w:pPr>
    <w:rPr>
      <w:rFonts w:ascii="Times New Roman" w:hAnsi="Times New Roman" w:eastAsia="Times New Roman" w:cs="Times New Roman"/>
      <w:sz w:val="20"/>
      <w:szCs w:val="20"/>
      <w:lang w:eastAsia="ru-RU"/>
    </w:rPr>
    <w:tblPr>
      <w:tblInd w:w="0" w:type="dxa"/>
      <w:tblBorders>
        <w:insideH w:val="single" w:color="000000" w:sz="6" w:space="0"/>
        <w:insideV w:val="single" w:color="000000" w:sz="6" w:space="0"/>
      </w:tblBorders>
      <w:tblCellMar>
        <w:left w:w="108" w:type="dxa"/>
        <w:top w:w="0" w:type="dxa"/>
        <w:right w:w="108" w:type="dxa"/>
        <w:bottom w:w="0" w:type="dxa"/>
      </w:tblCellMar>
    </w:tblPr>
    <w:tcPr>
      <w:shd w:val="clear" w:color="auto" w:fill="auto"/>
    </w:tcPr>
    <w:tblStylePr w:type="firstCol">
      <w:rPr>
        <w:b/>
        <w:bCs/>
      </w:rPr>
    </w:tblStylePr>
    <w:tblStylePr w:type="firstRow">
      <w:rPr>
        <w:b/>
        <w:bCs/>
      </w:rPr>
    </w:tblStylePr>
    <w:tblStylePr w:type="lastCol">
      <w:rPr>
        <w:b/>
        <w:bCs/>
      </w:rPr>
    </w:tblStylePr>
    <w:tblStylePr w:type="lastRow">
      <w:rPr>
        <w:b/>
        <w:bCs/>
      </w:rPr>
      <w:tcPr>
        <w:tcBorders>
          <w:top w:val="single" w:color="000000" w:sz="6" w:space="0"/>
        </w:tcBorders>
      </w:tcPr>
    </w:tblStylePr>
  </w:style>
  <w:style w:type="table" w:styleId="1223">
    <w:name w:val="Table Grid 3"/>
    <w:basedOn w:val="756"/>
    <w:pPr>
      <w:spacing w:after="0" w:line="240" w:lineRule="auto"/>
    </w:pPr>
    <w:rPr>
      <w:rFonts w:ascii="Times New Roman" w:hAnsi="Times New Roman" w:eastAsia="Times New Roman" w:cs="Times New Roman"/>
      <w:sz w:val="20"/>
      <w:szCs w:val="20"/>
      <w:lang w:eastAsia="ru-RU"/>
    </w:rPr>
    <w:tblPr>
      <w:tblInd w:w="0" w:type="dxa"/>
      <w:tblBorders>
        <w:top w:val="single" w:color="000000" w:sz="6" w:space="0"/>
        <w:left w:val="single" w:color="000000" w:sz="12" w:space="0"/>
        <w:bottom w:val="single" w:color="000000" w:sz="6" w:space="0"/>
        <w:right w:val="single" w:color="000000" w:sz="12" w:space="0"/>
        <w:insideV w:val="single" w:color="000000" w:sz="6" w:space="0"/>
      </w:tblBorders>
      <w:tblCellMar>
        <w:left w:w="108" w:type="dxa"/>
        <w:top w:w="0" w:type="dxa"/>
        <w:right w:w="108" w:type="dxa"/>
        <w:bottom w:w="0" w:type="dxa"/>
      </w:tblCellMar>
    </w:tblPr>
    <w:tcPr>
      <w:shd w:val="clear" w:color="auto" w:fill="auto"/>
    </w:tcPr>
    <w:tblStylePr w:type="firstRow">
      <w:tcPr>
        <w:shd w:val="pct30" w:color="ffff00" w:fill="ffffff"/>
        <w:tcBorders>
          <w:bottom w:val="single" w:color="000000" w:sz="6" w:space="0"/>
        </w:tcBorders>
      </w:tcPr>
    </w:tblStylePr>
    <w:tblStylePr w:type="lastCol">
      <w:rPr>
        <w:b/>
        <w:bCs/>
      </w:rPr>
    </w:tblStylePr>
    <w:tblStylePr w:type="lastRow">
      <w:rPr>
        <w:b/>
        <w:bCs/>
      </w:rPr>
    </w:tblStylePr>
  </w:style>
  <w:style w:type="table" w:styleId="1224">
    <w:name w:val="Table Grid 4"/>
    <w:basedOn w:val="756"/>
    <w:pPr>
      <w:spacing w:after="0" w:line="240" w:lineRule="auto"/>
    </w:pPr>
    <w:rPr>
      <w:rFonts w:ascii="Times New Roman" w:hAnsi="Times New Roman" w:eastAsia="Times New Roman" w:cs="Times New Roman"/>
      <w:sz w:val="20"/>
      <w:szCs w:val="20"/>
      <w:lang w:eastAsia="ru-RU"/>
    </w:rPr>
    <w:tblPr>
      <w:tblInd w:w="0" w:type="dxa"/>
      <w:tblBorders>
        <w:left w:val="single" w:color="000000" w:sz="12" w:space="0"/>
        <w:right w:val="single" w:color="000000" w:sz="12" w:space="0"/>
        <w:insideH w:val="single" w:color="000000" w:sz="6" w:space="0"/>
        <w:insideV w:val="single" w:color="000000" w:sz="6" w:space="0"/>
      </w:tblBorders>
      <w:tblCellMar>
        <w:left w:w="108" w:type="dxa"/>
        <w:top w:w="0" w:type="dxa"/>
        <w:right w:w="108" w:type="dxa"/>
        <w:bottom w:w="0" w:type="dxa"/>
      </w:tblCellMar>
    </w:tblPr>
    <w:tcPr>
      <w:shd w:val="clear" w:color="auto" w:fill="auto"/>
    </w:tcPr>
    <w:tblStylePr w:type="firstRow">
      <w:rPr>
        <w:color w:val="auto"/>
      </w:rPr>
      <w:tcPr>
        <w:shd w:val="pct30" w:color="ffff00" w:fill="ffffff"/>
        <w:tcBorders>
          <w:bottom w:val="single" w:color="000000" w:sz="6" w:space="0"/>
        </w:tcBorders>
      </w:tcPr>
    </w:tblStylePr>
    <w:tblStylePr w:type="lastCol">
      <w:rPr>
        <w:b/>
        <w:bCs/>
        <w:color w:val="auto"/>
      </w:rPr>
    </w:tblStylePr>
    <w:tblStylePr w:type="lastRow">
      <w:rPr>
        <w:b/>
        <w:bCs/>
        <w:color w:val="auto"/>
      </w:rPr>
      <w:tcPr>
        <w:shd w:val="pct30" w:color="ffff00" w:fill="ffffff"/>
        <w:tcBorders>
          <w:top w:val="single" w:color="000000" w:sz="6" w:space="0"/>
        </w:tcBorders>
      </w:tcPr>
    </w:tblStylePr>
  </w:style>
  <w:style w:type="table" w:styleId="1225">
    <w:name w:val="Table Grid 5"/>
    <w:basedOn w:val="756"/>
    <w:pPr>
      <w:spacing w:after="0" w:line="240" w:lineRule="auto"/>
    </w:pPr>
    <w:rPr>
      <w:rFonts w:ascii="Times New Roman" w:hAnsi="Times New Roman" w:eastAsia="Times New Roman" w:cs="Times New Roman"/>
      <w:sz w:val="20"/>
      <w:szCs w:val="20"/>
      <w:lang w:eastAsia="ru-RU"/>
    </w:rPr>
    <w:tblPr>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left w:w="108" w:type="dxa"/>
        <w:top w:w="0" w:type="dxa"/>
        <w:right w:w="108" w:type="dxa"/>
        <w:bottom w:w="0" w:type="dxa"/>
      </w:tblCellMar>
    </w:tblPr>
    <w:tcPr>
      <w:shd w:val="clear" w:color="auto" w:fill="auto"/>
    </w:tcPr>
    <w:tblStylePr w:type="firstRow">
      <w:tcPr>
        <w:tcBorders>
          <w:bottom w:val="single" w:color="000000" w:sz="12" w:space="0"/>
        </w:tcBorders>
      </w:tcPr>
    </w:tblStylePr>
    <w:tblStylePr w:type="lastCol">
      <w:rPr>
        <w:b/>
        <w:bCs/>
      </w:rPr>
    </w:tblStylePr>
    <w:tblStylePr w:type="lastRow">
      <w:rPr>
        <w:b/>
        <w:bCs/>
      </w:rPr>
    </w:tblStylePr>
  </w:style>
  <w:style w:type="table" w:styleId="1226">
    <w:name w:val="Table Grid 6"/>
    <w:basedOn w:val="756"/>
    <w:pPr>
      <w:spacing w:after="0" w:line="240" w:lineRule="auto"/>
    </w:pPr>
    <w:rPr>
      <w:rFonts w:ascii="Times New Roman" w:hAnsi="Times New Roman" w:eastAsia="Times New Roman" w:cs="Times New Roman"/>
      <w:sz w:val="20"/>
      <w:szCs w:val="20"/>
      <w:lang w:eastAsia="ru-RU"/>
    </w:rPr>
    <w:tblPr>
      <w:tblInd w:w="0" w:type="dxa"/>
      <w:tblBorders>
        <w:top w:val="single" w:color="000000" w:sz="12" w:space="0"/>
        <w:left w:val="single" w:color="000000" w:sz="12" w:space="0"/>
        <w:bottom w:val="single" w:color="000000" w:sz="12" w:space="0"/>
        <w:right w:val="single" w:color="000000" w:sz="12" w:space="0"/>
        <w:insideV w:val="single" w:color="000000" w:sz="6" w:space="0"/>
      </w:tblBorders>
      <w:tblCellMar>
        <w:left w:w="108" w:type="dxa"/>
        <w:top w:w="0" w:type="dxa"/>
        <w:right w:w="108" w:type="dxa"/>
        <w:bottom w:w="0" w:type="dxa"/>
      </w:tblCellMar>
    </w:tblPr>
    <w:tcPr>
      <w:shd w:val="clear" w:color="auto" w:fill="auto"/>
    </w:tcPr>
    <w:tblStylePr w:type="firstCol">
      <w:rPr>
        <w:b/>
        <w:bCs/>
      </w:rPr>
    </w:tblStylePr>
    <w:tblStylePr w:type="firstRow">
      <w:rPr>
        <w:b/>
        <w:bCs/>
      </w:rPr>
      <w:tcPr>
        <w:tcBorders>
          <w:bottom w:val="single" w:color="000000" w:sz="6" w:space="0"/>
        </w:tcBorders>
      </w:tcPr>
    </w:tblStylePr>
    <w:tblStylePr w:type="lastRow">
      <w:rPr>
        <w:color w:val="auto"/>
      </w:rPr>
      <w:tcPr>
        <w:tcBorders>
          <w:top w:val="single" w:color="000000" w:sz="6" w:space="0"/>
        </w:tcBorders>
      </w:tcPr>
    </w:tblStylePr>
  </w:style>
  <w:style w:type="table" w:styleId="1227">
    <w:name w:val="Table Grid 7"/>
    <w:basedOn w:val="756"/>
    <w:pPr>
      <w:spacing w:after="0" w:line="240" w:lineRule="auto"/>
    </w:pPr>
    <w:rPr>
      <w:rFonts w:ascii="Times New Roman" w:hAnsi="Times New Roman" w:eastAsia="Times New Roman" w:cs="Times New Roman"/>
      <w:b/>
      <w:bCs/>
      <w:sz w:val="20"/>
      <w:szCs w:val="20"/>
      <w:lang w:eastAsia="ru-RU"/>
    </w:rPr>
    <w:tblPr>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left w:w="108" w:type="dxa"/>
        <w:top w:w="0" w:type="dxa"/>
        <w:right w:w="108" w:type="dxa"/>
        <w:bottom w:w="0" w:type="dxa"/>
      </w:tblCellMar>
    </w:tblPr>
    <w:tcPr>
      <w:shd w:val="clear" w:color="auto" w:fill="auto"/>
    </w:tcPr>
    <w:tblStylePr w:type="firstCol">
      <w:rPr>
        <w:b w:val="0"/>
        <w:bCs w:val="0"/>
      </w:rPr>
    </w:tblStylePr>
    <w:tblStylePr w:type="firstRow">
      <w:rPr>
        <w:b w:val="0"/>
        <w:bCs w:val="0"/>
      </w:rPr>
      <w:tcPr>
        <w:tcBorders>
          <w:bottom w:val="single" w:color="000000" w:sz="12" w:space="0"/>
        </w:tcBorders>
      </w:tcPr>
    </w:tblStylePr>
    <w:tblStylePr w:type="lastCol">
      <w:rPr>
        <w:b w:val="0"/>
        <w:bCs w:val="0"/>
      </w:rPr>
    </w:tblStylePr>
    <w:tblStylePr w:type="lastRow">
      <w:rPr>
        <w:b w:val="0"/>
        <w:bCs w:val="0"/>
      </w:rPr>
      <w:tcPr>
        <w:tcBorders>
          <w:top w:val="single" w:color="000000" w:sz="6" w:space="0"/>
        </w:tcBorders>
      </w:tcPr>
    </w:tblStylePr>
  </w:style>
  <w:style w:type="table" w:styleId="1228">
    <w:name w:val="Table Grid 8"/>
    <w:basedOn w:val="756"/>
    <w:pPr>
      <w:spacing w:after="0" w:line="240" w:lineRule="auto"/>
    </w:pPr>
    <w:rPr>
      <w:rFonts w:ascii="Times New Roman" w:hAnsi="Times New Roman" w:eastAsia="Times New Roman" w:cs="Times New Roman"/>
      <w:sz w:val="20"/>
      <w:szCs w:val="20"/>
      <w:lang w:eastAsia="ru-RU"/>
    </w:rPr>
    <w:tblPr>
      <w:tblInd w:w="0" w:type="dxa"/>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CellMar>
        <w:left w:w="108" w:type="dxa"/>
        <w:top w:w="0" w:type="dxa"/>
        <w:right w:w="108" w:type="dxa"/>
        <w:bottom w:w="0" w:type="dxa"/>
      </w:tblCellMar>
    </w:tblPr>
    <w:tcPr>
      <w:shd w:val="clear" w:color="auto" w:fill="auto"/>
    </w:tcPr>
    <w:tblStylePr w:type="firstRow">
      <w:rPr>
        <w:b/>
        <w:bCs/>
        <w:color w:val="ffffff"/>
      </w:rPr>
      <w:tcPr>
        <w:shd w:val="solid" w:color="000080" w:fill="ffffff"/>
      </w:tcPr>
    </w:tblStylePr>
    <w:tblStylePr w:type="lastCol">
      <w:rPr>
        <w:b/>
        <w:bCs/>
        <w:color w:val="auto"/>
      </w:rPr>
    </w:tblStylePr>
    <w:tblStylePr w:type="lastRow">
      <w:rPr>
        <w:b/>
        <w:bCs/>
        <w:color w:val="auto"/>
      </w:rPr>
    </w:tblStylePr>
  </w:style>
  <w:style w:type="table" w:styleId="1229">
    <w:name w:val="Table Contemporary"/>
    <w:basedOn w:val="756"/>
    <w:pPr>
      <w:spacing w:after="0" w:line="240" w:lineRule="auto"/>
    </w:pPr>
    <w:rPr>
      <w:rFonts w:ascii="Times New Roman" w:hAnsi="Times New Roman" w:eastAsia="Times New Roman" w:cs="Times New Roman"/>
      <w:sz w:val="20"/>
      <w:szCs w:val="20"/>
      <w:lang w:eastAsia="ru-RU"/>
    </w:rPr>
    <w:tblPr>
      <w:tblStyleRowBandSize w:val="1"/>
      <w:tblInd w:w="0" w:type="dxa"/>
      <w:tblBorders>
        <w:insideH w:val="single" w:color="FFFFFF" w:sz="18" w:space="0"/>
        <w:insideV w:val="single" w:color="FFFFFF" w:sz="18" w:space="0"/>
      </w:tblBorders>
      <w:tblCellMar>
        <w:left w:w="108" w:type="dxa"/>
        <w:top w:w="0" w:type="dxa"/>
        <w:right w:w="108" w:type="dxa"/>
        <w:bottom w:w="0" w:type="dxa"/>
      </w:tblCellMar>
    </w:tblPr>
    <w:tblStylePr w:type="band1Horz">
      <w:rPr>
        <w:color w:val="auto"/>
      </w:rPr>
      <w:tcPr>
        <w:shd w:val="pct5" w:color="000000" w:fill="ffffff"/>
      </w:tcPr>
    </w:tblStylePr>
    <w:tblStylePr w:type="band2Horz">
      <w:rPr>
        <w:color w:val="auto"/>
      </w:rPr>
      <w:tcPr>
        <w:shd w:val="pct20" w:color="000000" w:fill="ffffff"/>
      </w:tcPr>
    </w:tblStylePr>
    <w:tblStylePr w:type="firstRow">
      <w:rPr>
        <w:b/>
        <w:bCs/>
        <w:color w:val="auto"/>
      </w:rPr>
      <w:tcPr>
        <w:shd w:val="pct20" w:color="000000" w:fill="ffffff"/>
      </w:tcPr>
    </w:tblStylePr>
  </w:style>
  <w:style w:type="table" w:styleId="1230">
    <w:name w:val="Table Professional"/>
    <w:basedOn w:val="756"/>
    <w:pPr>
      <w:spacing w:after="0" w:line="240" w:lineRule="auto"/>
    </w:pPr>
    <w:rPr>
      <w:rFonts w:ascii="Times New Roman" w:hAnsi="Times New Roman" w:eastAsia="Times New Roman" w:cs="Times New Roman"/>
      <w:sz w:val="20"/>
      <w:szCs w:val="20"/>
      <w:lang w:eastAsia="ru-RU"/>
    </w:rPr>
    <w:tblP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left w:w="108" w:type="dxa"/>
        <w:top w:w="0" w:type="dxa"/>
        <w:right w:w="108" w:type="dxa"/>
        <w:bottom w:w="0" w:type="dxa"/>
      </w:tblCellMar>
    </w:tblPr>
    <w:tcPr>
      <w:shd w:val="clear" w:color="auto" w:fill="auto"/>
    </w:tcPr>
    <w:tblStylePr w:type="firstRow">
      <w:rPr>
        <w:b/>
        <w:bCs/>
        <w:color w:val="auto"/>
      </w:rPr>
      <w:tcPr>
        <w:shd w:val="solid" w:color="000000" w:fill="ffffff"/>
      </w:tcPr>
    </w:tblStylePr>
  </w:style>
  <w:style w:type="numbering" w:styleId="1231">
    <w:name w:val="Outline List 3"/>
    <w:basedOn w:val="757"/>
  </w:style>
  <w:style w:type="table" w:styleId="1232">
    <w:name w:val="Table Columns 1"/>
    <w:basedOn w:val="756"/>
    <w:pPr>
      <w:spacing w:after="0" w:line="240" w:lineRule="auto"/>
    </w:pPr>
    <w:rPr>
      <w:rFonts w:ascii="Times New Roman" w:hAnsi="Times New Roman" w:eastAsia="Times New Roman" w:cs="Times New Roman"/>
      <w:b/>
      <w:bCs/>
      <w:sz w:val="20"/>
      <w:szCs w:val="20"/>
      <w:lang w:eastAsia="ru-RU"/>
    </w:rPr>
    <w:tblPr>
      <w:tblStyleColBandSize w:val="1"/>
      <w:tblInd w:w="0" w:type="dxa"/>
      <w:tblBorders>
        <w:top w:val="single" w:color="000000" w:sz="12" w:space="0"/>
        <w:left w:val="single" w:color="000000" w:sz="12" w:space="0"/>
        <w:bottom w:val="single" w:color="000000" w:sz="12" w:space="0"/>
        <w:right w:val="single" w:color="000000" w:sz="12" w:space="0"/>
      </w:tblBorders>
      <w:tblCellMar>
        <w:left w:w="108" w:type="dxa"/>
        <w:top w:w="0" w:type="dxa"/>
        <w:right w:w="108" w:type="dxa"/>
        <w:bottom w:w="0" w:type="dxa"/>
      </w:tblCellMar>
    </w:tblPr>
    <w:tblStylePr w:type="band1Vert">
      <w:rPr>
        <w:color w:val="auto"/>
      </w:rPr>
      <w:tcPr>
        <w:shd w:val="pct25" w:color="000000" w:fill="ffffff"/>
      </w:tcPr>
    </w:tblStylePr>
    <w:tblStylePr w:type="band2Vert">
      <w:rPr>
        <w:color w:val="auto"/>
      </w:rPr>
      <w:tcPr>
        <w:shd w:val="pct25" w:color="ffff00" w:fill="ffffff"/>
      </w:tcPr>
    </w:tblStylePr>
    <w:tblStylePr w:type="firstCol">
      <w:rPr>
        <w:b w:val="0"/>
        <w:bCs w:val="0"/>
      </w:rPr>
    </w:tblStylePr>
    <w:tblStylePr w:type="firstRow">
      <w:rPr>
        <w:b w:val="0"/>
        <w:bCs w:val="0"/>
      </w:rPr>
      <w:tcPr>
        <w:tcBorders>
          <w:bottom w:val="single" w:color="000000" w:sz="6" w:space="0"/>
        </w:tcBorders>
      </w:tcPr>
    </w:tblStylePr>
    <w:tblStylePr w:type="lastCol">
      <w:rPr>
        <w:b w:val="0"/>
        <w:bCs w:val="0"/>
      </w:rPr>
    </w:tblStylePr>
    <w:tblStylePr w:type="lastRow">
      <w:rPr>
        <w:b w:val="0"/>
        <w:bCs w:val="0"/>
      </w:rPr>
    </w:tblStylePr>
    <w:tblStylePr w:type="neCell">
      <w:rPr>
        <w:b/>
        <w:bCs/>
      </w:rPr>
    </w:tblStylePr>
    <w:tblStylePr w:type="swCell">
      <w:rPr>
        <w:b/>
        <w:bCs/>
      </w:rPr>
    </w:tblStylePr>
  </w:style>
  <w:style w:type="table" w:styleId="1233">
    <w:name w:val="Table Columns 2"/>
    <w:basedOn w:val="756"/>
    <w:pPr>
      <w:spacing w:after="0" w:line="240" w:lineRule="auto"/>
    </w:pPr>
    <w:rPr>
      <w:rFonts w:ascii="Times New Roman" w:hAnsi="Times New Roman" w:eastAsia="Times New Roman" w:cs="Times New Roman"/>
      <w:b/>
      <w:bCs/>
      <w:sz w:val="20"/>
      <w:szCs w:val="20"/>
      <w:lang w:eastAsia="ru-RU"/>
    </w:rPr>
    <w:tblPr>
      <w:tblStyleColBandSize w:val="1"/>
      <w:tblInd w:w="0" w:type="dxa"/>
      <w:tblCellMar>
        <w:left w:w="108" w:type="dxa"/>
        <w:top w:w="0" w:type="dxa"/>
        <w:right w:w="108" w:type="dxa"/>
        <w:bottom w:w="0" w:type="dxa"/>
      </w:tblCellMar>
    </w:tblPr>
    <w:tblStylePr w:type="band1Vert">
      <w:rPr>
        <w:color w:val="auto"/>
      </w:rPr>
      <w:tcPr>
        <w:shd w:val="pct30" w:color="000000" w:fill="ffffff"/>
      </w:tcPr>
    </w:tblStylePr>
    <w:tblStylePr w:type="band2Vert">
      <w:rPr>
        <w:color w:val="auto"/>
      </w:rPr>
      <w:tcPr>
        <w:shd w:val="pct25" w:color="00ff00" w:fill="ffffff"/>
      </w:tcPr>
    </w:tblStylePr>
    <w:tblStylePr w:type="firstCol">
      <w:rPr>
        <w:b w:val="0"/>
        <w:bCs w:val="0"/>
        <w:color w:val="000000"/>
      </w:rPr>
    </w:tblStylePr>
    <w:tblStylePr w:type="firstRow">
      <w:rPr>
        <w:color w:val="ffffff"/>
      </w:rPr>
      <w:tcPr>
        <w:shd w:val="solid" w:color="000080" w:fill="ffffff"/>
      </w:tcPr>
    </w:tblStylePr>
    <w:tblStylePr w:type="lastCol">
      <w:rPr>
        <w:b w:val="0"/>
        <w:bCs w:val="0"/>
      </w:rPr>
    </w:tblStylePr>
    <w:tblStylePr w:type="lastRow">
      <w:rPr>
        <w:b w:val="0"/>
        <w:bCs w:val="0"/>
      </w:rPr>
    </w:tblStylePr>
    <w:tblStylePr w:type="neCell">
      <w:rPr>
        <w:b/>
        <w:bCs/>
      </w:rPr>
    </w:tblStylePr>
    <w:tblStylePr w:type="swCell">
      <w:rPr>
        <w:b/>
        <w:bCs/>
      </w:rPr>
    </w:tblStylePr>
  </w:style>
  <w:style w:type="table" w:styleId="1234">
    <w:name w:val="Table Columns 3"/>
    <w:basedOn w:val="756"/>
    <w:pPr>
      <w:spacing w:after="0" w:line="240" w:lineRule="auto"/>
    </w:pPr>
    <w:rPr>
      <w:rFonts w:ascii="Times New Roman" w:hAnsi="Times New Roman" w:eastAsia="Times New Roman" w:cs="Times New Roman"/>
      <w:b/>
      <w:bCs/>
      <w:sz w:val="20"/>
      <w:szCs w:val="20"/>
      <w:lang w:eastAsia="ru-RU"/>
    </w:rPr>
    <w:tblPr>
      <w:tblStyleColBandSize w:val="1"/>
      <w:tblInd w:w="0" w:type="dxa"/>
      <w:tblBorders>
        <w:top w:val="single" w:color="000080" w:sz="6" w:space="0"/>
        <w:left w:val="single" w:color="000080" w:sz="6" w:space="0"/>
        <w:bottom w:val="single" w:color="000080" w:sz="6" w:space="0"/>
        <w:right w:val="single" w:color="000080" w:sz="6" w:space="0"/>
        <w:insideV w:val="single" w:color="000080" w:sz="6" w:space="0"/>
      </w:tblBorders>
      <w:tblCellMar>
        <w:left w:w="108" w:type="dxa"/>
        <w:top w:w="0" w:type="dxa"/>
        <w:right w:w="108" w:type="dxa"/>
        <w:bottom w:w="0" w:type="dxa"/>
      </w:tblCellMar>
    </w:tblPr>
    <w:tblStylePr w:type="band1Vert">
      <w:rPr>
        <w:color w:val="auto"/>
      </w:rPr>
      <w:tcPr>
        <w:shd w:val="solid" w:color="c0c0c0" w:fill="ffffff"/>
      </w:tcPr>
    </w:tblStylePr>
    <w:tblStylePr w:type="band2Vert">
      <w:rPr>
        <w:color w:val="auto"/>
      </w:rPr>
      <w:tcPr>
        <w:shd w:val="pct10" w:color="000000" w:fill="ffffff"/>
      </w:tcPr>
    </w:tblStylePr>
    <w:tblStylePr w:type="firstCol">
      <w:rPr>
        <w:b w:val="0"/>
        <w:bCs w:val="0"/>
      </w:rPr>
    </w:tblStylePr>
    <w:tblStylePr w:type="firstRow">
      <w:rPr>
        <w:color w:val="ffffff"/>
      </w:rPr>
      <w:tcPr>
        <w:shd w:val="solid" w:color="000080" w:fill="ffffff"/>
      </w:tcPr>
    </w:tblStylePr>
    <w:tblStylePr w:type="lastCol">
      <w:rPr>
        <w:b w:val="0"/>
        <w:bCs w:val="0"/>
      </w:rPr>
    </w:tblStylePr>
    <w:tblStylePr w:type="lastRow">
      <w:rPr>
        <w:b w:val="0"/>
        <w:bCs w:val="0"/>
      </w:rPr>
      <w:tcPr>
        <w:tcBorders>
          <w:top w:val="single" w:color="000080" w:sz="6" w:space="0"/>
        </w:tcBorders>
      </w:tcPr>
    </w:tblStylePr>
    <w:tblStylePr w:type="neCell">
      <w:rPr>
        <w:b/>
        <w:bCs/>
      </w:rPr>
    </w:tblStylePr>
  </w:style>
  <w:style w:type="table" w:styleId="1235">
    <w:name w:val="Table Columns 4"/>
    <w:basedOn w:val="756"/>
    <w:pPr>
      <w:spacing w:after="0" w:line="240" w:lineRule="auto"/>
    </w:pPr>
    <w:rPr>
      <w:rFonts w:ascii="Times New Roman" w:hAnsi="Times New Roman" w:eastAsia="Times New Roman" w:cs="Times New Roman"/>
      <w:sz w:val="20"/>
      <w:szCs w:val="20"/>
      <w:lang w:eastAsia="ru-RU"/>
    </w:rPr>
    <w:tblPr>
      <w:tblStyleColBandSize w:val="1"/>
      <w:tblInd w:w="0" w:type="dxa"/>
      <w:tblCellMar>
        <w:left w:w="108" w:type="dxa"/>
        <w:top w:w="0" w:type="dxa"/>
        <w:right w:w="108" w:type="dxa"/>
        <w:bottom w:w="0" w:type="dxa"/>
      </w:tblCellMar>
    </w:tblPr>
    <w:tblStylePr w:type="band1Vert">
      <w:rPr>
        <w:color w:val="auto"/>
      </w:rPr>
      <w:tcPr>
        <w:shd w:val="pct50" w:color="008080" w:fill="ffffff"/>
      </w:tcPr>
    </w:tblStylePr>
    <w:tblStylePr w:type="band2Vert">
      <w:rPr>
        <w:color w:val="auto"/>
      </w:rPr>
      <w:tcPr>
        <w:shd w:val="pct10" w:color="000000" w:fill="ffffff"/>
      </w:tcPr>
    </w:tblStylePr>
    <w:tblStylePr w:type="firstRow">
      <w:rPr>
        <w:color w:val="ffffff"/>
      </w:rPr>
      <w:tcPr>
        <w:shd w:val="solid" w:color="000000" w:fill="ffffff"/>
      </w:tcPr>
    </w:tblStylePr>
    <w:tblStylePr w:type="lastCol">
      <w:rPr>
        <w:b/>
        <w:bCs/>
      </w:rPr>
    </w:tblStylePr>
    <w:tblStylePr w:type="lastRow">
      <w:rPr>
        <w:b/>
        <w:bCs/>
      </w:rPr>
    </w:tblStylePr>
  </w:style>
  <w:style w:type="table" w:styleId="1236">
    <w:name w:val="Table Columns 5"/>
    <w:basedOn w:val="756"/>
    <w:pPr>
      <w:spacing w:after="0" w:line="240" w:lineRule="auto"/>
    </w:pPr>
    <w:rPr>
      <w:rFonts w:ascii="Times New Roman" w:hAnsi="Times New Roman" w:eastAsia="Times New Roman" w:cs="Times New Roman"/>
      <w:sz w:val="20"/>
      <w:szCs w:val="20"/>
      <w:lang w:eastAsia="ru-RU"/>
    </w:rPr>
    <w:tblPr>
      <w:tblStyleColBandSize w:val="1"/>
      <w:tblInd w:w="0" w:type="dxa"/>
      <w:tblBorders>
        <w:top w:val="single" w:color="808080" w:sz="12" w:space="0"/>
        <w:left w:val="single" w:color="808080" w:sz="12" w:space="0"/>
        <w:bottom w:val="single" w:color="808080" w:sz="12" w:space="0"/>
        <w:right w:val="single" w:color="808080" w:sz="12" w:space="0"/>
        <w:insideV w:val="single" w:color="C0C0C0" w:sz="6" w:space="0"/>
      </w:tblBorders>
      <w:tblCellMar>
        <w:left w:w="108" w:type="dxa"/>
        <w:top w:w="0" w:type="dxa"/>
        <w:right w:w="108" w:type="dxa"/>
        <w:bottom w:w="0" w:type="dxa"/>
      </w:tblCellMar>
    </w:tblPr>
    <w:tblStylePr w:type="band1Vert">
      <w:rPr>
        <w:color w:val="auto"/>
      </w:rPr>
      <w:tcPr>
        <w:shd w:val="solid" w:color="c0c0c0" w:fill="ffffff"/>
      </w:tcPr>
    </w:tblStylePr>
    <w:tblStylePr w:type="band2Vert">
      <w:rPr>
        <w:color w:val="auto"/>
      </w:rPr>
    </w:tblStylePr>
    <w:tblStylePr w:type="firstCol">
      <w:rPr>
        <w:b/>
        <w:bCs/>
      </w:rPr>
    </w:tblStylePr>
    <w:tblStylePr w:type="firstRow">
      <w:rPr>
        <w:b/>
        <w:bCs/>
        <w:i/>
        <w:iCs/>
      </w:rPr>
      <w:tcPr>
        <w:tcBorders>
          <w:bottom w:val="single" w:color="808080" w:sz="6" w:space="0"/>
        </w:tcBorders>
      </w:tcPr>
    </w:tblStylePr>
    <w:tblStylePr w:type="lastCol">
      <w:rPr>
        <w:b/>
        <w:bCs/>
      </w:rPr>
    </w:tblStylePr>
    <w:tblStylePr w:type="lastRow">
      <w:rPr>
        <w:b/>
        <w:bCs/>
      </w:rPr>
      <w:tcPr>
        <w:tcBorders>
          <w:top w:val="single" w:color="808080" w:sz="6" w:space="0"/>
        </w:tcBorders>
      </w:tcPr>
    </w:tblStylePr>
  </w:style>
  <w:style w:type="table" w:styleId="1237">
    <w:name w:val="Table List 1"/>
    <w:basedOn w:val="756"/>
    <w:pPr>
      <w:spacing w:after="0" w:line="240" w:lineRule="auto"/>
    </w:pPr>
    <w:rPr>
      <w:rFonts w:ascii="Times New Roman" w:hAnsi="Times New Roman" w:eastAsia="Times New Roman" w:cs="Times New Roman"/>
      <w:sz w:val="20"/>
      <w:szCs w:val="20"/>
      <w:lang w:eastAsia="ru-RU"/>
    </w:rPr>
    <w:tblPr>
      <w:tblStyleRowBandSize w:val="1"/>
      <w:tblInd w:w="0" w:type="dxa"/>
      <w:tblBorders>
        <w:top w:val="single" w:color="008080" w:sz="12" w:space="0"/>
        <w:left w:val="single" w:color="008080" w:sz="6" w:space="0"/>
        <w:bottom w:val="single" w:color="008080" w:sz="12" w:space="0"/>
        <w:right w:val="single" w:color="008080" w:sz="6" w:space="0"/>
      </w:tblBorders>
      <w:tblCellMar>
        <w:left w:w="108" w:type="dxa"/>
        <w:top w:w="0" w:type="dxa"/>
        <w:right w:w="108" w:type="dxa"/>
        <w:bottom w:w="0" w:type="dxa"/>
      </w:tblCellMar>
    </w:tblPr>
    <w:tblStylePr w:type="band1Horz">
      <w:rPr>
        <w:color w:val="auto"/>
      </w:rPr>
      <w:tcPr>
        <w:shd w:val="solid" w:color="c0c0c0" w:fill="ffffff"/>
      </w:tcPr>
    </w:tblStylePr>
    <w:tblStylePr w:type="band2Horz">
      <w:rPr>
        <w:color w:val="auto"/>
      </w:rPr>
    </w:tblStylePr>
    <w:tblStylePr w:type="firstRow">
      <w:rPr>
        <w:b/>
        <w:bCs/>
        <w:i/>
        <w:iCs/>
        <w:color w:val="800000"/>
      </w:rPr>
      <w:tcPr>
        <w:shd w:val="solid" w:color="c0c0c0" w:fill="ffffff"/>
        <w:tcBorders>
          <w:bottom w:val="single" w:color="000000" w:sz="6" w:space="0"/>
        </w:tcBorders>
      </w:tcPr>
    </w:tblStylePr>
    <w:tblStylePr w:type="lastRow">
      <w:tcPr>
        <w:tcBorders>
          <w:top w:val="single" w:color="000000" w:sz="6" w:space="0"/>
        </w:tcBorders>
      </w:tcPr>
    </w:tblStylePr>
    <w:tblStylePr w:type="swCell">
      <w:rPr>
        <w:b/>
        <w:bCs/>
      </w:rPr>
    </w:tblStylePr>
  </w:style>
  <w:style w:type="table" w:styleId="1238">
    <w:name w:val="Table List 2"/>
    <w:basedOn w:val="756"/>
    <w:pPr>
      <w:spacing w:after="0" w:line="240" w:lineRule="auto"/>
    </w:pPr>
    <w:rPr>
      <w:rFonts w:ascii="Times New Roman" w:hAnsi="Times New Roman" w:eastAsia="Times New Roman" w:cs="Times New Roman"/>
      <w:sz w:val="20"/>
      <w:szCs w:val="20"/>
      <w:lang w:eastAsia="ru-RU"/>
    </w:rPr>
    <w:tblPr>
      <w:tblStyleRowBandSize w:val="2"/>
      <w:tblInd w:w="0" w:type="dxa"/>
      <w:tblBorders>
        <w:bottom w:val="single" w:color="808080" w:sz="12" w:space="0"/>
      </w:tblBorders>
      <w:tblCellMar>
        <w:left w:w="108" w:type="dxa"/>
        <w:top w:w="0" w:type="dxa"/>
        <w:right w:w="108" w:type="dxa"/>
        <w:bottom w:w="0" w:type="dxa"/>
      </w:tblCellMar>
    </w:tblPr>
    <w:tblStylePr w:type="band1Horz">
      <w:rPr>
        <w:color w:val="auto"/>
      </w:rPr>
      <w:tcPr>
        <w:shd w:val="pct20" w:color="00ff00" w:fill="ffffff"/>
      </w:tcPr>
    </w:tblStylePr>
    <w:tblStylePr w:type="band2Horz">
      <w:rPr>
        <w:color w:val="auto"/>
      </w:rPr>
    </w:tblStylePr>
    <w:tblStylePr w:type="firstRow">
      <w:rPr>
        <w:b/>
        <w:bCs/>
        <w:color w:val="ffffff"/>
      </w:rPr>
      <w:tcPr>
        <w:shd w:val="pct75" w:color="008080" w:fill="008000"/>
        <w:tcBorders>
          <w:bottom w:val="single" w:color="000000" w:sz="6" w:space="0"/>
        </w:tcBorders>
      </w:tcPr>
    </w:tblStylePr>
    <w:tblStylePr w:type="lastRow">
      <w:tcPr>
        <w:tcBorders>
          <w:top w:val="single" w:color="000000" w:sz="6" w:space="0"/>
        </w:tcBorders>
      </w:tcPr>
    </w:tblStylePr>
    <w:tblStylePr w:type="swCell">
      <w:rPr>
        <w:b/>
        <w:bCs/>
      </w:rPr>
    </w:tblStylePr>
  </w:style>
  <w:style w:type="table" w:styleId="1239">
    <w:name w:val="Table List 3"/>
    <w:basedOn w:val="756"/>
    <w:pPr>
      <w:spacing w:after="0" w:line="240" w:lineRule="auto"/>
    </w:pPr>
    <w:rPr>
      <w:rFonts w:ascii="Times New Roman" w:hAnsi="Times New Roman" w:eastAsia="Times New Roman" w:cs="Times New Roman"/>
      <w:sz w:val="20"/>
      <w:szCs w:val="20"/>
      <w:lang w:eastAsia="ru-RU"/>
    </w:rPr>
    <w:tblPr>
      <w:tblInd w:w="0" w:type="dxa"/>
      <w:tblBorders>
        <w:top w:val="single" w:color="000000" w:sz="12" w:space="0"/>
        <w:bottom w:val="single" w:color="000000" w:sz="12" w:space="0"/>
        <w:insideH w:val="single" w:color="000000" w:sz="6" w:space="0"/>
      </w:tblBorders>
      <w:tblCellMar>
        <w:left w:w="108" w:type="dxa"/>
        <w:top w:w="0" w:type="dxa"/>
        <w:right w:w="108" w:type="dxa"/>
        <w:bottom w:w="0" w:type="dxa"/>
      </w:tblCellMar>
    </w:tblPr>
    <w:tcPr>
      <w:shd w:val="clear" w:color="auto" w:fill="auto"/>
    </w:tcPr>
    <w:tblStylePr w:type="firstRow">
      <w:rPr>
        <w:b/>
        <w:bCs/>
        <w:color w:val="000080"/>
      </w:rPr>
      <w:tcPr>
        <w:tcBorders>
          <w:bottom w:val="single" w:color="000000" w:sz="12" w:space="0"/>
        </w:tcBorders>
      </w:tcPr>
    </w:tblStylePr>
    <w:tblStylePr w:type="lastRow">
      <w:tcPr>
        <w:tcBorders>
          <w:top w:val="single" w:color="000000" w:sz="12" w:space="0"/>
        </w:tcBorders>
      </w:tcPr>
    </w:tblStylePr>
    <w:tblStylePr w:type="swCell">
      <w:rPr>
        <w:i/>
        <w:iCs/>
        <w:color w:val="000080"/>
      </w:rPr>
    </w:tblStylePr>
  </w:style>
  <w:style w:type="table" w:styleId="1240">
    <w:name w:val="Table List 4"/>
    <w:basedOn w:val="756"/>
    <w:pPr>
      <w:spacing w:after="0" w:line="240" w:lineRule="auto"/>
    </w:pPr>
    <w:rPr>
      <w:rFonts w:ascii="Times New Roman" w:hAnsi="Times New Roman" w:eastAsia="Times New Roman" w:cs="Times New Roman"/>
      <w:sz w:val="20"/>
      <w:szCs w:val="20"/>
      <w:lang w:eastAsia="ru-RU"/>
    </w:rPr>
    <w:tblPr>
      <w:tblInd w:w="0" w:type="dxa"/>
      <w:tblBorders>
        <w:top w:val="single" w:color="000000" w:sz="12" w:space="0"/>
        <w:left w:val="single" w:color="000000" w:sz="12" w:space="0"/>
        <w:bottom w:val="single" w:color="000000" w:sz="12" w:space="0"/>
        <w:right w:val="single" w:color="000000" w:sz="12" w:space="0"/>
        <w:insideH w:val="single" w:color="000000" w:sz="6" w:space="0"/>
      </w:tblBorders>
      <w:tblCellMar>
        <w:left w:w="108" w:type="dxa"/>
        <w:top w:w="0" w:type="dxa"/>
        <w:right w:w="108" w:type="dxa"/>
        <w:bottom w:w="0" w:type="dxa"/>
      </w:tblCellMar>
    </w:tblPr>
    <w:tcPr>
      <w:shd w:val="clear" w:color="auto" w:fill="auto"/>
    </w:tcPr>
    <w:tblStylePr w:type="firstRow">
      <w:rPr>
        <w:b/>
        <w:bCs/>
        <w:color w:val="ffffff"/>
      </w:rPr>
      <w:tcPr>
        <w:shd w:val="solid" w:color="808080" w:fill="ffffff"/>
        <w:tcBorders>
          <w:bottom w:val="single" w:color="000000" w:sz="12" w:space="0"/>
        </w:tcBorders>
      </w:tcPr>
    </w:tblStylePr>
  </w:style>
  <w:style w:type="table" w:styleId="1241">
    <w:name w:val="Table List 5"/>
    <w:basedOn w:val="756"/>
    <w:pPr>
      <w:spacing w:after="0" w:line="240" w:lineRule="auto"/>
    </w:pPr>
    <w:rPr>
      <w:rFonts w:ascii="Times New Roman" w:hAnsi="Times New Roman" w:eastAsia="Times New Roman" w:cs="Times New Roman"/>
      <w:sz w:val="20"/>
      <w:szCs w:val="20"/>
      <w:lang w:eastAsia="ru-RU"/>
    </w:rPr>
    <w:tblPr>
      <w:tblInd w:w="0" w:type="dxa"/>
      <w:tblBorders>
        <w:top w:val="single" w:color="000000" w:sz="6" w:space="0"/>
        <w:left w:val="single" w:color="000000" w:sz="6" w:space="0"/>
        <w:bottom w:val="single" w:color="000000" w:sz="6" w:space="0"/>
        <w:right w:val="single" w:color="000000" w:sz="6" w:space="0"/>
        <w:insideH w:val="single" w:color="000000" w:sz="6" w:space="0"/>
      </w:tblBorders>
      <w:tblCellMar>
        <w:left w:w="108" w:type="dxa"/>
        <w:top w:w="0" w:type="dxa"/>
        <w:right w:w="108" w:type="dxa"/>
        <w:bottom w:w="0" w:type="dxa"/>
      </w:tblCellMar>
    </w:tblPr>
    <w:tcPr>
      <w:shd w:val="clear" w:color="auto" w:fill="auto"/>
    </w:tcPr>
    <w:tblStylePr w:type="firstCol">
      <w:rPr>
        <w:b/>
        <w:bCs/>
      </w:rPr>
    </w:tblStylePr>
    <w:tblStylePr w:type="firstRow">
      <w:rPr>
        <w:b/>
        <w:bCs/>
      </w:rPr>
      <w:tcPr>
        <w:tcBorders>
          <w:bottom w:val="single" w:color="000000" w:sz="12" w:space="0"/>
        </w:tcBorders>
      </w:tcPr>
    </w:tblStylePr>
  </w:style>
  <w:style w:type="table" w:styleId="1242">
    <w:name w:val="Table List 6"/>
    <w:basedOn w:val="756"/>
    <w:pPr>
      <w:spacing w:after="0" w:line="240" w:lineRule="auto"/>
    </w:pPr>
    <w:rPr>
      <w:rFonts w:ascii="Times New Roman" w:hAnsi="Times New Roman" w:eastAsia="Times New Roman" w:cs="Times New Roman"/>
      <w:sz w:val="20"/>
      <w:szCs w:val="20"/>
      <w:lang w:eastAsia="ru-RU"/>
    </w:rPr>
    <w:tblPr>
      <w:tblStyleRowBandSize w:val="1"/>
      <w:tblInd w:w="0" w:type="dxa"/>
      <w:tblBorders>
        <w:top w:val="single" w:color="000000" w:sz="6" w:space="0"/>
        <w:left w:val="single" w:color="000000" w:sz="6" w:space="0"/>
        <w:bottom w:val="single" w:color="000000" w:sz="6" w:space="0"/>
        <w:right w:val="single" w:color="000000" w:sz="6" w:space="0"/>
      </w:tblBorders>
      <w:tblCellMar>
        <w:left w:w="108" w:type="dxa"/>
        <w:top w:w="0" w:type="dxa"/>
        <w:right w:w="108" w:type="dxa"/>
        <w:bottom w:w="0" w:type="dxa"/>
      </w:tblCellMar>
    </w:tblPr>
    <w:tcPr>
      <w:shd w:val="pct50" w:color="000000" w:fill="ffffff"/>
    </w:tcPr>
    <w:tblStylePr w:type="band1Horz">
      <w:tcPr>
        <w:shd w:val="pct25" w:color="000000" w:fill="ffffff"/>
      </w:tcPr>
    </w:tblStylePr>
    <w:tblStylePr w:type="firstCol">
      <w:rPr>
        <w:b/>
        <w:bCs/>
      </w:rPr>
      <w:tcPr>
        <w:tcBorders>
          <w:right w:val="single" w:color="000000" w:sz="12" w:space="0"/>
        </w:tcBorders>
      </w:tcPr>
    </w:tblStylePr>
    <w:tblStylePr w:type="firstRow">
      <w:rPr>
        <w:b/>
        <w:bCs/>
      </w:rPr>
      <w:tcPr>
        <w:tcBorders>
          <w:bottom w:val="single" w:color="000000" w:sz="12" w:space="0"/>
        </w:tcBorders>
      </w:tcPr>
    </w:tblStylePr>
  </w:style>
  <w:style w:type="table" w:styleId="1243">
    <w:name w:val="Table List 7"/>
    <w:basedOn w:val="756"/>
    <w:pPr>
      <w:spacing w:after="0" w:line="240" w:lineRule="auto"/>
    </w:pPr>
    <w:rPr>
      <w:rFonts w:ascii="Times New Roman" w:hAnsi="Times New Roman" w:eastAsia="Times New Roman" w:cs="Times New Roman"/>
      <w:sz w:val="20"/>
      <w:szCs w:val="20"/>
      <w:lang w:eastAsia="ru-RU"/>
    </w:rPr>
    <w:tblPr>
      <w:tblStyleRowBandSize w:val="1"/>
      <w:tblInd w:w="0" w:type="dxa"/>
      <w:tblBorders>
        <w:top w:val="single" w:color="008000" w:sz="12" w:space="0"/>
        <w:left w:val="single" w:color="008000" w:sz="6" w:space="0"/>
        <w:bottom w:val="single" w:color="008000" w:sz="12" w:space="0"/>
        <w:right w:val="single" w:color="008000" w:sz="6" w:space="0"/>
        <w:insideH w:val="single" w:color="000000" w:sz="6" w:space="0"/>
      </w:tblBorders>
      <w:tblCellMar>
        <w:left w:w="108" w:type="dxa"/>
        <w:top w:w="0" w:type="dxa"/>
        <w:right w:w="108" w:type="dxa"/>
        <w:bottom w:w="0" w:type="dxa"/>
      </w:tblCellMar>
    </w:tblPr>
    <w:tblStylePr w:type="band1Horz">
      <w:rPr>
        <w:color w:val="auto"/>
      </w:rPr>
      <w:tcPr>
        <w:shd w:val="pct20" w:color="000000" w:fill="ffffff"/>
      </w:tcPr>
    </w:tblStylePr>
    <w:tblStylePr w:type="band2Horz">
      <w:tcPr>
        <w:shd w:val="pct25" w:color="ffff00" w:fill="ffffff"/>
      </w:tcPr>
    </w:tblStylePr>
    <w:tblStylePr w:type="firstCol">
      <w:rPr>
        <w:b/>
        <w:bCs/>
      </w:rPr>
    </w:tblStylePr>
    <w:tblStylePr w:type="firstRow">
      <w:rPr>
        <w:b/>
        <w:bCs/>
      </w:rPr>
      <w:tcPr>
        <w:shd w:val="solid" w:color="c0c0c0" w:fill="ffffff"/>
        <w:tcBorders>
          <w:bottom w:val="single" w:color="008000" w:sz="12" w:space="0"/>
        </w:tcBorders>
      </w:tcPr>
    </w:tblStylePr>
    <w:tblStylePr w:type="lastCol">
      <w:rPr>
        <w:b/>
        <w:bCs/>
      </w:rPr>
    </w:tblStylePr>
    <w:tblStylePr w:type="lastRow">
      <w:rPr>
        <w:b/>
        <w:bCs/>
      </w:rPr>
      <w:tcPr>
        <w:tcBorders>
          <w:top w:val="single" w:color="008000" w:sz="12" w:space="0"/>
        </w:tcBorders>
      </w:tcPr>
    </w:tblStylePr>
  </w:style>
  <w:style w:type="table" w:styleId="1244">
    <w:name w:val="Table List 8"/>
    <w:basedOn w:val="756"/>
    <w:pPr>
      <w:spacing w:after="0" w:line="240" w:lineRule="auto"/>
    </w:pPr>
    <w:rPr>
      <w:rFonts w:ascii="Times New Roman" w:hAnsi="Times New Roman" w:eastAsia="Times New Roman" w:cs="Times New Roman"/>
      <w:sz w:val="20"/>
      <w:szCs w:val="20"/>
      <w:lang w:eastAsia="ru-RU"/>
    </w:rPr>
    <w:tblPr>
      <w:tblStyleRowBandSize w:val="1"/>
      <w:tblInd w:w="0" w:type="dxa"/>
      <w:tblBorders>
        <w:top w:val="single" w:color="000000" w:sz="6" w:space="0"/>
        <w:left w:val="single" w:color="000000" w:sz="6" w:space="0"/>
        <w:bottom w:val="single" w:color="000000" w:sz="6" w:space="0"/>
        <w:right w:val="single" w:color="000000" w:sz="6" w:space="0"/>
        <w:insideV w:val="single" w:color="000000" w:sz="6" w:space="0"/>
      </w:tblBorders>
      <w:tblCellMar>
        <w:left w:w="108" w:type="dxa"/>
        <w:top w:w="0" w:type="dxa"/>
        <w:right w:w="108" w:type="dxa"/>
        <w:bottom w:w="0" w:type="dxa"/>
      </w:tblCellMar>
    </w:tblPr>
    <w:tblStylePr w:type="band1Horz">
      <w:rPr>
        <w:color w:val="auto"/>
      </w:rPr>
      <w:tcPr>
        <w:shd w:val="pct25" w:color="ffff00" w:fill="ffffff"/>
      </w:tcPr>
    </w:tblStylePr>
    <w:tblStylePr w:type="band2Horz">
      <w:tcPr>
        <w:shd w:val="pct50" w:color="ff0000" w:fill="ffffff"/>
      </w:tcPr>
    </w:tblStylePr>
    <w:tblStylePr w:type="firstCol">
      <w:rPr>
        <w:b/>
        <w:bCs/>
      </w:rPr>
    </w:tblStylePr>
    <w:tblStylePr w:type="firstRow">
      <w:rPr>
        <w:b/>
        <w:bCs/>
        <w:i/>
        <w:iCs/>
      </w:rPr>
      <w:tcPr>
        <w:shd w:val="solid" w:color="ffff00" w:fill="ffffff"/>
        <w:tcBorders>
          <w:bottom w:val="single" w:color="000000" w:sz="6" w:space="0"/>
        </w:tcBorders>
      </w:tcPr>
    </w:tblStylePr>
    <w:tblStylePr w:type="lastCol">
      <w:rPr>
        <w:b/>
        <w:bCs/>
      </w:rPr>
    </w:tblStylePr>
    <w:tblStylePr w:type="lastRow">
      <w:rPr>
        <w:b/>
        <w:bCs/>
      </w:rPr>
      <w:tcPr>
        <w:tcBorders>
          <w:top w:val="single" w:color="000000" w:sz="6" w:space="0"/>
        </w:tcBorders>
      </w:tcPr>
    </w:tblStylePr>
  </w:style>
  <w:style w:type="table" w:styleId="1245">
    <w:name w:val="Table Theme"/>
    <w:basedOn w:val="756"/>
    <w:pPr>
      <w:spacing w:after="0" w:line="240" w:lineRule="auto"/>
    </w:pPr>
    <w:rPr>
      <w:rFonts w:ascii="Times New Roman" w:hAnsi="Times New Roman" w:eastAsia="Times New Roman" w:cs="Times New Roman"/>
      <w:sz w:val="20"/>
      <w:szCs w:val="20"/>
      <w:lang w:eastAsia="ru-RU"/>
    </w:r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1246">
    <w:name w:val="Table Colorful 1"/>
    <w:basedOn w:val="756"/>
    <w:pPr>
      <w:spacing w:after="0" w:line="240" w:lineRule="auto"/>
    </w:pPr>
    <w:rPr>
      <w:rFonts w:ascii="Times New Roman" w:hAnsi="Times New Roman" w:eastAsia="Times New Roman" w:cs="Times New Roman"/>
      <w:color w:val="ffffff"/>
      <w:sz w:val="20"/>
      <w:szCs w:val="20"/>
      <w:lang w:eastAsia="ru-RU"/>
    </w:rPr>
    <w:tblPr>
      <w:tblInd w:w="0" w:type="dxa"/>
      <w:tblBorders>
        <w:top w:val="single" w:color="008080" w:sz="12" w:space="0"/>
        <w:left w:val="single" w:color="008080" w:sz="12" w:space="0"/>
        <w:bottom w:val="single" w:color="008080" w:sz="12" w:space="0"/>
        <w:right w:val="single" w:color="008080" w:sz="12" w:space="0"/>
        <w:insideH w:val="single" w:color="00FFFF" w:sz="6" w:space="0"/>
      </w:tblBorders>
      <w:tblCellMar>
        <w:left w:w="108" w:type="dxa"/>
        <w:top w:w="0" w:type="dxa"/>
        <w:right w:w="108" w:type="dxa"/>
        <w:bottom w:w="0" w:type="dxa"/>
      </w:tblCellMar>
    </w:tblPr>
    <w:tcPr>
      <w:shd w:val="solid" w:color="008080" w:fill="ffffff"/>
    </w:tcPr>
    <w:tblStylePr w:type="firstCol">
      <w:rPr>
        <w:b/>
        <w:bCs/>
        <w:i/>
        <w:iCs/>
      </w:rPr>
      <w:tcPr>
        <w:shd w:val="solid" w:color="000080" w:fill="ffffff"/>
      </w:tcPr>
    </w:tblStylePr>
    <w:tblStylePr w:type="firstRow">
      <w:rPr>
        <w:b/>
        <w:bCs/>
        <w:i/>
        <w:iCs/>
      </w:rPr>
      <w:tcPr>
        <w:shd w:val="solid" w:color="000000" w:fill="ffffff"/>
      </w:tcPr>
    </w:tblStylePr>
    <w:tblStylePr w:type="nwCell">
      <w:tcPr>
        <w:shd w:val="solid" w:color="000000" w:fill="ffffff"/>
      </w:tcPr>
    </w:tblStylePr>
    <w:tblStylePr w:type="swCell">
      <w:rPr>
        <w:b/>
        <w:bCs/>
        <w:i w:val="0"/>
        <w:iCs w:val="0"/>
      </w:rPr>
    </w:tblStylePr>
  </w:style>
  <w:style w:type="table" w:styleId="1247">
    <w:name w:val="Table Colorful 2"/>
    <w:basedOn w:val="756"/>
    <w:pPr>
      <w:spacing w:after="0" w:line="240" w:lineRule="auto"/>
    </w:pPr>
    <w:rPr>
      <w:rFonts w:ascii="Times New Roman" w:hAnsi="Times New Roman" w:eastAsia="Times New Roman" w:cs="Times New Roman"/>
      <w:sz w:val="20"/>
      <w:szCs w:val="20"/>
      <w:lang w:eastAsia="ru-RU"/>
    </w:rPr>
    <w:tblPr>
      <w:tblInd w:w="0" w:type="dxa"/>
      <w:tblBorders>
        <w:bottom w:val="single" w:color="000000" w:sz="12" w:space="0"/>
      </w:tblBorders>
      <w:tblCellMar>
        <w:left w:w="108" w:type="dxa"/>
        <w:top w:w="0" w:type="dxa"/>
        <w:right w:w="108" w:type="dxa"/>
        <w:bottom w:w="0" w:type="dxa"/>
      </w:tblCellMar>
    </w:tblPr>
    <w:tcPr>
      <w:shd w:val="pct20" w:color="ffff00" w:fill="ffffff"/>
    </w:tcPr>
    <w:tblStylePr w:type="firstCol">
      <w:rPr>
        <w:b/>
        <w:bCs/>
        <w:i/>
        <w:iCs/>
      </w:rPr>
    </w:tblStylePr>
    <w:tblStylePr w:type="firstRow">
      <w:rPr>
        <w:b/>
        <w:bCs/>
        <w:i/>
        <w:iCs/>
        <w:color w:val="ffffff"/>
      </w:rPr>
      <w:tcPr>
        <w:shd w:val="solid" w:color="800000" w:fill="ffffff"/>
        <w:tcBorders>
          <w:bottom w:val="single" w:color="000000" w:sz="12" w:space="0"/>
        </w:tcBorders>
      </w:tcPr>
    </w:tblStylePr>
    <w:tblStylePr w:type="lastCol">
      <w:tcPr>
        <w:shd w:val="solid" w:color="c0c0c0" w:fill="ffffff"/>
      </w:tcPr>
    </w:tblStylePr>
    <w:tblStylePr w:type="swCell">
      <w:rPr>
        <w:b/>
        <w:bCs/>
        <w:i w:val="0"/>
        <w:iCs w:val="0"/>
      </w:rPr>
    </w:tblStylePr>
  </w:style>
  <w:style w:type="table" w:styleId="1248">
    <w:name w:val="Table Colorful 3"/>
    <w:basedOn w:val="756"/>
    <w:pPr>
      <w:spacing w:after="0" w:line="240" w:lineRule="auto"/>
    </w:pPr>
    <w:rPr>
      <w:rFonts w:ascii="Times New Roman" w:hAnsi="Times New Roman" w:eastAsia="Times New Roman" w:cs="Times New Roman"/>
      <w:sz w:val="20"/>
      <w:szCs w:val="20"/>
      <w:lang w:eastAsia="ru-RU"/>
    </w:rPr>
    <w:tblPr>
      <w:tblInd w:w="0" w:type="dxa"/>
      <w:tblBorders>
        <w:top w:val="single" w:color="000000" w:sz="18" w:space="0"/>
        <w:left w:val="single" w:color="000000" w:sz="18" w:space="0"/>
        <w:bottom w:val="single" w:color="000000" w:sz="18" w:space="0"/>
        <w:right w:val="single" w:color="000000" w:sz="18" w:space="0"/>
        <w:insideH w:val="single" w:color="C0C0C0" w:sz="6" w:space="0"/>
      </w:tblBorders>
      <w:tblCellMar>
        <w:left w:w="108" w:type="dxa"/>
        <w:top w:w="0" w:type="dxa"/>
        <w:right w:w="108" w:type="dxa"/>
        <w:bottom w:w="0" w:type="dxa"/>
      </w:tblCellMar>
    </w:tblPr>
    <w:tcPr>
      <w:shd w:val="pct25" w:color="008080" w:fill="ffffff"/>
    </w:tcPr>
    <w:tblStylePr w:type="firstCol">
      <w:tcPr>
        <w:shd w:val="solid" w:color="008080" w:fill="ffffff"/>
        <w:tcBorders>
          <w:left w:val="single" w:color="000000" w:sz="36" w:space="0"/>
          <w:right w:val="single" w:color="000000" w:sz="6" w:space="0"/>
        </w:tcBorders>
      </w:tcPr>
    </w:tblStylePr>
    <w:tblStylePr w:type="firstRow">
      <w:tcPr>
        <w:shd w:val="solid" w:color="008080" w:fill="ffffff"/>
        <w:tcBorders>
          <w:bottom w:val="single" w:color="000000" w:sz="6" w:space="0"/>
        </w:tcBorders>
      </w:tcPr>
    </w:tblStylePr>
    <w:tblStylePr w:type="nwCell">
      <w:rPr>
        <w:b/>
        <w:bCs/>
        <w:color w:val="ffffff"/>
      </w:rPr>
      <w:tcPr>
        <w:shd w:val="solid" w:color="000000" w:fill="ffffff"/>
      </w:tcPr>
    </w:tblStylePr>
  </w:style>
  <w:style w:type="paragraph" w:styleId="1249">
    <w:name w:val="endnote text"/>
    <w:basedOn w:val="754"/>
    <w:link w:val="1250"/>
    <w:pPr>
      <w:ind w:firstLine="680"/>
      <w:jc w:val="both"/>
      <w:spacing w:line="360" w:lineRule="auto"/>
      <w:widowControl/>
    </w:pPr>
  </w:style>
  <w:style w:type="character" w:styleId="1250" w:customStyle="1">
    <w:name w:val="Текст концевой сноски Знак"/>
    <w:basedOn w:val="755"/>
    <w:link w:val="1249"/>
    <w:rPr>
      <w:rFonts w:ascii="Times New Roman" w:hAnsi="Times New Roman" w:eastAsia="Times New Roman" w:cs="Times New Roman"/>
      <w:sz w:val="20"/>
      <w:szCs w:val="20"/>
    </w:rPr>
  </w:style>
  <w:style w:type="character" w:styleId="1251">
    <w:name w:val="endnote reference"/>
    <w:rPr>
      <w:vertAlign w:val="superscript"/>
    </w:rPr>
  </w:style>
  <w:style w:type="table" w:styleId="1252">
    <w:name w:val="Medium Shading 2 Accent 5"/>
    <w:basedOn w:val="756"/>
    <w:uiPriority w:val="64"/>
    <w:pPr>
      <w:spacing w:after="0" w:line="240" w:lineRule="auto"/>
    </w:pPr>
    <w:rPr>
      <w:rFonts w:ascii="Calibri" w:hAnsi="Calibri" w:eastAsia="Times New Roman" w:cs="Times New Roman"/>
    </w:rPr>
    <w:tblPr>
      <w:tblStyleRowBandSize w:val="1"/>
      <w:tblStyleColBandSize w:val="1"/>
      <w:tblInd w:w="0" w:type="dxa"/>
      <w:tblBorders>
        <w:top w:val="single" w:color="000000" w:sz="18" w:space="0"/>
        <w:bottom w:val="single" w:color="000000" w:sz="18" w:space="0"/>
      </w:tblBorders>
      <w:tblCellMar>
        <w:left w:w="108" w:type="dxa"/>
        <w:top w:w="0" w:type="dxa"/>
        <w:right w:w="108" w:type="dxa"/>
        <w:bottom w:w="0" w:type="dxa"/>
      </w:tblCellMar>
    </w:tblPr>
    <w:tblStylePr w:type="band1Horz">
      <w:tcPr>
        <w:shd w:val="clear" w:color="auto" w:fill="cecece"/>
      </w:tcPr>
    </w:tblStylePr>
    <w:tblStylePr w:type="band1Vert">
      <w:tcPr>
        <w:shd w:val="clear" w:color="auto" w:fill="cecece"/>
        <w:tcBorders>
          <w:left w:val="none" w:color="000000" w:sz="4" w:space="0"/>
          <w:right w:val="none" w:color="000000" w:sz="4" w:space="0"/>
          <w:insideH w:val="none" w:color="000000" w:sz="4" w:space="0"/>
          <w:insideV w:val="none" w:color="000000" w:sz="4" w:space="0"/>
        </w:tcBorders>
      </w:tcPr>
    </w:tblStylePr>
    <w:tblStylePr w:type="firstCol">
      <w:rPr>
        <w:b/>
        <w:bCs/>
        <w:color w:val="f4f4f4"/>
      </w:rPr>
      <w:tcPr>
        <w:shd w:val="clear" w:color="auto" w:fill="4bacc6"/>
        <w:tcBorders>
          <w:top w:val="none" w:color="000000" w:sz="4" w:space="0"/>
          <w:left w:val="none" w:color="000000" w:sz="4" w:space="0"/>
          <w:bottom w:val="single" w:color="auto" w:sz="18" w:space="0"/>
          <w:right w:val="none" w:color="000000" w:sz="4" w:space="0"/>
          <w:insideH w:val="none" w:color="000000" w:sz="4" w:space="0"/>
          <w:insideV w:val="none" w:color="000000" w:sz="4" w:space="0"/>
        </w:tcBorders>
      </w:tcPr>
    </w:tblStylePr>
    <w:tblStylePr w:type="firstRow">
      <w:rPr>
        <w:b/>
        <w:bCs/>
        <w:color w:val="f4f4f4"/>
      </w:rPr>
      <w:pPr>
        <w:spacing w:before="0" w:after="0" w:line="240" w:lineRule="auto"/>
      </w:pPr>
      <w:tcPr>
        <w:shd w:val="clear" w:color="auto" w:fill="4bacc6"/>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tblStylePr w:type="lastCol">
      <w:rPr>
        <w:b/>
        <w:bCs/>
        <w:color w:val="f4f4f4"/>
      </w:rPr>
      <w:tcPr>
        <w:shd w:val="clear" w:color="auto" w:fill="4bacc6"/>
        <w:tcBorders>
          <w:left w:val="none" w:color="000000" w:sz="4" w:space="0"/>
          <w:right w:val="none" w:color="000000" w:sz="4" w:space="0"/>
          <w:insideH w:val="none" w:color="000000" w:sz="4" w:space="0"/>
          <w:insideV w:val="none" w:color="000000" w:sz="4" w:space="0"/>
        </w:tcBorders>
      </w:tcPr>
    </w:tblStylePr>
    <w:tblStylePr w:type="lastRow">
      <w:pPr>
        <w:spacing w:before="0" w:after="0" w:line="240" w:lineRule="auto"/>
      </w:pPr>
      <w:tcPr>
        <w:shd w:val="clear" w:color="auto" w:fill="f4f4f4"/>
        <w:tcBorders>
          <w:top w:val="single" w:color="auto" w:sz="6" w:space="0"/>
          <w:left w:val="none" w:color="000000" w:sz="4" w:space="0"/>
          <w:bottom w:val="single" w:color="auto" w:sz="18" w:space="0"/>
          <w:right w:val="none" w:color="000000" w:sz="4" w:space="0"/>
          <w:insideH w:val="none" w:color="000000" w:sz="4" w:space="0"/>
          <w:insideV w:val="none" w:color="000000" w:sz="4" w:space="0"/>
        </w:tcBorders>
      </w:tcPr>
    </w:tblStylePr>
    <w:tblStylePr w:type="nwCell">
      <w:rPr>
        <w:color w:val="f4f4f4"/>
      </w:rPr>
      <w:tcPr>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tblStylePr w:type="neCell">
      <w:tcPr>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style>
  <w:style w:type="paragraph" w:styleId="1253" w:customStyle="1">
    <w:name w:val="S_Обычный"/>
    <w:basedOn w:val="754"/>
    <w:link w:val="1254"/>
    <w:qFormat/>
    <w:pPr>
      <w:ind w:firstLine="567"/>
      <w:jc w:val="both"/>
      <w:spacing w:before="120" w:after="60"/>
      <w:widowControl/>
    </w:pPr>
    <w:rPr>
      <w:sz w:val="24"/>
      <w:szCs w:val="24"/>
    </w:rPr>
  </w:style>
  <w:style w:type="character" w:styleId="1254" w:customStyle="1">
    <w:name w:val="S_Обычный Знак"/>
    <w:link w:val="1253"/>
    <w:rPr>
      <w:rFonts w:ascii="Times New Roman" w:hAnsi="Times New Roman" w:eastAsia="Times New Roman" w:cs="Times New Roman"/>
      <w:sz w:val="24"/>
      <w:szCs w:val="24"/>
      <w:lang w:eastAsia="ar-SA"/>
    </w:rPr>
  </w:style>
  <w:style w:type="paragraph" w:styleId="1255" w:customStyle="1">
    <w:name w:val="ТЕКСТ ГРАД"/>
    <w:basedOn w:val="754"/>
    <w:link w:val="1256"/>
    <w:qFormat/>
    <w:pPr>
      <w:ind w:firstLine="709"/>
      <w:jc w:val="both"/>
      <w:spacing w:line="360" w:lineRule="auto"/>
      <w:widowControl/>
    </w:pPr>
    <w:rPr>
      <w:sz w:val="24"/>
      <w:szCs w:val="24"/>
    </w:rPr>
  </w:style>
  <w:style w:type="character" w:styleId="1256" w:customStyle="1">
    <w:name w:val="ТЕКСТ ГРАД Знак"/>
    <w:link w:val="1255"/>
    <w:rPr>
      <w:rFonts w:ascii="Times New Roman" w:hAnsi="Times New Roman" w:eastAsia="Times New Roman" w:cs="Times New Roman"/>
      <w:sz w:val="24"/>
      <w:szCs w:val="24"/>
    </w:rPr>
  </w:style>
  <w:style w:type="paragraph" w:styleId="1257" w:customStyle="1">
    <w:name w:val="S_Обычный в таблице"/>
    <w:basedOn w:val="754"/>
    <w:link w:val="1258"/>
    <w:pPr>
      <w:jc w:val="center"/>
      <w:spacing w:line="360" w:lineRule="auto"/>
      <w:widowControl/>
    </w:pPr>
    <w:rPr>
      <w:sz w:val="24"/>
      <w:szCs w:val="24"/>
    </w:rPr>
  </w:style>
  <w:style w:type="character" w:styleId="1258" w:customStyle="1">
    <w:name w:val="S_Обычный в таблице Знак"/>
    <w:link w:val="1257"/>
    <w:rPr>
      <w:rFonts w:ascii="Times New Roman" w:hAnsi="Times New Roman" w:eastAsia="Times New Roman" w:cs="Times New Roman"/>
      <w:sz w:val="24"/>
      <w:szCs w:val="24"/>
    </w:rPr>
  </w:style>
  <w:style w:type="table" w:styleId="1259" w:customStyle="1">
    <w:name w:val="Средняя заливка 2 - Акцент 51"/>
    <w:basedOn w:val="756"/>
    <w:next w:val="1252"/>
    <w:uiPriority w:val="64"/>
    <w:pPr>
      <w:spacing w:after="0" w:line="240" w:lineRule="auto"/>
    </w:pPr>
    <w:rPr>
      <w:rFonts w:ascii="Calibri" w:hAnsi="Calibri" w:eastAsia="Times New Roman" w:cs="Times New Roman"/>
    </w:rPr>
    <w:tblPr>
      <w:tblStyleRowBandSize w:val="1"/>
      <w:tblStyleColBandSize w:val="1"/>
      <w:tblInd w:w="0" w:type="dxa"/>
      <w:tblBorders>
        <w:top w:val="single" w:color="000000" w:sz="18" w:space="0"/>
        <w:bottom w:val="single" w:color="000000" w:sz="18" w:space="0"/>
      </w:tblBorders>
      <w:tblCellMar>
        <w:left w:w="108" w:type="dxa"/>
        <w:top w:w="0" w:type="dxa"/>
        <w:right w:w="108" w:type="dxa"/>
        <w:bottom w:w="0" w:type="dxa"/>
      </w:tblCellMar>
    </w:tblPr>
    <w:tblStylePr w:type="band1Horz">
      <w:tcPr>
        <w:shd w:val="clear" w:color="auto" w:fill="cecece"/>
      </w:tcPr>
    </w:tblStylePr>
    <w:tblStylePr w:type="band1Vert">
      <w:tcPr>
        <w:shd w:val="clear" w:color="auto" w:fill="cecece"/>
        <w:tcBorders>
          <w:left w:val="none" w:color="000000" w:sz="4" w:space="0"/>
          <w:right w:val="none" w:color="000000" w:sz="4" w:space="0"/>
          <w:insideH w:val="none" w:color="000000" w:sz="4" w:space="0"/>
          <w:insideV w:val="none" w:color="000000" w:sz="4" w:space="0"/>
        </w:tcBorders>
      </w:tcPr>
    </w:tblStylePr>
    <w:tblStylePr w:type="firstCol">
      <w:rPr>
        <w:b/>
        <w:bCs/>
        <w:color w:val="f4f4f4"/>
      </w:rPr>
      <w:tcPr>
        <w:shd w:val="clear" w:color="auto" w:fill="4bacc6"/>
        <w:tcBorders>
          <w:top w:val="none" w:color="000000" w:sz="4" w:space="0"/>
          <w:left w:val="none" w:color="000000" w:sz="4" w:space="0"/>
          <w:bottom w:val="single" w:color="auto" w:sz="18" w:space="0"/>
          <w:right w:val="none" w:color="000000" w:sz="4" w:space="0"/>
          <w:insideH w:val="none" w:color="000000" w:sz="4" w:space="0"/>
          <w:insideV w:val="none" w:color="000000" w:sz="4" w:space="0"/>
        </w:tcBorders>
      </w:tcPr>
    </w:tblStylePr>
    <w:tblStylePr w:type="firstRow">
      <w:rPr>
        <w:b/>
        <w:bCs/>
        <w:color w:val="f4f4f4"/>
      </w:rPr>
      <w:pPr>
        <w:spacing w:before="0" w:after="0" w:line="240" w:lineRule="auto"/>
      </w:pPr>
      <w:tcPr>
        <w:shd w:val="clear" w:color="auto" w:fill="4bacc6"/>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tblStylePr w:type="lastCol">
      <w:rPr>
        <w:b/>
        <w:bCs/>
        <w:color w:val="f4f4f4"/>
      </w:rPr>
      <w:tcPr>
        <w:shd w:val="clear" w:color="auto" w:fill="4bacc6"/>
        <w:tcBorders>
          <w:left w:val="none" w:color="000000" w:sz="4" w:space="0"/>
          <w:right w:val="none" w:color="000000" w:sz="4" w:space="0"/>
          <w:insideH w:val="none" w:color="000000" w:sz="4" w:space="0"/>
          <w:insideV w:val="none" w:color="000000" w:sz="4" w:space="0"/>
        </w:tcBorders>
      </w:tcPr>
    </w:tblStylePr>
    <w:tblStylePr w:type="lastRow">
      <w:pPr>
        <w:spacing w:before="0" w:after="0" w:line="240" w:lineRule="auto"/>
      </w:pPr>
      <w:tcPr>
        <w:shd w:val="clear" w:color="auto" w:fill="f4f4f4"/>
        <w:tcBorders>
          <w:top w:val="single" w:color="auto" w:sz="6" w:space="0"/>
          <w:left w:val="none" w:color="000000" w:sz="4" w:space="0"/>
          <w:bottom w:val="single" w:color="auto" w:sz="18" w:space="0"/>
          <w:right w:val="none" w:color="000000" w:sz="4" w:space="0"/>
          <w:insideH w:val="none" w:color="000000" w:sz="4" w:space="0"/>
          <w:insideV w:val="none" w:color="000000" w:sz="4" w:space="0"/>
        </w:tcBorders>
      </w:tcPr>
    </w:tblStylePr>
    <w:tblStylePr w:type="nwCell">
      <w:rPr>
        <w:color w:val="f4f4f4"/>
      </w:rPr>
      <w:tcPr>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tblStylePr w:type="neCell">
      <w:tcPr>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style>
  <w:style w:type="character" w:styleId="1260" w:customStyle="1">
    <w:name w:val="Обычный в таблице Знак Знак"/>
    <w:rPr>
      <w:sz w:val="24"/>
      <w:szCs w:val="24"/>
      <w:lang w:val="ru-RU" w:eastAsia="ar-SA" w:bidi="ar-SA"/>
    </w:rPr>
  </w:style>
  <w:style w:type="character" w:styleId="1261" w:customStyle="1">
    <w:name w:val="Маркированный_1 Знак1"/>
    <w:basedOn w:val="755"/>
  </w:style>
  <w:style w:type="paragraph" w:styleId="1262" w:customStyle="1">
    <w:name w:val="Маркированный список1"/>
    <w:basedOn w:val="754"/>
    <w:pPr>
      <w:ind w:firstLine="741"/>
      <w:jc w:val="both"/>
      <w:spacing w:line="360" w:lineRule="auto"/>
      <w:widowControl/>
      <w:tabs>
        <w:tab w:val="left" w:pos="1026" w:leader="none"/>
        <w:tab w:val="num" w:pos="3346" w:leader="none"/>
      </w:tabs>
    </w:pPr>
    <w:rPr>
      <w:sz w:val="24"/>
      <w:szCs w:val="24"/>
    </w:rPr>
  </w:style>
  <w:style w:type="paragraph" w:styleId="1263" w:customStyle="1">
    <w:name w:val="S_Заголовок 1"/>
    <w:basedOn w:val="754"/>
    <w:pPr>
      <w:ind w:left="360" w:hanging="360"/>
      <w:jc w:val="center"/>
      <w:widowControl/>
      <w:tabs>
        <w:tab w:val="num" w:pos="360" w:leader="none"/>
      </w:tabs>
    </w:pPr>
    <w:rPr>
      <w:b/>
      <w:caps/>
      <w:sz w:val="24"/>
      <w:szCs w:val="24"/>
    </w:rPr>
  </w:style>
  <w:style w:type="paragraph" w:styleId="1264" w:customStyle="1">
    <w:name w:val="Обычный в таблице"/>
    <w:basedOn w:val="754"/>
    <w:pPr>
      <w:jc w:val="center"/>
      <w:widowControl/>
    </w:pPr>
    <w:rPr>
      <w:sz w:val="24"/>
      <w:szCs w:val="24"/>
    </w:rPr>
  </w:style>
  <w:style w:type="paragraph" w:styleId="1265" w:customStyle="1">
    <w:name w:val="Heading"/>
    <w:pPr>
      <w:spacing w:after="0" w:line="240" w:lineRule="auto"/>
    </w:pPr>
    <w:rPr>
      <w:rFonts w:ascii="Arial" w:hAnsi="Arial" w:eastAsia="Times New Roman" w:cs="Times New Roman"/>
      <w:b/>
      <w:szCs w:val="20"/>
      <w:lang w:eastAsia="ru-RU"/>
    </w:rPr>
  </w:style>
  <w:style w:type="paragraph" w:styleId="1266" w:customStyle="1">
    <w:name w:val="font5"/>
    <w:basedOn w:val="754"/>
    <w:pPr>
      <w:spacing w:before="100" w:beforeAutospacing="1" w:after="100" w:afterAutospacing="1"/>
      <w:widowControl/>
    </w:pPr>
    <w:rPr>
      <w:b/>
      <w:bCs/>
      <w:color w:val="000000"/>
      <w:lang w:eastAsia="ru-RU"/>
    </w:rPr>
  </w:style>
  <w:style w:type="paragraph" w:styleId="1267" w:customStyle="1">
    <w:name w:val="font6"/>
    <w:basedOn w:val="754"/>
    <w:pPr>
      <w:spacing w:before="100" w:beforeAutospacing="1" w:after="100" w:afterAutospacing="1"/>
      <w:widowControl/>
    </w:pPr>
    <w:rPr>
      <w:b/>
      <w:bCs/>
      <w:color w:val="000000"/>
      <w:lang w:eastAsia="ru-RU"/>
    </w:rPr>
  </w:style>
  <w:style w:type="paragraph" w:styleId="1268" w:customStyle="1">
    <w:name w:val="xl63"/>
    <w:basedOn w:val="754"/>
    <w:pPr>
      <w:jc w:val="center"/>
      <w:spacing w:before="100" w:beforeAutospacing="1" w:after="100" w:afterAutospacing="1"/>
      <w:widowControl/>
    </w:pPr>
    <w:rPr>
      <w:lang w:eastAsia="ru-RU"/>
    </w:rPr>
  </w:style>
  <w:style w:type="paragraph" w:styleId="1269" w:customStyle="1">
    <w:name w:val="xl64"/>
    <w:basedOn w:val="754"/>
    <w:pPr>
      <w:jc w:val="center"/>
      <w:spacing w:before="100" w:beforeAutospacing="1" w:after="100" w:afterAutospacing="1"/>
      <w:widowControl/>
      <w:pBdr>
        <w:top w:val="single" w:color="auto" w:sz="4" w:space="0"/>
        <w:left w:val="single" w:color="auto" w:sz="4" w:space="0"/>
        <w:bottom w:val="single" w:color="auto" w:sz="4" w:space="0"/>
        <w:right w:val="single" w:color="auto" w:sz="4" w:space="0"/>
      </w:pBdr>
    </w:pPr>
    <w:rPr>
      <w:lang w:eastAsia="ru-RU"/>
    </w:rPr>
  </w:style>
  <w:style w:type="paragraph" w:styleId="1270" w:customStyle="1">
    <w:name w:val="xl65"/>
    <w:basedOn w:val="754"/>
    <w:pPr>
      <w:jc w:val="center"/>
      <w:spacing w:before="100" w:beforeAutospacing="1" w:after="100" w:afterAutospacing="1"/>
      <w:widowControl/>
      <w:pBdr>
        <w:top w:val="single" w:color="auto" w:sz="4" w:space="0"/>
        <w:left w:val="single" w:color="auto" w:sz="4" w:space="0"/>
        <w:bottom w:val="single" w:color="auto" w:sz="4" w:space="0"/>
        <w:right w:val="single" w:color="auto" w:sz="4" w:space="0"/>
      </w:pBdr>
    </w:pPr>
    <w:rPr>
      <w:lang w:eastAsia="ru-RU"/>
    </w:rPr>
  </w:style>
  <w:style w:type="paragraph" w:styleId="1271" w:customStyle="1">
    <w:name w:val="xl66"/>
    <w:basedOn w:val="754"/>
    <w:pPr>
      <w:jc w:val="center"/>
      <w:spacing w:before="100" w:beforeAutospacing="1" w:after="100" w:afterAutospacing="1"/>
      <w:widowControl/>
      <w:pBdr>
        <w:top w:val="single" w:color="auto" w:sz="4" w:space="0"/>
        <w:left w:val="single" w:color="auto" w:sz="4" w:space="0"/>
        <w:bottom w:val="single" w:color="auto" w:sz="4" w:space="0"/>
        <w:right w:val="single" w:color="auto" w:sz="4" w:space="0"/>
      </w:pBdr>
    </w:pPr>
    <w:rPr>
      <w:b/>
      <w:bCs/>
      <w:lang w:eastAsia="ru-RU"/>
    </w:rPr>
  </w:style>
  <w:style w:type="paragraph" w:styleId="1272" w:customStyle="1">
    <w:name w:val="xl67"/>
    <w:basedOn w:val="754"/>
    <w:pPr>
      <w:spacing w:before="100" w:beforeAutospacing="1" w:after="100" w:afterAutospacing="1"/>
      <w:widowControl/>
      <w:pBdr>
        <w:top w:val="single" w:color="auto" w:sz="4" w:space="0"/>
        <w:left w:val="single" w:color="auto" w:sz="4" w:space="0"/>
        <w:bottom w:val="single" w:color="auto" w:sz="4" w:space="0"/>
        <w:right w:val="single" w:color="auto" w:sz="4" w:space="0"/>
      </w:pBdr>
    </w:pPr>
    <w:rPr>
      <w:b/>
      <w:bCs/>
      <w:lang w:eastAsia="ru-RU"/>
    </w:rPr>
  </w:style>
  <w:style w:type="paragraph" w:styleId="1273" w:customStyle="1">
    <w:name w:val="xl68"/>
    <w:basedOn w:val="754"/>
    <w:pPr>
      <w:jc w:val="center"/>
      <w:spacing w:before="100" w:beforeAutospacing="1" w:after="100" w:afterAutospacing="1"/>
      <w:widowControl/>
      <w:pBdr>
        <w:top w:val="single" w:color="auto" w:sz="4" w:space="0"/>
        <w:left w:val="single" w:color="auto" w:sz="4" w:space="0"/>
        <w:bottom w:val="single" w:color="auto" w:sz="4" w:space="0"/>
      </w:pBdr>
    </w:pPr>
    <w:rPr>
      <w:lang w:eastAsia="ru-RU"/>
    </w:rPr>
  </w:style>
  <w:style w:type="paragraph" w:styleId="1274" w:customStyle="1">
    <w:name w:val="xl69"/>
    <w:basedOn w:val="754"/>
    <w:pPr>
      <w:jc w:val="center"/>
      <w:spacing w:before="100" w:beforeAutospacing="1" w:after="100" w:afterAutospacing="1"/>
      <w:widowControl/>
      <w:pBdr>
        <w:top w:val="single" w:color="auto" w:sz="4" w:space="0"/>
        <w:bottom w:val="single" w:color="auto" w:sz="4" w:space="0"/>
      </w:pBdr>
    </w:pPr>
    <w:rPr>
      <w:lang w:eastAsia="ru-RU"/>
    </w:rPr>
  </w:style>
  <w:style w:type="paragraph" w:styleId="1275" w:customStyle="1">
    <w:name w:val="xl70"/>
    <w:basedOn w:val="754"/>
    <w:pPr>
      <w:jc w:val="center"/>
      <w:spacing w:before="100" w:beforeAutospacing="1" w:after="100" w:afterAutospacing="1"/>
      <w:widowControl/>
      <w:pBdr>
        <w:top w:val="single" w:color="auto" w:sz="4" w:space="0"/>
        <w:bottom w:val="single" w:color="auto" w:sz="4" w:space="0"/>
        <w:right w:val="single" w:color="auto" w:sz="4" w:space="0"/>
      </w:pBdr>
    </w:pPr>
    <w:rPr>
      <w:lang w:eastAsia="ru-RU"/>
    </w:rPr>
  </w:style>
  <w:style w:type="paragraph" w:styleId="1276" w:customStyle="1">
    <w:name w:val="xl71"/>
    <w:basedOn w:val="754"/>
    <w:pPr>
      <w:jc w:val="center"/>
      <w:spacing w:before="100" w:beforeAutospacing="1" w:after="100" w:afterAutospacing="1"/>
      <w:widowControl/>
      <w:pBdr>
        <w:top w:val="single" w:color="auto" w:sz="4" w:space="0"/>
        <w:left w:val="single" w:color="auto" w:sz="4" w:space="0"/>
        <w:bottom w:val="single" w:color="auto" w:sz="4" w:space="0"/>
      </w:pBdr>
    </w:pPr>
    <w:rPr>
      <w:b/>
      <w:bCs/>
      <w:lang w:eastAsia="ru-RU"/>
    </w:rPr>
  </w:style>
  <w:style w:type="paragraph" w:styleId="1277" w:customStyle="1">
    <w:name w:val="xl72"/>
    <w:basedOn w:val="754"/>
    <w:pPr>
      <w:jc w:val="center"/>
      <w:spacing w:before="100" w:beforeAutospacing="1" w:after="100" w:afterAutospacing="1"/>
      <w:widowControl/>
      <w:pBdr>
        <w:top w:val="single" w:color="auto" w:sz="4" w:space="0"/>
        <w:bottom w:val="single" w:color="auto" w:sz="4" w:space="0"/>
      </w:pBdr>
    </w:pPr>
    <w:rPr>
      <w:b/>
      <w:bCs/>
      <w:lang w:eastAsia="ru-RU"/>
    </w:rPr>
  </w:style>
  <w:style w:type="paragraph" w:styleId="1278" w:customStyle="1">
    <w:name w:val="xl73"/>
    <w:basedOn w:val="754"/>
    <w:pPr>
      <w:jc w:val="center"/>
      <w:spacing w:before="100" w:beforeAutospacing="1" w:after="100" w:afterAutospacing="1"/>
      <w:widowControl/>
      <w:pBdr>
        <w:top w:val="single" w:color="auto" w:sz="4" w:space="0"/>
        <w:bottom w:val="single" w:color="auto" w:sz="4" w:space="0"/>
        <w:right w:val="single" w:color="auto" w:sz="4" w:space="0"/>
      </w:pBdr>
    </w:pPr>
    <w:rPr>
      <w:b/>
      <w:bCs/>
      <w:lang w:eastAsia="ru-RU"/>
    </w:rPr>
  </w:style>
  <w:style w:type="paragraph" w:styleId="1279" w:customStyle="1">
    <w:name w:val="xl74"/>
    <w:basedOn w:val="754"/>
    <w:pPr>
      <w:spacing w:before="100" w:beforeAutospacing="1" w:after="100" w:afterAutospacing="1"/>
      <w:widowControl/>
      <w:pBdr>
        <w:top w:val="single" w:color="auto" w:sz="4" w:space="0"/>
        <w:left w:val="single" w:color="auto" w:sz="4" w:space="0"/>
        <w:bottom w:val="single" w:color="auto" w:sz="4" w:space="0"/>
      </w:pBdr>
    </w:pPr>
    <w:rPr>
      <w:lang w:eastAsia="ru-RU"/>
    </w:rPr>
  </w:style>
  <w:style w:type="paragraph" w:styleId="1280" w:customStyle="1">
    <w:name w:val="xl75"/>
    <w:basedOn w:val="754"/>
    <w:pPr>
      <w:spacing w:before="100" w:beforeAutospacing="1" w:after="100" w:afterAutospacing="1"/>
      <w:widowControl/>
      <w:pBdr>
        <w:top w:val="single" w:color="auto" w:sz="4" w:space="0"/>
        <w:bottom w:val="single" w:color="auto" w:sz="4" w:space="0"/>
      </w:pBdr>
    </w:pPr>
    <w:rPr>
      <w:lang w:eastAsia="ru-RU"/>
    </w:rPr>
  </w:style>
  <w:style w:type="paragraph" w:styleId="1281" w:customStyle="1">
    <w:name w:val="xl76"/>
    <w:basedOn w:val="754"/>
    <w:pPr>
      <w:spacing w:before="100" w:beforeAutospacing="1" w:after="100" w:afterAutospacing="1"/>
      <w:widowControl/>
      <w:pBdr>
        <w:top w:val="single" w:color="auto" w:sz="4" w:space="0"/>
        <w:bottom w:val="single" w:color="auto" w:sz="4" w:space="0"/>
        <w:right w:val="single" w:color="auto" w:sz="4" w:space="0"/>
      </w:pBdr>
    </w:pPr>
    <w:rPr>
      <w:lang w:eastAsia="ru-RU"/>
    </w:rPr>
  </w:style>
  <w:style w:type="paragraph" w:styleId="1282" w:customStyle="1">
    <w:name w:val="xl77"/>
    <w:basedOn w:val="754"/>
    <w:pPr>
      <w:jc w:val="center"/>
      <w:spacing w:before="100" w:beforeAutospacing="1" w:after="100" w:afterAutospacing="1"/>
      <w:widowControl/>
      <w:pBdr>
        <w:top w:val="single" w:color="auto" w:sz="4" w:space="0"/>
        <w:left w:val="single" w:color="auto" w:sz="4" w:space="0"/>
        <w:bottom w:val="single" w:color="auto" w:sz="4" w:space="0"/>
      </w:pBdr>
    </w:pPr>
    <w:rPr>
      <w:sz w:val="16"/>
      <w:szCs w:val="16"/>
      <w:lang w:eastAsia="ru-RU"/>
    </w:rPr>
  </w:style>
  <w:style w:type="paragraph" w:styleId="1283" w:customStyle="1">
    <w:name w:val="xl78"/>
    <w:basedOn w:val="754"/>
    <w:pPr>
      <w:jc w:val="center"/>
      <w:spacing w:before="100" w:beforeAutospacing="1" w:after="100" w:afterAutospacing="1"/>
      <w:widowControl/>
      <w:pBdr>
        <w:top w:val="single" w:color="auto" w:sz="4" w:space="0"/>
        <w:bottom w:val="single" w:color="auto" w:sz="4" w:space="0"/>
      </w:pBdr>
    </w:pPr>
    <w:rPr>
      <w:sz w:val="16"/>
      <w:szCs w:val="16"/>
      <w:lang w:eastAsia="ru-RU"/>
    </w:rPr>
  </w:style>
  <w:style w:type="paragraph" w:styleId="1284" w:customStyle="1">
    <w:name w:val="xl79"/>
    <w:basedOn w:val="754"/>
    <w:pPr>
      <w:jc w:val="center"/>
      <w:spacing w:before="100" w:beforeAutospacing="1" w:after="100" w:afterAutospacing="1"/>
      <w:widowControl/>
      <w:pBdr>
        <w:top w:val="single" w:color="auto" w:sz="4" w:space="0"/>
        <w:bottom w:val="single" w:color="auto" w:sz="4" w:space="0"/>
        <w:right w:val="single" w:color="auto" w:sz="4" w:space="0"/>
      </w:pBdr>
    </w:pPr>
    <w:rPr>
      <w:sz w:val="16"/>
      <w:szCs w:val="16"/>
      <w:lang w:eastAsia="ru-RU"/>
    </w:rPr>
  </w:style>
  <w:style w:type="character" w:styleId="1285" w:customStyle="1">
    <w:name w:val="Heading 1 Char"/>
    <w:rPr>
      <w:b/>
      <w:bCs/>
      <w:sz w:val="28"/>
      <w:szCs w:val="28"/>
      <w:lang w:val="ru-RU"/>
    </w:rPr>
  </w:style>
  <w:style w:type="numbering" w:styleId="1286" w:customStyle="1">
    <w:name w:val="Стиль маркированный"/>
    <w:basedOn w:val="757"/>
    <w:pPr>
      <w:numPr>
        <w:numId w:val="12"/>
      </w:numPr>
    </w:pPr>
  </w:style>
  <w:style w:type="paragraph" w:styleId="1287" w:customStyle="1">
    <w:name w:val="Основной текст с отступом.Мой Заголовок 1"/>
    <w:basedOn w:val="754"/>
    <w:pPr>
      <w:jc w:val="center"/>
      <w:tabs>
        <w:tab w:val="left" w:pos="6237" w:leader="none"/>
      </w:tabs>
    </w:pPr>
    <w:rPr>
      <w:sz w:val="28"/>
      <w:szCs w:val="28"/>
      <w:lang w:val="en-US" w:eastAsia="ru-RU"/>
    </w:rPr>
  </w:style>
  <w:style w:type="paragraph" w:styleId="1288" w:customStyle="1">
    <w:name w:val="Text body indent"/>
    <w:pPr>
      <w:ind w:firstLine="709"/>
      <w:spacing w:after="0" w:line="240" w:lineRule="auto"/>
    </w:pPr>
    <w:rPr>
      <w:rFonts w:ascii="Times New Roman" w:hAnsi="Times New Roman" w:eastAsia="Arial" w:cs="Times New Roman"/>
      <w:sz w:val="24"/>
      <w:szCs w:val="24"/>
      <w:lang w:eastAsia="ja-JP"/>
    </w:rPr>
  </w:style>
  <w:style w:type="numbering" w:styleId="1289" w:customStyle="1">
    <w:name w:val="WW8Num2"/>
    <w:basedOn w:val="757"/>
    <w:pPr>
      <w:numPr>
        <w:numId w:val="13"/>
      </w:numPr>
    </w:pPr>
  </w:style>
  <w:style w:type="paragraph" w:styleId="1290" w:customStyle="1">
    <w:name w:val="FR2"/>
    <w:pPr>
      <w:spacing w:after="0" w:line="240" w:lineRule="auto"/>
      <w:widowControl w:val="off"/>
    </w:pPr>
    <w:rPr>
      <w:rFonts w:ascii="Times New Roman" w:hAnsi="Times New Roman" w:eastAsia="Arial" w:cs="Times New Roman"/>
      <w:sz w:val="20"/>
      <w:szCs w:val="24"/>
      <w:lang w:eastAsia="zh-CN"/>
    </w:rPr>
  </w:style>
  <w:style w:type="character" w:styleId="1291" w:customStyle="1">
    <w:name w:val="apple-converted-space"/>
  </w:style>
  <w:style w:type="character" w:styleId="1292" w:customStyle="1">
    <w:name w:val="Font Style74"/>
    <w:uiPriority w:val="99"/>
    <w:rPr>
      <w:rFonts w:ascii="Times New Roman" w:hAnsi="Times New Roman" w:cs="Times New Roman"/>
      <w:sz w:val="20"/>
      <w:szCs w:val="20"/>
    </w:rPr>
  </w:style>
  <w:style w:type="table" w:styleId="1293" w:customStyle="1">
    <w:name w:val="Средняя заливка 2 - Акцент 52"/>
    <w:basedOn w:val="756"/>
    <w:next w:val="1252"/>
    <w:uiPriority w:val="64"/>
    <w:pPr>
      <w:spacing w:after="0" w:line="240" w:lineRule="auto"/>
    </w:pPr>
    <w:rPr>
      <w:rFonts w:ascii="Calibri" w:hAnsi="Calibri" w:eastAsia="Times New Roman" w:cs="Times New Roman"/>
    </w:rPr>
    <w:tblPr>
      <w:tblStyleRowBandSize w:val="1"/>
      <w:tblStyleColBandSize w:val="1"/>
      <w:tblInd w:w="0" w:type="dxa"/>
      <w:tblBorders>
        <w:top w:val="single" w:color="000000" w:sz="18" w:space="0"/>
        <w:bottom w:val="single" w:color="000000" w:sz="18" w:space="0"/>
      </w:tblBorders>
      <w:tblCellMar>
        <w:left w:w="108" w:type="dxa"/>
        <w:top w:w="0" w:type="dxa"/>
        <w:right w:w="108" w:type="dxa"/>
        <w:bottom w:w="0" w:type="dxa"/>
      </w:tblCellMar>
    </w:tblPr>
    <w:tblStylePr w:type="band1Horz">
      <w:tcPr>
        <w:shd w:val="clear" w:color="auto" w:fill="cecece"/>
      </w:tcPr>
    </w:tblStylePr>
    <w:tblStylePr w:type="band1Vert">
      <w:tcPr>
        <w:shd w:val="clear" w:color="auto" w:fill="cecece"/>
        <w:tcBorders>
          <w:left w:val="none" w:color="000000" w:sz="4" w:space="0"/>
          <w:right w:val="none" w:color="000000" w:sz="4" w:space="0"/>
          <w:insideH w:val="none" w:color="000000" w:sz="4" w:space="0"/>
          <w:insideV w:val="none" w:color="000000" w:sz="4" w:space="0"/>
        </w:tcBorders>
      </w:tcPr>
    </w:tblStylePr>
    <w:tblStylePr w:type="firstCol">
      <w:rPr>
        <w:b/>
        <w:bCs/>
        <w:color w:val="f4f4f4"/>
      </w:rPr>
      <w:tcPr>
        <w:shd w:val="clear" w:color="auto" w:fill="4bacc6"/>
        <w:tcBorders>
          <w:top w:val="none" w:color="000000" w:sz="4" w:space="0"/>
          <w:left w:val="none" w:color="000000" w:sz="4" w:space="0"/>
          <w:bottom w:val="single" w:color="auto" w:sz="18" w:space="0"/>
          <w:right w:val="none" w:color="000000" w:sz="4" w:space="0"/>
          <w:insideH w:val="none" w:color="000000" w:sz="4" w:space="0"/>
          <w:insideV w:val="none" w:color="000000" w:sz="4" w:space="0"/>
        </w:tcBorders>
      </w:tcPr>
    </w:tblStylePr>
    <w:tblStylePr w:type="firstRow">
      <w:rPr>
        <w:b/>
        <w:bCs/>
        <w:color w:val="f4f4f4"/>
      </w:rPr>
      <w:pPr>
        <w:spacing w:before="0" w:after="0" w:line="240" w:lineRule="auto"/>
      </w:pPr>
      <w:tcPr>
        <w:shd w:val="clear" w:color="auto" w:fill="4bacc6"/>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tblStylePr w:type="lastCol">
      <w:rPr>
        <w:b/>
        <w:bCs/>
        <w:color w:val="f4f4f4"/>
      </w:rPr>
      <w:tcPr>
        <w:shd w:val="clear" w:color="auto" w:fill="4bacc6"/>
        <w:tcBorders>
          <w:left w:val="none" w:color="000000" w:sz="4" w:space="0"/>
          <w:right w:val="none" w:color="000000" w:sz="4" w:space="0"/>
          <w:insideH w:val="none" w:color="000000" w:sz="4" w:space="0"/>
          <w:insideV w:val="none" w:color="000000" w:sz="4" w:space="0"/>
        </w:tcBorders>
      </w:tcPr>
    </w:tblStylePr>
    <w:tblStylePr w:type="lastRow">
      <w:pPr>
        <w:spacing w:before="0" w:after="0" w:line="240" w:lineRule="auto"/>
      </w:pPr>
      <w:tcPr>
        <w:shd w:val="clear" w:color="auto" w:fill="f4f4f4"/>
        <w:tcBorders>
          <w:top w:val="single" w:color="auto" w:sz="6" w:space="0"/>
          <w:left w:val="none" w:color="000000" w:sz="4" w:space="0"/>
          <w:bottom w:val="single" w:color="auto" w:sz="18" w:space="0"/>
          <w:right w:val="none" w:color="000000" w:sz="4" w:space="0"/>
          <w:insideH w:val="none" w:color="000000" w:sz="4" w:space="0"/>
          <w:insideV w:val="none" w:color="000000" w:sz="4" w:space="0"/>
        </w:tcBorders>
      </w:tcPr>
    </w:tblStylePr>
    <w:tblStylePr w:type="nwCell">
      <w:rPr>
        <w:color w:val="f4f4f4"/>
      </w:rPr>
      <w:tcPr>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tblStylePr w:type="neCell">
      <w:tcPr>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style>
  <w:style w:type="table" w:styleId="1294" w:customStyle="1">
    <w:name w:val="Средняя заливка 2 - Акцент 511"/>
    <w:basedOn w:val="756"/>
    <w:next w:val="1252"/>
    <w:uiPriority w:val="64"/>
    <w:pPr>
      <w:spacing w:after="0" w:line="240" w:lineRule="auto"/>
    </w:pPr>
    <w:rPr>
      <w:rFonts w:ascii="Calibri" w:hAnsi="Calibri" w:eastAsia="Times New Roman" w:cs="Times New Roman"/>
    </w:rPr>
    <w:tblPr>
      <w:tblStyleRowBandSize w:val="1"/>
      <w:tblStyleColBandSize w:val="1"/>
      <w:tblInd w:w="0" w:type="dxa"/>
      <w:tblBorders>
        <w:top w:val="single" w:color="000000" w:sz="18" w:space="0"/>
        <w:bottom w:val="single" w:color="000000" w:sz="18" w:space="0"/>
      </w:tblBorders>
      <w:tblCellMar>
        <w:left w:w="108" w:type="dxa"/>
        <w:top w:w="0" w:type="dxa"/>
        <w:right w:w="108" w:type="dxa"/>
        <w:bottom w:w="0" w:type="dxa"/>
      </w:tblCellMar>
    </w:tblPr>
    <w:tblStylePr w:type="band1Horz">
      <w:tcPr>
        <w:shd w:val="clear" w:color="auto" w:fill="cecece"/>
      </w:tcPr>
    </w:tblStylePr>
    <w:tblStylePr w:type="band1Vert">
      <w:tcPr>
        <w:shd w:val="clear" w:color="auto" w:fill="cecece"/>
        <w:tcBorders>
          <w:left w:val="none" w:color="000000" w:sz="4" w:space="0"/>
          <w:right w:val="none" w:color="000000" w:sz="4" w:space="0"/>
          <w:insideH w:val="none" w:color="000000" w:sz="4" w:space="0"/>
          <w:insideV w:val="none" w:color="000000" w:sz="4" w:space="0"/>
        </w:tcBorders>
      </w:tcPr>
    </w:tblStylePr>
    <w:tblStylePr w:type="firstCol">
      <w:rPr>
        <w:b/>
        <w:bCs/>
        <w:color w:val="f4f4f4"/>
      </w:rPr>
      <w:tcPr>
        <w:shd w:val="clear" w:color="auto" w:fill="4bacc6"/>
        <w:tcBorders>
          <w:top w:val="none" w:color="000000" w:sz="4" w:space="0"/>
          <w:left w:val="none" w:color="000000" w:sz="4" w:space="0"/>
          <w:bottom w:val="single" w:color="auto" w:sz="18" w:space="0"/>
          <w:right w:val="none" w:color="000000" w:sz="4" w:space="0"/>
          <w:insideH w:val="none" w:color="000000" w:sz="4" w:space="0"/>
          <w:insideV w:val="none" w:color="000000" w:sz="4" w:space="0"/>
        </w:tcBorders>
      </w:tcPr>
    </w:tblStylePr>
    <w:tblStylePr w:type="firstRow">
      <w:rPr>
        <w:b/>
        <w:bCs/>
        <w:color w:val="f4f4f4"/>
      </w:rPr>
      <w:pPr>
        <w:spacing w:before="0" w:after="0" w:line="240" w:lineRule="auto"/>
      </w:pPr>
      <w:tcPr>
        <w:shd w:val="clear" w:color="auto" w:fill="4bacc6"/>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tblStylePr w:type="lastCol">
      <w:rPr>
        <w:b/>
        <w:bCs/>
        <w:color w:val="f4f4f4"/>
      </w:rPr>
      <w:tcPr>
        <w:shd w:val="clear" w:color="auto" w:fill="4bacc6"/>
        <w:tcBorders>
          <w:left w:val="none" w:color="000000" w:sz="4" w:space="0"/>
          <w:right w:val="none" w:color="000000" w:sz="4" w:space="0"/>
          <w:insideH w:val="none" w:color="000000" w:sz="4" w:space="0"/>
          <w:insideV w:val="none" w:color="000000" w:sz="4" w:space="0"/>
        </w:tcBorders>
      </w:tcPr>
    </w:tblStylePr>
    <w:tblStylePr w:type="lastRow">
      <w:pPr>
        <w:spacing w:before="0" w:after="0" w:line="240" w:lineRule="auto"/>
      </w:pPr>
      <w:tcPr>
        <w:shd w:val="clear" w:color="auto" w:fill="f4f4f4"/>
        <w:tcBorders>
          <w:top w:val="single" w:color="auto" w:sz="6" w:space="0"/>
          <w:left w:val="none" w:color="000000" w:sz="4" w:space="0"/>
          <w:bottom w:val="single" w:color="auto" w:sz="18" w:space="0"/>
          <w:right w:val="none" w:color="000000" w:sz="4" w:space="0"/>
          <w:insideH w:val="none" w:color="000000" w:sz="4" w:space="0"/>
          <w:insideV w:val="none" w:color="000000" w:sz="4" w:space="0"/>
        </w:tcBorders>
      </w:tcPr>
    </w:tblStylePr>
    <w:tblStylePr w:type="nwCell">
      <w:rPr>
        <w:color w:val="f4f4f4"/>
      </w:rPr>
      <w:tcPr>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tblStylePr w:type="neCell">
      <w:tcPr>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style>
  <w:style w:type="paragraph" w:styleId="1295" w:customStyle="1">
    <w:name w:val="Заголовок 4_"/>
    <w:basedOn w:val="903"/>
    <w:qFormat/>
    <w:pPr>
      <w:ind w:left="993"/>
      <w:keepLines w:val="0"/>
      <w:spacing w:before="120" w:after="120"/>
      <w:widowControl/>
      <w:tabs>
        <w:tab w:val="left" w:pos="1276" w:leader="none"/>
      </w:tabs>
    </w:pPr>
    <w:rPr>
      <w:rFonts w:ascii="Times New Roman" w:hAnsi="Times New Roman" w:eastAsia="Times New Roman" w:cs="Times New Roman"/>
      <w:b/>
      <w:bCs/>
      <w:color w:val="auto"/>
      <w:sz w:val="26"/>
      <w:szCs w:val="26"/>
    </w:rPr>
  </w:style>
  <w:style w:type="paragraph" w:styleId="1296" w:customStyle="1">
    <w:name w:val="Основной текст с отступом 22"/>
    <w:basedOn w:val="754"/>
    <w:pPr>
      <w:ind w:firstLine="284"/>
      <w:jc w:val="both"/>
      <w:spacing w:before="120" w:after="120"/>
    </w:pPr>
    <w:rPr>
      <w:sz w:val="24"/>
      <w:lang w:eastAsia="ru-RU"/>
    </w:rPr>
  </w:style>
  <w:style w:type="paragraph" w:styleId="1297" w:customStyle="1">
    <w:name w:val="ГП_Обычный"/>
    <w:link w:val="1298"/>
    <w:qFormat/>
    <w:pPr>
      <w:contextualSpacing/>
      <w:ind w:firstLine="709"/>
      <w:jc w:val="both"/>
      <w:spacing w:after="120" w:line="240" w:lineRule="auto"/>
    </w:pPr>
    <w:rPr>
      <w:rFonts w:ascii="PT Sans" w:hAnsi="PT Sans" w:eastAsia="Times New Roman" w:cs="Arial"/>
      <w:sz w:val="24"/>
      <w:szCs w:val="24"/>
      <w:lang w:eastAsia="ru-RU"/>
    </w:rPr>
  </w:style>
  <w:style w:type="character" w:styleId="1298" w:customStyle="1">
    <w:name w:val="ГП_Обычный Знак"/>
    <w:link w:val="1297"/>
    <w:rPr>
      <w:rFonts w:ascii="PT Sans" w:hAnsi="PT Sans" w:eastAsia="Times New Roman" w:cs="Arial"/>
      <w:sz w:val="24"/>
      <w:szCs w:val="24"/>
      <w:lang w:eastAsia="ru-RU"/>
    </w:rPr>
  </w:style>
  <w:style w:type="paragraph" w:styleId="1299" w:customStyle="1">
    <w:name w:val="Geonika Обычный текст"/>
    <w:basedOn w:val="754"/>
    <w:link w:val="1300"/>
    <w:qFormat/>
    <w:pPr>
      <w:ind w:firstLine="567"/>
      <w:jc w:val="both"/>
      <w:spacing w:before="120" w:after="60"/>
      <w:widowControl/>
    </w:pPr>
    <w:rPr>
      <w:rFonts w:ascii="Calibri" w:hAnsi="Calibri"/>
      <w:sz w:val="24"/>
      <w:szCs w:val="24"/>
      <w:lang w:bidi="en-US"/>
    </w:rPr>
  </w:style>
  <w:style w:type="character" w:styleId="1300" w:customStyle="1">
    <w:name w:val="Geonika Обычный текст Знак"/>
    <w:link w:val="1299"/>
    <w:rPr>
      <w:rFonts w:ascii="Calibri" w:hAnsi="Calibri" w:eastAsia="Times New Roman" w:cs="Times New Roman"/>
      <w:sz w:val="24"/>
      <w:szCs w:val="24"/>
      <w:lang w:eastAsia="ar-SA" w:bidi="en-US"/>
    </w:rPr>
  </w:style>
  <w:style w:type="paragraph" w:styleId="1301" w:customStyle="1">
    <w:name w:val="- S_Маркированный"/>
    <w:basedOn w:val="754"/>
    <w:qFormat/>
    <w:pPr>
      <w:numPr>
        <w:numId w:val="14"/>
      </w:numPr>
      <w:jc w:val="both"/>
      <w:spacing w:before="60" w:after="60"/>
      <w:widowControl/>
      <w:tabs>
        <w:tab w:val="left" w:pos="1072" w:leader="none"/>
      </w:tabs>
    </w:pPr>
    <w:rPr>
      <w:rFonts w:ascii="Calibri" w:hAnsi="Calibri"/>
      <w:sz w:val="24"/>
      <w:szCs w:val="24"/>
    </w:rPr>
  </w:style>
  <w:style w:type="paragraph" w:styleId="1302" w:customStyle="1">
    <w:name w:val="rtejustify"/>
    <w:basedOn w:val="754"/>
    <w:pPr>
      <w:spacing w:before="100" w:beforeAutospacing="1" w:after="100" w:afterAutospacing="1"/>
      <w:widowControl/>
    </w:pPr>
    <w:rPr>
      <w:sz w:val="24"/>
      <w:szCs w:val="24"/>
      <w:lang w:eastAsia="ru-RU"/>
    </w:rPr>
  </w:style>
  <w:style w:type="character" w:styleId="1303" w:customStyle="1">
    <w:name w:val="Font Style50"/>
    <w:uiPriority w:val="99"/>
    <w:rPr>
      <w:rFonts w:ascii="Times New Roman" w:hAnsi="Times New Roman"/>
      <w:sz w:val="26"/>
    </w:rPr>
  </w:style>
  <w:style w:type="paragraph" w:styleId="1304" w:customStyle="1">
    <w:name w:val="S_Заголовок 2"/>
    <w:basedOn w:val="902"/>
    <w:qFormat/>
    <w:pPr>
      <w:ind w:firstLine="567"/>
      <w:keepLines w:val="0"/>
      <w:keepNext w:val="0"/>
      <w:spacing w:before="180" w:after="60"/>
      <w:widowControl/>
      <w:tabs>
        <w:tab w:val="num" w:pos="1134" w:leader="none"/>
      </w:tabs>
    </w:pPr>
    <w:rPr>
      <w:rFonts w:ascii="Times New Roman" w:hAnsi="Times New Roman" w:eastAsia="Times New Roman" w:cs="Times New Roman"/>
      <w:b/>
      <w:color w:val="auto"/>
      <w:szCs w:val="24"/>
      <w:lang w:eastAsia="zh-CN"/>
    </w:rPr>
  </w:style>
  <w:style w:type="paragraph" w:styleId="1305" w:customStyle="1">
    <w:name w:val="S_Заголовок 3"/>
    <w:basedOn w:val="903"/>
    <w:pPr>
      <w:ind w:firstLine="567"/>
      <w:keepLines w:val="0"/>
      <w:keepNext w:val="0"/>
      <w:spacing w:before="120" w:after="120"/>
      <w:widowControl/>
      <w:tabs>
        <w:tab w:val="left" w:pos="1134" w:leader="none"/>
        <w:tab w:val="num" w:pos="10643" w:leader="none"/>
      </w:tabs>
    </w:pPr>
    <w:rPr>
      <w:rFonts w:ascii="Times New Roman" w:hAnsi="Times New Roman" w:eastAsia="Times New Roman" w:cs="Times New Roman"/>
      <w:b/>
      <w:color w:val="auto"/>
      <w:sz w:val="26"/>
      <w:lang w:eastAsia="zh-CN"/>
    </w:rPr>
  </w:style>
  <w:style w:type="paragraph" w:styleId="1306" w:customStyle="1">
    <w:name w:val="S_Заголовок 4"/>
    <w:basedOn w:val="904"/>
    <w:pPr>
      <w:numPr>
        <w:ilvl w:val="0"/>
        <w:numId w:val="0"/>
      </w:numPr>
      <w:ind w:left="1800" w:hanging="720"/>
      <w:keepNext w:val="0"/>
      <w:spacing w:before="0" w:after="0"/>
      <w:tabs>
        <w:tab w:val="num" w:pos="1800" w:leader="none"/>
      </w:tabs>
    </w:pPr>
    <w:rPr>
      <w:rFonts w:ascii="Times New Roman" w:hAnsi="Times New Roman"/>
      <w:b w:val="0"/>
      <w:bCs w:val="0"/>
      <w:i/>
      <w:sz w:val="24"/>
      <w:szCs w:val="24"/>
      <w:lang w:eastAsia="zh-CN"/>
    </w:rPr>
  </w:style>
  <w:style w:type="paragraph" w:styleId="1307" w:customStyle="1">
    <w:name w:val="WW-Основной текст с отступом 2"/>
    <w:basedOn w:val="754"/>
    <w:pPr>
      <w:ind w:firstLine="851"/>
      <w:jc w:val="both"/>
    </w:pPr>
    <w:rPr>
      <w:rFonts w:eastAsia="Calibri"/>
      <w:sz w:val="28"/>
      <w:szCs w:val="24"/>
      <w:lang w:eastAsia="en-US"/>
    </w:rPr>
  </w:style>
  <w:style w:type="paragraph" w:styleId="1308" w:customStyle="1">
    <w:name w:val="Table Paragraph"/>
    <w:basedOn w:val="754"/>
    <w:uiPriority w:val="1"/>
    <w:qFormat/>
    <w:rPr>
      <w:sz w:val="22"/>
      <w:szCs w:val="22"/>
      <w:lang w:val="en-US" w:eastAsia="en-US"/>
    </w:rPr>
  </w:style>
  <w:style w:type="table" w:styleId="1309" w:customStyle="1">
    <w:name w:val="Table Normal"/>
    <w:uiPriority w:val="2"/>
    <w:semiHidden/>
    <w:qFormat/>
    <w:pPr>
      <w:spacing w:after="0" w:line="240" w:lineRule="auto"/>
      <w:widowControl w:val="off"/>
    </w:pPr>
    <w:rPr>
      <w:rFonts w:ascii="Calibri" w:hAnsi="Calibri" w:eastAsia="Calibri" w:cs="Times New Roman"/>
      <w:lang w:val="en-US"/>
    </w:rPr>
    <w:tblPr>
      <w:tblCellMar>
        <w:left w:w="0" w:type="dxa"/>
        <w:top w:w="0" w:type="dxa"/>
        <w:right w:w="0" w:type="dxa"/>
        <w:bottom w:w="0" w:type="dxa"/>
      </w:tblCellMar>
    </w:tblPr>
  </w:style>
  <w:style w:type="numbering" w:styleId="1310" w:customStyle="1">
    <w:name w:val="Нет списка11"/>
    <w:next w:val="757"/>
    <w:uiPriority w:val="99"/>
    <w:semiHidden/>
    <w:unhideWhenUsed/>
  </w:style>
  <w:style w:type="numbering" w:styleId="1311" w:customStyle="1">
    <w:name w:val="Нет списка111"/>
    <w:next w:val="757"/>
    <w:uiPriority w:val="99"/>
    <w:semiHidden/>
    <w:unhideWhenUsed/>
  </w:style>
  <w:style w:type="table" w:styleId="1312" w:customStyle="1">
    <w:name w:val="Table Grid Report1"/>
    <w:basedOn w:val="756"/>
    <w:next w:val="1065"/>
    <w:pPr>
      <w:spacing w:after="0" w:line="240" w:lineRule="auto"/>
    </w:pPr>
    <w:rPr>
      <w:rFonts w:ascii="Calibri" w:hAnsi="Calibri" w:eastAsia="Calibri" w:cs="Times New Roman"/>
      <w:sz w:val="20"/>
      <w:szCs w:val="20"/>
      <w:lang w:eastAsia="ru-RU"/>
    </w:r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paragraph" w:styleId="1313" w:customStyle="1">
    <w:name w:val="Знак Знак3"/>
    <w:basedOn w:val="754"/>
    <w:pPr>
      <w:spacing w:after="160" w:line="240" w:lineRule="exact"/>
      <w:widowControl/>
    </w:pPr>
    <w:rPr>
      <w:rFonts w:ascii="Verdana" w:hAnsi="Verdana"/>
      <w:lang w:val="en-US" w:eastAsia="en-US"/>
    </w:rPr>
  </w:style>
  <w:style w:type="numbering" w:styleId="1314" w:customStyle="1">
    <w:name w:val="1 / 1.1 / 1.1.11"/>
    <w:basedOn w:val="757"/>
    <w:next w:val="1145"/>
    <w:pPr>
      <w:numPr>
        <w:numId w:val="4"/>
      </w:numPr>
    </w:pPr>
  </w:style>
  <w:style w:type="numbering" w:styleId="1315" w:customStyle="1">
    <w:name w:val="1 / a / i1"/>
    <w:basedOn w:val="757"/>
    <w:next w:val="1148"/>
    <w:pPr>
      <w:numPr>
        <w:numId w:val="5"/>
      </w:numPr>
    </w:pPr>
  </w:style>
  <w:style w:type="table" w:styleId="1316" w:customStyle="1">
    <w:name w:val="Веб-таблица 11"/>
    <w:basedOn w:val="756"/>
    <w:next w:val="1205"/>
    <w:pPr>
      <w:spacing w:after="0" w:line="240" w:lineRule="auto"/>
    </w:pPr>
    <w:rPr>
      <w:rFonts w:ascii="Times New Roman" w:hAnsi="Times New Roman" w:eastAsia="Times New Roman" w:cs="Times New Roman"/>
      <w:sz w:val="20"/>
      <w:szCs w:val="20"/>
      <w:lang w:eastAsia="ru-RU"/>
    </w:rPr>
    <w:tblPr>
      <w:tblCellSpacing w:w="20"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left w:w="108" w:type="dxa"/>
        <w:top w:w="0" w:type="dxa"/>
        <w:right w:w="108" w:type="dxa"/>
        <w:bottom w:w="0" w:type="dxa"/>
      </w:tblCellMar>
    </w:tblPr>
    <w:trPr>
      <w:tblCellSpacing w:w="20" w:type="dxa"/>
    </w:trPr>
    <w:tcPr>
      <w:shd w:val="clear" w:color="auto" w:fill="auto"/>
    </w:tcPr>
    <w:tblStylePr w:type="firstRow">
      <w:rPr>
        <w:color w:val="auto"/>
      </w:rPr>
    </w:tblStylePr>
  </w:style>
  <w:style w:type="table" w:styleId="1317" w:customStyle="1">
    <w:name w:val="Веб-таблица 21"/>
    <w:basedOn w:val="756"/>
    <w:next w:val="1206"/>
    <w:pPr>
      <w:spacing w:after="0" w:line="240" w:lineRule="auto"/>
    </w:pPr>
    <w:rPr>
      <w:rFonts w:ascii="Times New Roman" w:hAnsi="Times New Roman" w:eastAsia="Times New Roman" w:cs="Times New Roman"/>
      <w:sz w:val="20"/>
      <w:szCs w:val="20"/>
      <w:lang w:eastAsia="ru-RU"/>
    </w:rPr>
    <w:tblPr>
      <w:tblCellSpacing w:w="20"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left w:w="108" w:type="dxa"/>
        <w:top w:w="0" w:type="dxa"/>
        <w:right w:w="108" w:type="dxa"/>
        <w:bottom w:w="0" w:type="dxa"/>
      </w:tblCellMar>
    </w:tblPr>
    <w:trPr>
      <w:tblCellSpacing w:w="20" w:type="dxa"/>
    </w:trPr>
    <w:tcPr>
      <w:shd w:val="clear" w:color="auto" w:fill="auto"/>
    </w:tcPr>
    <w:tblStylePr w:type="firstRow">
      <w:rPr>
        <w:color w:val="auto"/>
      </w:rPr>
    </w:tblStylePr>
  </w:style>
  <w:style w:type="table" w:styleId="1318" w:customStyle="1">
    <w:name w:val="Веб-таблица 31"/>
    <w:basedOn w:val="756"/>
    <w:next w:val="1207"/>
    <w:pPr>
      <w:spacing w:after="0" w:line="240" w:lineRule="auto"/>
    </w:pPr>
    <w:rPr>
      <w:rFonts w:ascii="Times New Roman" w:hAnsi="Times New Roman" w:eastAsia="Times New Roman" w:cs="Times New Roman"/>
      <w:sz w:val="20"/>
      <w:szCs w:val="20"/>
      <w:lang w:eastAsia="ru-RU"/>
    </w:rPr>
    <w:tblPr>
      <w:tblCellSpacing w:w="20" w:type="dxa"/>
      <w:tblInd w:w="0" w:type="dxa"/>
      <w:tblBorders>
        <w:top w:val="single" w:color="000000" w:sz="24" w:space="0"/>
        <w:left w:val="single" w:color="000000" w:sz="24" w:space="0"/>
        <w:bottom w:val="single" w:color="000000" w:sz="24" w:space="0"/>
        <w:right w:val="single" w:color="000000" w:sz="24" w:space="0"/>
        <w:insideH w:val="single" w:color="000000" w:sz="6" w:space="0"/>
        <w:insideV w:val="single" w:color="000000" w:sz="6" w:space="0"/>
      </w:tblBorders>
      <w:tblCellMar>
        <w:left w:w="108" w:type="dxa"/>
        <w:top w:w="0" w:type="dxa"/>
        <w:right w:w="108" w:type="dxa"/>
        <w:bottom w:w="0" w:type="dxa"/>
      </w:tblCellMar>
    </w:tblPr>
    <w:trPr>
      <w:tblCellSpacing w:w="20" w:type="dxa"/>
    </w:trPr>
    <w:tcPr>
      <w:shd w:val="clear" w:color="auto" w:fill="auto"/>
    </w:tcPr>
    <w:tblStylePr w:type="firstRow">
      <w:rPr>
        <w:color w:val="auto"/>
      </w:rPr>
    </w:tblStylePr>
  </w:style>
  <w:style w:type="table" w:styleId="1319" w:customStyle="1">
    <w:name w:val="Изысканная таблица1"/>
    <w:basedOn w:val="756"/>
    <w:next w:val="1208"/>
    <w:pPr>
      <w:spacing w:after="0" w:line="240" w:lineRule="auto"/>
    </w:pPr>
    <w:rPr>
      <w:rFonts w:ascii="Times New Roman" w:hAnsi="Times New Roman" w:eastAsia="Times New Roman" w:cs="Times New Roman"/>
      <w:sz w:val="20"/>
      <w:szCs w:val="20"/>
      <w:lang w:eastAsia="ru-RU"/>
    </w:rPr>
    <w:tblP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left w:w="108" w:type="dxa"/>
        <w:top w:w="0" w:type="dxa"/>
        <w:right w:w="108" w:type="dxa"/>
        <w:bottom w:w="0" w:type="dxa"/>
      </w:tblCellMar>
    </w:tblPr>
    <w:tcPr>
      <w:shd w:val="clear" w:color="auto" w:fill="auto"/>
    </w:tcPr>
    <w:tblStylePr w:type="firstRow">
      <w:rPr>
        <w:caps/>
        <w:color w:val="auto"/>
      </w:rPr>
    </w:tblStylePr>
  </w:style>
  <w:style w:type="table" w:styleId="1320" w:customStyle="1">
    <w:name w:val="Изящная таблица 11"/>
    <w:basedOn w:val="756"/>
    <w:next w:val="1209"/>
    <w:pPr>
      <w:spacing w:after="0" w:line="240" w:lineRule="auto"/>
    </w:pPr>
    <w:rPr>
      <w:rFonts w:ascii="Times New Roman" w:hAnsi="Times New Roman" w:eastAsia="Times New Roman" w:cs="Times New Roman"/>
      <w:sz w:val="20"/>
      <w:szCs w:val="20"/>
      <w:lang w:eastAsia="ru-RU"/>
    </w:rPr>
    <w:tblPr>
      <w:tblStyleRowBandSize w:val="1"/>
      <w:tblInd w:w="0" w:type="dxa"/>
      <w:tblCellMar>
        <w:left w:w="108" w:type="dxa"/>
        <w:top w:w="0" w:type="dxa"/>
        <w:right w:w="108" w:type="dxa"/>
        <w:bottom w:w="0" w:type="dxa"/>
      </w:tblCellMar>
    </w:tblPr>
    <w:tblStylePr w:type="band1Horz">
      <w:tcPr>
        <w:shd w:val="pct25" w:color="808000" w:fill="ffffff"/>
        <w:tcBorders>
          <w:bottom w:val="single" w:color="000000" w:sz="6" w:space="0"/>
        </w:tcBorders>
      </w:tcPr>
    </w:tblStylePr>
    <w:tblStylePr w:type="firstCol">
      <w:tcPr>
        <w:tcBorders>
          <w:right w:val="single" w:color="000000" w:sz="12" w:space="0"/>
        </w:tcBorders>
      </w:tcPr>
    </w:tblStylePr>
    <w:tblStylePr w:type="firstRow">
      <w:tcPr>
        <w:tcBorders>
          <w:top w:val="single" w:color="000000" w:sz="6" w:space="0"/>
          <w:bottom w:val="single" w:color="000000" w:sz="12" w:space="0"/>
        </w:tcBorders>
      </w:tcPr>
    </w:tblStylePr>
    <w:tblStylePr w:type="lastCol">
      <w:tcPr>
        <w:tcBorders>
          <w:left w:val="single" w:color="000000" w:sz="12" w:space="0"/>
        </w:tcBorders>
      </w:tcPr>
    </w:tblStylePr>
    <w:tblStylePr w:type="lastRow">
      <w:tcPr>
        <w:shd w:val="pct25" w:color="800080" w:fill="ffffff"/>
        <w:tcBorders>
          <w:top w:val="single" w:color="000000" w:sz="12" w:space="0"/>
        </w:tcBorders>
      </w:tcPr>
    </w:tblStylePr>
    <w:tblStylePr w:type="neCell">
      <w:rPr>
        <w:b/>
        <w:bCs/>
      </w:rPr>
    </w:tblStylePr>
    <w:tblStylePr w:type="swCell">
      <w:rPr>
        <w:b/>
        <w:bCs/>
      </w:rPr>
    </w:tblStylePr>
  </w:style>
  <w:style w:type="table" w:styleId="1321" w:customStyle="1">
    <w:name w:val="Изящная таблица 21"/>
    <w:basedOn w:val="756"/>
    <w:next w:val="1210"/>
    <w:pPr>
      <w:spacing w:after="0" w:line="240" w:lineRule="auto"/>
    </w:pPr>
    <w:rPr>
      <w:rFonts w:ascii="Times New Roman" w:hAnsi="Times New Roman" w:eastAsia="Times New Roman" w:cs="Times New Roman"/>
      <w:sz w:val="20"/>
      <w:szCs w:val="20"/>
      <w:lang w:eastAsia="ru-RU"/>
    </w:rPr>
    <w:tblPr>
      <w:tblInd w:w="0" w:type="dxa"/>
      <w:tblBorders>
        <w:left w:val="single" w:color="000000" w:sz="6" w:space="0"/>
        <w:right w:val="single" w:color="000000" w:sz="6" w:space="0"/>
      </w:tblBorders>
      <w:tblCellMar>
        <w:left w:w="108" w:type="dxa"/>
        <w:top w:w="0" w:type="dxa"/>
        <w:right w:w="108" w:type="dxa"/>
        <w:bottom w:w="0" w:type="dxa"/>
      </w:tblCellMar>
    </w:tblPr>
    <w:tblStylePr w:type="firstCol">
      <w:tcPr>
        <w:shd w:val="pct25" w:color="008000" w:fill="ffffff"/>
        <w:tcBorders>
          <w:right w:val="single" w:color="000000" w:sz="12" w:space="0"/>
        </w:tcBorders>
      </w:tcPr>
    </w:tblStylePr>
    <w:tblStylePr w:type="firstRow">
      <w:tcPr>
        <w:tcBorders>
          <w:bottom w:val="single" w:color="000000" w:sz="12" w:space="0"/>
        </w:tcBorders>
      </w:tcPr>
    </w:tblStylePr>
    <w:tblStylePr w:type="lastCol">
      <w:tcPr>
        <w:shd w:val="pct25" w:color="808000" w:fill="ffffff"/>
        <w:tcBorders>
          <w:left w:val="single" w:color="000000" w:sz="12" w:space="0"/>
        </w:tcBorders>
      </w:tcPr>
    </w:tblStylePr>
    <w:tblStylePr w:type="lastRow">
      <w:tcPr>
        <w:tcBorders>
          <w:top w:val="single" w:color="000000" w:sz="12" w:space="0"/>
        </w:tcBorders>
      </w:tcPr>
    </w:tblStylePr>
    <w:tblStylePr w:type="neCell">
      <w:rPr>
        <w:b/>
        <w:bCs/>
      </w:rPr>
    </w:tblStylePr>
    <w:tblStylePr w:type="swCell">
      <w:rPr>
        <w:b/>
        <w:bCs/>
      </w:rPr>
    </w:tblStylePr>
  </w:style>
  <w:style w:type="table" w:styleId="1322" w:customStyle="1">
    <w:name w:val="Классическая таблица 11"/>
    <w:basedOn w:val="756"/>
    <w:next w:val="1211"/>
    <w:pPr>
      <w:spacing w:after="0" w:line="240" w:lineRule="auto"/>
    </w:pPr>
    <w:rPr>
      <w:rFonts w:ascii="Times New Roman" w:hAnsi="Times New Roman" w:eastAsia="Times New Roman" w:cs="Times New Roman"/>
      <w:sz w:val="20"/>
      <w:szCs w:val="20"/>
      <w:lang w:eastAsia="ru-RU"/>
    </w:rPr>
    <w:tblPr>
      <w:tblInd w:w="0" w:type="dxa"/>
      <w:tblBorders>
        <w:top w:val="single" w:color="000000" w:sz="12" w:space="0"/>
        <w:bottom w:val="single" w:color="000000" w:sz="12" w:space="0"/>
      </w:tblBorders>
      <w:tblCellMar>
        <w:left w:w="108" w:type="dxa"/>
        <w:top w:w="0" w:type="dxa"/>
        <w:right w:w="108" w:type="dxa"/>
        <w:bottom w:w="0" w:type="dxa"/>
      </w:tblCellMar>
    </w:tblPr>
    <w:tcPr>
      <w:shd w:val="clear" w:color="auto" w:fill="auto"/>
    </w:tcPr>
    <w:tblStylePr w:type="firstCol">
      <w:tcPr>
        <w:tcBorders>
          <w:right w:val="single" w:color="000000" w:sz="6" w:space="0"/>
        </w:tcBorders>
      </w:tcPr>
    </w:tblStylePr>
    <w:tblStylePr w:type="firstRow">
      <w:rPr>
        <w:i/>
        <w:iCs/>
      </w:rPr>
      <w:tcPr>
        <w:tcBorders>
          <w:bottom w:val="single" w:color="000000" w:sz="6" w:space="0"/>
        </w:tcBorders>
      </w:tcPr>
    </w:tblStylePr>
    <w:tblStylePr w:type="lastRow">
      <w:rPr>
        <w:color w:val="auto"/>
      </w:rPr>
      <w:tcPr>
        <w:tcBorders>
          <w:top w:val="single" w:color="000000" w:sz="6" w:space="0"/>
        </w:tcBorders>
      </w:tcPr>
    </w:tblStylePr>
    <w:tblStylePr w:type="neCell">
      <w:rPr>
        <w:b/>
        <w:bCs/>
        <w:i w:val="0"/>
        <w:iCs w:val="0"/>
      </w:rPr>
    </w:tblStylePr>
    <w:tblStylePr w:type="swCell">
      <w:rPr>
        <w:b/>
        <w:bCs/>
      </w:rPr>
    </w:tblStylePr>
  </w:style>
  <w:style w:type="table" w:styleId="1323" w:customStyle="1">
    <w:name w:val="Классическая таблица 21"/>
    <w:basedOn w:val="756"/>
    <w:next w:val="1212"/>
    <w:pPr>
      <w:spacing w:after="0" w:line="240" w:lineRule="auto"/>
    </w:pPr>
    <w:rPr>
      <w:rFonts w:ascii="Times New Roman" w:hAnsi="Times New Roman" w:eastAsia="Times New Roman" w:cs="Times New Roman"/>
      <w:sz w:val="20"/>
      <w:szCs w:val="20"/>
      <w:lang w:eastAsia="ru-RU"/>
    </w:rPr>
    <w:tblPr>
      <w:tblInd w:w="0" w:type="dxa"/>
      <w:tblBorders>
        <w:top w:val="single" w:color="000000" w:sz="12" w:space="0"/>
        <w:bottom w:val="single" w:color="000000" w:sz="12" w:space="0"/>
      </w:tblBorders>
      <w:tblCellMar>
        <w:left w:w="108" w:type="dxa"/>
        <w:top w:w="0" w:type="dxa"/>
        <w:right w:w="108" w:type="dxa"/>
        <w:bottom w:w="0" w:type="dxa"/>
      </w:tblCellMar>
    </w:tblPr>
    <w:tcPr>
      <w:shd w:val="clear" w:color="auto" w:fill="auto"/>
    </w:tcPr>
    <w:tblStylePr w:type="firstCol">
      <w:rPr>
        <w:b/>
        <w:bCs/>
      </w:rPr>
      <w:tcPr>
        <w:shd w:val="solid" w:color="c0c0c0" w:fill="ffffff"/>
      </w:tcPr>
    </w:tblStylePr>
    <w:tblStylePr w:type="firstRow">
      <w:rPr>
        <w:color w:val="ffffff"/>
      </w:rPr>
      <w:tcPr>
        <w:shd w:val="solid" w:color="800080" w:fill="ffffff"/>
        <w:tcBorders>
          <w:bottom w:val="single" w:color="000000" w:sz="6" w:space="0"/>
        </w:tcBorders>
      </w:tcPr>
    </w:tblStylePr>
    <w:tblStylePr w:type="lastRow">
      <w:tcPr>
        <w:tcBorders>
          <w:top w:val="single" w:color="000000" w:sz="6" w:space="0"/>
        </w:tcBorders>
      </w:tcPr>
    </w:tblStylePr>
    <w:tblStylePr w:type="nwCell">
      <w:tcPr>
        <w:shd w:val="solid" w:color="800080" w:fill="ffffff"/>
      </w:tcPr>
    </w:tblStylePr>
    <w:tblStylePr w:type="neCell">
      <w:rPr>
        <w:b/>
        <w:bCs/>
      </w:rPr>
    </w:tblStylePr>
    <w:tblStylePr w:type="swCell">
      <w:rPr>
        <w:color w:val="000080"/>
      </w:rPr>
    </w:tblStylePr>
  </w:style>
  <w:style w:type="table" w:styleId="1324" w:customStyle="1">
    <w:name w:val="Классическая таблица 31"/>
    <w:basedOn w:val="756"/>
    <w:next w:val="1213"/>
    <w:pPr>
      <w:spacing w:after="0" w:line="240" w:lineRule="auto"/>
    </w:pPr>
    <w:rPr>
      <w:rFonts w:ascii="Times New Roman" w:hAnsi="Times New Roman" w:eastAsia="Times New Roman" w:cs="Times New Roman"/>
      <w:color w:val="000080"/>
      <w:sz w:val="20"/>
      <w:szCs w:val="20"/>
      <w:lang w:eastAsia="ru-RU"/>
    </w:rPr>
    <w:tblPr>
      <w:tblInd w:w="0" w:type="dxa"/>
      <w:tblBorders>
        <w:top w:val="single" w:color="000000" w:sz="12" w:space="0"/>
        <w:left w:val="single" w:color="000000" w:sz="12" w:space="0"/>
        <w:bottom w:val="single" w:color="000000" w:sz="12" w:space="0"/>
        <w:right w:val="single" w:color="000000" w:sz="12" w:space="0"/>
      </w:tblBorders>
      <w:tblCellMar>
        <w:left w:w="108" w:type="dxa"/>
        <w:top w:w="0" w:type="dxa"/>
        <w:right w:w="108" w:type="dxa"/>
        <w:bottom w:w="0" w:type="dxa"/>
      </w:tblCellMar>
    </w:tblPr>
    <w:tcPr>
      <w:shd w:val="solid" w:color="c0c0c0" w:fill="ffffff"/>
    </w:tcPr>
    <w:tblStylePr w:type="firstCol">
      <w:rPr>
        <w:b/>
        <w:bCs/>
        <w:color w:val="000000"/>
      </w:rPr>
    </w:tblStylePr>
    <w:tblStylePr w:type="firstRow">
      <w:rPr>
        <w:b/>
        <w:bCs/>
        <w:i/>
        <w:iCs/>
        <w:color w:val="ffffff"/>
      </w:rPr>
      <w:tcPr>
        <w:shd w:val="solid" w:color="000080" w:fill="ffffff"/>
        <w:tcBorders>
          <w:bottom w:val="single" w:color="000000" w:sz="6" w:space="0"/>
        </w:tcBorders>
      </w:tcPr>
    </w:tblStylePr>
    <w:tblStylePr w:type="lastRow">
      <w:rPr>
        <w:color w:val="000080"/>
      </w:rPr>
      <w:tcPr>
        <w:shd w:val="solid" w:color="ffffff" w:fill="ffffff"/>
        <w:tcBorders>
          <w:top w:val="single" w:color="000000" w:sz="12" w:space="0"/>
        </w:tcBorders>
      </w:tcPr>
    </w:tblStylePr>
  </w:style>
  <w:style w:type="table" w:styleId="1325" w:customStyle="1">
    <w:name w:val="Классическая таблица 41"/>
    <w:basedOn w:val="756"/>
    <w:next w:val="1214"/>
    <w:pPr>
      <w:spacing w:after="0" w:line="240" w:lineRule="auto"/>
    </w:pPr>
    <w:rPr>
      <w:rFonts w:ascii="Times New Roman" w:hAnsi="Times New Roman" w:eastAsia="Times New Roman" w:cs="Times New Roman"/>
      <w:sz w:val="20"/>
      <w:szCs w:val="20"/>
      <w:lang w:eastAsia="ru-RU"/>
    </w:rPr>
    <w:tblPr>
      <w:tblInd w:w="0" w:type="dxa"/>
      <w:tblBorders>
        <w:top w:val="single" w:color="000000" w:sz="12" w:space="0"/>
        <w:left w:val="single" w:color="000000" w:sz="6" w:space="0"/>
        <w:bottom w:val="single" w:color="000000" w:sz="12" w:space="0"/>
        <w:right w:val="single" w:color="000000" w:sz="6" w:space="0"/>
      </w:tblBorders>
      <w:tblCellMar>
        <w:left w:w="108" w:type="dxa"/>
        <w:top w:w="0" w:type="dxa"/>
        <w:right w:w="108" w:type="dxa"/>
        <w:bottom w:w="0" w:type="dxa"/>
      </w:tblCellMar>
    </w:tblPr>
    <w:tcPr>
      <w:shd w:val="clear" w:color="auto" w:fill="auto"/>
    </w:tcPr>
    <w:tblStylePr w:type="firstCol">
      <w:rPr>
        <w:b/>
        <w:bCs/>
      </w:rPr>
    </w:tblStylePr>
    <w:tblStylePr w:type="firstRow">
      <w:rPr>
        <w:b/>
        <w:bCs/>
        <w:i/>
        <w:iCs/>
        <w:color w:val="ffffff"/>
      </w:rPr>
      <w:tcPr>
        <w:shd w:val="pct50" w:color="000080" w:fill="ffffff"/>
        <w:tcBorders>
          <w:bottom w:val="single" w:color="000000" w:sz="6" w:space="0"/>
        </w:tcBorders>
      </w:tcPr>
    </w:tblStylePr>
    <w:tblStylePr w:type="lastRow">
      <w:rPr>
        <w:color w:val="000080"/>
      </w:rPr>
      <w:tcPr>
        <w:shd w:val="pct50" w:color="000000" w:fill="ffffff"/>
        <w:tcBorders>
          <w:bottom w:val="single" w:color="000000" w:sz="6" w:space="0"/>
        </w:tcBorders>
      </w:tcPr>
    </w:tblStylePr>
    <w:tblStylePr w:type="nwCell">
      <w:rPr>
        <w:b/>
        <w:bCs/>
      </w:rPr>
    </w:tblStylePr>
    <w:tblStylePr w:type="swCell">
      <w:rPr>
        <w:color w:val="000080"/>
      </w:rPr>
    </w:tblStylePr>
  </w:style>
  <w:style w:type="table" w:styleId="1326" w:customStyle="1">
    <w:name w:val="Объемная таблица 11"/>
    <w:basedOn w:val="756"/>
    <w:next w:val="1215"/>
    <w:pPr>
      <w:spacing w:after="0" w:line="240" w:lineRule="auto"/>
    </w:pPr>
    <w:rPr>
      <w:rFonts w:ascii="Times New Roman" w:hAnsi="Times New Roman" w:eastAsia="Times New Roman" w:cs="Times New Roman"/>
      <w:sz w:val="20"/>
      <w:szCs w:val="20"/>
      <w:lang w:eastAsia="ru-RU"/>
    </w:rPr>
    <w:tblPr>
      <w:tblInd w:w="0" w:type="dxa"/>
      <w:tblCellMar>
        <w:left w:w="108" w:type="dxa"/>
        <w:top w:w="0" w:type="dxa"/>
        <w:right w:w="108" w:type="dxa"/>
        <w:bottom w:w="0" w:type="dxa"/>
      </w:tblCellMar>
    </w:tblPr>
    <w:tcPr>
      <w:shd w:val="solid" w:color="c0c0c0" w:fill="ffffff"/>
    </w:tcPr>
    <w:tblStylePr w:type="firstCol">
      <w:rPr>
        <w:b/>
        <w:bCs/>
      </w:rPr>
      <w:tcPr>
        <w:tcBorders>
          <w:right w:val="single" w:color="808080" w:sz="6" w:space="0"/>
        </w:tcBorders>
      </w:tcPr>
    </w:tblStylePr>
    <w:tblStylePr w:type="firstRow">
      <w:rPr>
        <w:b/>
        <w:bCs/>
        <w:color w:val="800080"/>
      </w:rPr>
      <w:tcPr>
        <w:tcBorders>
          <w:bottom w:val="single" w:color="808080" w:sz="6" w:space="0"/>
        </w:tcBorders>
      </w:tcPr>
    </w:tblStylePr>
    <w:tblStylePr w:type="lastCol">
      <w:tcPr>
        <w:tcBorders>
          <w:left w:val="single" w:color="FFFFFF" w:sz="6" w:space="0"/>
        </w:tcBorders>
      </w:tcPr>
    </w:tblStylePr>
    <w:tblStylePr w:type="lastRow">
      <w:tcPr>
        <w:tcBorders>
          <w:top w:val="single" w:color="FFFFFF" w:sz="6" w:space="0"/>
        </w:tcBorders>
      </w:tcPr>
    </w:tblStylePr>
    <w:tblStylePr w:type="nwCell">
      <w:tcPr>
        <w:tcBorders>
          <w:bottom w:val="none" w:color="auto" w:sz="0" w:space="0"/>
          <w:right w:val="none" w:color="auto" w:sz="0" w:space="0"/>
        </w:tcBorders>
      </w:tcPr>
    </w:tblStylePr>
    <w:tblStylePr w:type="neCell">
      <w:tcPr>
        <w:tcBorders>
          <w:left w:val="none" w:color="auto" w:sz="0" w:space="0"/>
          <w:bottom w:val="none" w:color="auto" w:sz="0" w:space="0"/>
        </w:tcBorders>
      </w:tcPr>
    </w:tblStylePr>
    <w:tblStylePr w:type="swCell">
      <w:rPr>
        <w:color w:val="000080"/>
      </w:rPr>
      <w:tcPr>
        <w:tcBorders>
          <w:top w:val="none" w:color="auto" w:sz="0" w:space="0"/>
          <w:right w:val="none" w:color="auto" w:sz="0" w:space="0"/>
        </w:tcBorders>
      </w:tcPr>
    </w:tblStylePr>
    <w:tblStylePr w:type="seCell">
      <w:tcPr>
        <w:tcBorders>
          <w:top w:val="none" w:color="auto" w:sz="0" w:space="0"/>
          <w:left w:val="none" w:color="auto" w:sz="0" w:space="0"/>
        </w:tcBorders>
      </w:tcPr>
    </w:tblStylePr>
  </w:style>
  <w:style w:type="table" w:styleId="1327" w:customStyle="1">
    <w:name w:val="Объемная таблица 21"/>
    <w:basedOn w:val="756"/>
    <w:next w:val="1216"/>
    <w:pPr>
      <w:spacing w:after="0" w:line="240" w:lineRule="auto"/>
    </w:pPr>
    <w:rPr>
      <w:rFonts w:ascii="Times New Roman" w:hAnsi="Times New Roman" w:eastAsia="Times New Roman" w:cs="Times New Roman"/>
      <w:sz w:val="20"/>
      <w:szCs w:val="20"/>
      <w:lang w:eastAsia="ru-RU"/>
    </w:rPr>
    <w:tblPr>
      <w:tblStyleRowBandSize w:val="1"/>
      <w:tblInd w:w="0" w:type="dxa"/>
      <w:tblCellMar>
        <w:left w:w="108" w:type="dxa"/>
        <w:top w:w="0" w:type="dxa"/>
        <w:right w:w="108" w:type="dxa"/>
        <w:bottom w:w="0" w:type="dxa"/>
      </w:tblCellMar>
    </w:tblPr>
    <w:tcPr>
      <w:shd w:val="solid" w:color="c0c0c0" w:fill="ffffff"/>
    </w:tcPr>
    <w:tblStylePr w:type="band1Horz">
      <w:tcPr>
        <w:tcBorders>
          <w:top w:val="single" w:color="808080" w:sz="6" w:space="0"/>
          <w:bottom w:val="single" w:color="FFFFFF" w:sz="6" w:space="0"/>
        </w:tcBorders>
      </w:tcPr>
    </w:tblStylePr>
    <w:tblStylePr w:type="firstCol">
      <w:tcPr>
        <w:tcBorders>
          <w:top w:val="none" w:color="auto" w:sz="0" w:space="0"/>
          <w:bottom w:val="none" w:color="auto" w:sz="0" w:space="0"/>
          <w:right w:val="single" w:color="808080" w:sz="6" w:space="0"/>
        </w:tcBorders>
      </w:tcPr>
    </w:tblStylePr>
    <w:tblStylePr w:type="firstRow">
      <w:rPr>
        <w:b/>
        <w:bCs/>
      </w:rPr>
    </w:tblStylePr>
    <w:tblStylePr w:type="lastCol">
      <w:tcPr>
        <w:tcBorders>
          <w:right w:val="single" w:color="FFFFFF" w:sz="6" w:space="0"/>
        </w:tcBorders>
      </w:tcPr>
    </w:tblStylePr>
    <w:tblStylePr w:type="swCell">
      <w:rPr>
        <w:b/>
        <w:bCs/>
      </w:rPr>
    </w:tblStylePr>
  </w:style>
  <w:style w:type="table" w:styleId="1328" w:customStyle="1">
    <w:name w:val="Объемная таблица 31"/>
    <w:basedOn w:val="756"/>
    <w:next w:val="1217"/>
    <w:pPr>
      <w:spacing w:after="0" w:line="240" w:lineRule="auto"/>
    </w:pPr>
    <w:rPr>
      <w:rFonts w:ascii="Times New Roman" w:hAnsi="Times New Roman" w:eastAsia="Times New Roman" w:cs="Times New Roman"/>
      <w:sz w:val="20"/>
      <w:szCs w:val="20"/>
      <w:lang w:eastAsia="ru-RU"/>
    </w:rPr>
    <w:tblPr>
      <w:tblStyleRowBandSize w:val="1"/>
      <w:tblStyleColBandSize w:val="1"/>
      <w:tblInd w:w="0" w:type="dxa"/>
      <w:tblCellMar>
        <w:left w:w="108" w:type="dxa"/>
        <w:top w:w="0" w:type="dxa"/>
        <w:right w:w="108" w:type="dxa"/>
        <w:bottom w:w="0" w:type="dxa"/>
      </w:tblCellMar>
    </w:tblPr>
    <w:tblStylePr w:type="band1Horz">
      <w:tcPr>
        <w:tcBorders>
          <w:top w:val="single" w:color="808080" w:sz="6" w:space="0"/>
          <w:bottom w:val="single" w:color="FFFFFF" w:sz="6" w:space="0"/>
        </w:tcBorders>
      </w:tcPr>
    </w:tblStylePr>
    <w:tblStylePr w:type="band1Vert">
      <w:rPr>
        <w:color w:val="auto"/>
      </w:rPr>
      <w:tcPr>
        <w:shd w:val="solid" w:color="c0c0c0" w:fill="ffffff"/>
      </w:tcPr>
    </w:tblStylePr>
    <w:tblStylePr w:type="band2Vert">
      <w:rPr>
        <w:color w:val="auto"/>
      </w:rPr>
      <w:tcPr>
        <w:shd w:val="pct50" w:color="c0c0c0" w:fill="ffffff"/>
      </w:tcPr>
    </w:tblStylePr>
    <w:tblStylePr w:type="firstCol">
      <w:tcPr>
        <w:tcBorders>
          <w:top w:val="none" w:color="auto" w:sz="0" w:space="0"/>
          <w:bottom w:val="none" w:color="auto" w:sz="0" w:space="0"/>
          <w:right w:val="single" w:color="808080" w:sz="6" w:space="0"/>
        </w:tcBorders>
      </w:tcPr>
    </w:tblStylePr>
    <w:tblStylePr w:type="firstRow">
      <w:rPr>
        <w:b/>
        <w:bCs/>
      </w:rPr>
    </w:tblStylePr>
    <w:tblStylePr w:type="lastCol">
      <w:tcPr>
        <w:tcBorders>
          <w:right w:val="single" w:color="FFFFFF" w:sz="6" w:space="0"/>
        </w:tcBorders>
      </w:tcPr>
    </w:tblStylePr>
    <w:tblStylePr w:type="swCell">
      <w:rPr>
        <w:b/>
        <w:bCs/>
      </w:rPr>
    </w:tblStylePr>
  </w:style>
  <w:style w:type="table" w:styleId="1329" w:customStyle="1">
    <w:name w:val="Простая таблица 11"/>
    <w:basedOn w:val="756"/>
    <w:next w:val="1218"/>
    <w:pPr>
      <w:spacing w:after="0" w:line="240" w:lineRule="auto"/>
    </w:pPr>
    <w:rPr>
      <w:rFonts w:ascii="Times New Roman" w:hAnsi="Times New Roman" w:eastAsia="Times New Roman" w:cs="Times New Roman"/>
      <w:sz w:val="20"/>
      <w:szCs w:val="20"/>
      <w:lang w:eastAsia="ru-RU"/>
    </w:rPr>
    <w:tblPr>
      <w:tblInd w:w="0" w:type="dxa"/>
      <w:tblBorders>
        <w:top w:val="single" w:color="008000" w:sz="12" w:space="0"/>
        <w:bottom w:val="single" w:color="008000" w:sz="12" w:space="0"/>
      </w:tblBorders>
      <w:tblCellMar>
        <w:left w:w="108" w:type="dxa"/>
        <w:top w:w="0" w:type="dxa"/>
        <w:right w:w="108" w:type="dxa"/>
        <w:bottom w:w="0" w:type="dxa"/>
      </w:tblCellMar>
    </w:tblPr>
    <w:tcPr>
      <w:shd w:val="clear" w:color="auto" w:fill="auto"/>
    </w:tcPr>
    <w:tblStylePr w:type="firstRow">
      <w:tcPr>
        <w:tcBorders>
          <w:bottom w:val="single" w:color="008000" w:sz="6" w:space="0"/>
        </w:tcBorders>
      </w:tcPr>
    </w:tblStylePr>
    <w:tblStylePr w:type="lastRow">
      <w:tcPr>
        <w:tcBorders>
          <w:top w:val="single" w:color="008000" w:sz="6" w:space="0"/>
        </w:tcBorders>
      </w:tcPr>
    </w:tblStylePr>
  </w:style>
  <w:style w:type="table" w:styleId="1330" w:customStyle="1">
    <w:name w:val="Простая таблица 21"/>
    <w:basedOn w:val="756"/>
    <w:next w:val="1219"/>
    <w:pPr>
      <w:spacing w:after="0" w:line="240" w:lineRule="auto"/>
    </w:pPr>
    <w:rPr>
      <w:rFonts w:ascii="Times New Roman" w:hAnsi="Times New Roman" w:eastAsia="Times New Roman" w:cs="Times New Roman"/>
      <w:sz w:val="20"/>
      <w:szCs w:val="20"/>
      <w:lang w:eastAsia="ru-RU"/>
    </w:rPr>
    <w:tblPr>
      <w:tblInd w:w="0" w:type="dxa"/>
      <w:tblCellMar>
        <w:left w:w="108" w:type="dxa"/>
        <w:top w:w="0" w:type="dxa"/>
        <w:right w:w="108" w:type="dxa"/>
        <w:bottom w:w="0" w:type="dxa"/>
      </w:tblCellMar>
    </w:tblPr>
    <w:tblStylePr w:type="firstCol">
      <w:rPr>
        <w:b/>
        <w:bCs/>
      </w:rPr>
      <w:tcPr>
        <w:tcBorders>
          <w:right w:val="single" w:color="000000" w:sz="12" w:space="0"/>
        </w:tcBorders>
      </w:tcPr>
    </w:tblStylePr>
    <w:tblStylePr w:type="firstRow">
      <w:rPr>
        <w:b/>
        <w:bCs/>
      </w:rPr>
      <w:tcPr>
        <w:tcBorders>
          <w:bottom w:val="single" w:color="000000" w:sz="12" w:space="0"/>
        </w:tcBorders>
      </w:tcPr>
    </w:tblStylePr>
    <w:tblStylePr w:type="lastCol">
      <w:rPr>
        <w:b/>
        <w:bCs/>
      </w:rPr>
      <w:tcPr>
        <w:tcBorders>
          <w:left w:val="single" w:color="000000" w:sz="6" w:space="0"/>
        </w:tcBorders>
      </w:tcPr>
    </w:tblStylePr>
    <w:tblStylePr w:type="lastRow">
      <w:rPr>
        <w:b/>
        <w:bCs/>
        <w:color w:val="auto"/>
      </w:rPr>
      <w:tcPr>
        <w:tcBorders>
          <w:top w:val="single" w:color="000000" w:sz="6" w:space="0"/>
        </w:tcBorders>
      </w:tcPr>
    </w:tblStylePr>
    <w:tblStylePr w:type="neCell">
      <w:rPr>
        <w:b/>
        <w:bCs/>
      </w:rPr>
      <w:tcPr>
        <w:tcBorders>
          <w:left w:val="none" w:color="auto" w:sz="0" w:space="0"/>
        </w:tcBorders>
      </w:tcPr>
    </w:tblStylePr>
    <w:tblStylePr w:type="swCell">
      <w:rPr>
        <w:b/>
        <w:bCs/>
      </w:rPr>
      <w:tcPr>
        <w:tcBorders>
          <w:top w:val="none" w:color="auto" w:sz="0" w:space="0"/>
        </w:tcBorders>
      </w:tcPr>
    </w:tblStylePr>
  </w:style>
  <w:style w:type="table" w:styleId="1331" w:customStyle="1">
    <w:name w:val="Простая таблица 31"/>
    <w:basedOn w:val="756"/>
    <w:next w:val="1220"/>
    <w:pPr>
      <w:spacing w:after="0" w:line="240" w:lineRule="auto"/>
    </w:pPr>
    <w:rPr>
      <w:rFonts w:ascii="Times New Roman" w:hAnsi="Times New Roman" w:eastAsia="Times New Roman" w:cs="Times New Roman"/>
      <w:sz w:val="20"/>
      <w:szCs w:val="20"/>
      <w:lang w:eastAsia="ru-RU"/>
    </w:rPr>
    <w:tblPr>
      <w:tblInd w:w="0" w:type="dxa"/>
      <w:tblBorders>
        <w:top w:val="single" w:color="000000" w:sz="12" w:space="0"/>
        <w:left w:val="single" w:color="000000" w:sz="12" w:space="0"/>
        <w:bottom w:val="single" w:color="000000" w:sz="12" w:space="0"/>
        <w:right w:val="single" w:color="000000" w:sz="12" w:space="0"/>
      </w:tblBorders>
      <w:tblCellMar>
        <w:left w:w="108" w:type="dxa"/>
        <w:top w:w="0" w:type="dxa"/>
        <w:right w:w="108" w:type="dxa"/>
        <w:bottom w:w="0" w:type="dxa"/>
      </w:tblCellMar>
    </w:tblPr>
    <w:tcPr>
      <w:shd w:val="clear" w:color="auto" w:fill="auto"/>
    </w:tcPr>
    <w:tblStylePr w:type="firstRow">
      <w:rPr>
        <w:b/>
        <w:bCs/>
        <w:color w:val="ffffff"/>
      </w:rPr>
      <w:tcPr>
        <w:shd w:val="solid" w:color="000000" w:fill="ffffff"/>
      </w:tcPr>
    </w:tblStylePr>
  </w:style>
  <w:style w:type="table" w:styleId="1332" w:customStyle="1">
    <w:name w:val="Сетка таблицы 11"/>
    <w:basedOn w:val="756"/>
    <w:next w:val="1221"/>
    <w:pPr>
      <w:spacing w:after="0" w:line="240" w:lineRule="auto"/>
    </w:pPr>
    <w:rPr>
      <w:rFonts w:ascii="Times New Roman" w:hAnsi="Times New Roman" w:eastAsia="Times New Roman" w:cs="Times New Roman"/>
      <w:sz w:val="20"/>
      <w:szCs w:val="20"/>
      <w:lang w:eastAsia="ru-RU"/>
    </w:rPr>
    <w:tblP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left w:w="108" w:type="dxa"/>
        <w:top w:w="0" w:type="dxa"/>
        <w:right w:w="108" w:type="dxa"/>
        <w:bottom w:w="0" w:type="dxa"/>
      </w:tblCellMar>
    </w:tblPr>
    <w:tcPr>
      <w:shd w:val="clear" w:color="auto" w:fill="auto"/>
    </w:tcPr>
    <w:tblStylePr w:type="lastCol">
      <w:rPr>
        <w:i/>
        <w:iCs/>
      </w:rPr>
    </w:tblStylePr>
    <w:tblStylePr w:type="lastRow">
      <w:rPr>
        <w:i/>
        <w:iCs/>
      </w:rPr>
    </w:tblStylePr>
  </w:style>
  <w:style w:type="table" w:styleId="1333" w:customStyle="1">
    <w:name w:val="Сетка таблицы 21"/>
    <w:basedOn w:val="756"/>
    <w:next w:val="1222"/>
    <w:pPr>
      <w:spacing w:after="0" w:line="240" w:lineRule="auto"/>
    </w:pPr>
    <w:rPr>
      <w:rFonts w:ascii="Times New Roman" w:hAnsi="Times New Roman" w:eastAsia="Times New Roman" w:cs="Times New Roman"/>
      <w:sz w:val="20"/>
      <w:szCs w:val="20"/>
      <w:lang w:eastAsia="ru-RU"/>
    </w:rPr>
    <w:tblPr>
      <w:tblInd w:w="0" w:type="dxa"/>
      <w:tblBorders>
        <w:insideH w:val="single" w:color="000000" w:sz="6" w:space="0"/>
        <w:insideV w:val="single" w:color="000000" w:sz="6" w:space="0"/>
      </w:tblBorders>
      <w:tblCellMar>
        <w:left w:w="108" w:type="dxa"/>
        <w:top w:w="0" w:type="dxa"/>
        <w:right w:w="108" w:type="dxa"/>
        <w:bottom w:w="0" w:type="dxa"/>
      </w:tblCellMar>
    </w:tblPr>
    <w:tcPr>
      <w:shd w:val="clear" w:color="auto" w:fill="auto"/>
    </w:tcPr>
    <w:tblStylePr w:type="firstCol">
      <w:rPr>
        <w:b/>
        <w:bCs/>
      </w:rPr>
    </w:tblStylePr>
    <w:tblStylePr w:type="firstRow">
      <w:rPr>
        <w:b/>
        <w:bCs/>
      </w:rPr>
    </w:tblStylePr>
    <w:tblStylePr w:type="lastCol">
      <w:rPr>
        <w:b/>
        <w:bCs/>
      </w:rPr>
    </w:tblStylePr>
    <w:tblStylePr w:type="lastRow">
      <w:rPr>
        <w:b/>
        <w:bCs/>
      </w:rPr>
      <w:tcPr>
        <w:tcBorders>
          <w:top w:val="single" w:color="000000" w:sz="6" w:space="0"/>
        </w:tcBorders>
      </w:tcPr>
    </w:tblStylePr>
  </w:style>
  <w:style w:type="table" w:styleId="1334" w:customStyle="1">
    <w:name w:val="Сетка таблицы 31"/>
    <w:basedOn w:val="756"/>
    <w:next w:val="1223"/>
    <w:pPr>
      <w:spacing w:after="0" w:line="240" w:lineRule="auto"/>
    </w:pPr>
    <w:rPr>
      <w:rFonts w:ascii="Times New Roman" w:hAnsi="Times New Roman" w:eastAsia="Times New Roman" w:cs="Times New Roman"/>
      <w:sz w:val="20"/>
      <w:szCs w:val="20"/>
      <w:lang w:eastAsia="ru-RU"/>
    </w:rPr>
    <w:tblPr>
      <w:tblInd w:w="0" w:type="dxa"/>
      <w:tblBorders>
        <w:top w:val="single" w:color="000000" w:sz="6" w:space="0"/>
        <w:left w:val="single" w:color="000000" w:sz="12" w:space="0"/>
        <w:bottom w:val="single" w:color="000000" w:sz="6" w:space="0"/>
        <w:right w:val="single" w:color="000000" w:sz="12" w:space="0"/>
        <w:insideV w:val="single" w:color="000000" w:sz="6" w:space="0"/>
      </w:tblBorders>
      <w:tblCellMar>
        <w:left w:w="108" w:type="dxa"/>
        <w:top w:w="0" w:type="dxa"/>
        <w:right w:w="108" w:type="dxa"/>
        <w:bottom w:w="0" w:type="dxa"/>
      </w:tblCellMar>
    </w:tblPr>
    <w:tcPr>
      <w:shd w:val="clear" w:color="auto" w:fill="auto"/>
    </w:tcPr>
    <w:tblStylePr w:type="firstRow">
      <w:tcPr>
        <w:shd w:val="pct30" w:color="ffff00" w:fill="ffffff"/>
        <w:tcBorders>
          <w:bottom w:val="single" w:color="000000" w:sz="6" w:space="0"/>
        </w:tcBorders>
      </w:tcPr>
    </w:tblStylePr>
    <w:tblStylePr w:type="lastCol">
      <w:rPr>
        <w:b/>
        <w:bCs/>
      </w:rPr>
    </w:tblStylePr>
    <w:tblStylePr w:type="lastRow">
      <w:rPr>
        <w:b/>
        <w:bCs/>
      </w:rPr>
    </w:tblStylePr>
  </w:style>
  <w:style w:type="table" w:styleId="1335" w:customStyle="1">
    <w:name w:val="Сетка таблицы 41"/>
    <w:basedOn w:val="756"/>
    <w:next w:val="1224"/>
    <w:pPr>
      <w:spacing w:after="0" w:line="240" w:lineRule="auto"/>
    </w:pPr>
    <w:rPr>
      <w:rFonts w:ascii="Times New Roman" w:hAnsi="Times New Roman" w:eastAsia="Times New Roman" w:cs="Times New Roman"/>
      <w:sz w:val="20"/>
      <w:szCs w:val="20"/>
      <w:lang w:eastAsia="ru-RU"/>
    </w:rPr>
    <w:tblPr>
      <w:tblInd w:w="0" w:type="dxa"/>
      <w:tblBorders>
        <w:left w:val="single" w:color="000000" w:sz="12" w:space="0"/>
        <w:right w:val="single" w:color="000000" w:sz="12" w:space="0"/>
        <w:insideH w:val="single" w:color="000000" w:sz="6" w:space="0"/>
        <w:insideV w:val="single" w:color="000000" w:sz="6" w:space="0"/>
      </w:tblBorders>
      <w:tblCellMar>
        <w:left w:w="108" w:type="dxa"/>
        <w:top w:w="0" w:type="dxa"/>
        <w:right w:w="108" w:type="dxa"/>
        <w:bottom w:w="0" w:type="dxa"/>
      </w:tblCellMar>
    </w:tblPr>
    <w:tcPr>
      <w:shd w:val="clear" w:color="auto" w:fill="auto"/>
    </w:tcPr>
    <w:tblStylePr w:type="firstRow">
      <w:rPr>
        <w:color w:val="auto"/>
      </w:rPr>
      <w:tcPr>
        <w:shd w:val="pct30" w:color="ffff00" w:fill="ffffff"/>
        <w:tcBorders>
          <w:bottom w:val="single" w:color="000000" w:sz="6" w:space="0"/>
        </w:tcBorders>
      </w:tcPr>
    </w:tblStylePr>
    <w:tblStylePr w:type="lastCol">
      <w:rPr>
        <w:b/>
        <w:bCs/>
        <w:color w:val="auto"/>
      </w:rPr>
    </w:tblStylePr>
    <w:tblStylePr w:type="lastRow">
      <w:rPr>
        <w:b/>
        <w:bCs/>
        <w:color w:val="auto"/>
      </w:rPr>
      <w:tcPr>
        <w:shd w:val="pct30" w:color="ffff00" w:fill="ffffff"/>
        <w:tcBorders>
          <w:top w:val="single" w:color="000000" w:sz="6" w:space="0"/>
        </w:tcBorders>
      </w:tcPr>
    </w:tblStylePr>
  </w:style>
  <w:style w:type="table" w:styleId="1336" w:customStyle="1">
    <w:name w:val="Сетка таблицы 51"/>
    <w:basedOn w:val="756"/>
    <w:next w:val="1225"/>
    <w:pPr>
      <w:spacing w:after="0" w:line="240" w:lineRule="auto"/>
    </w:pPr>
    <w:rPr>
      <w:rFonts w:ascii="Times New Roman" w:hAnsi="Times New Roman" w:eastAsia="Times New Roman" w:cs="Times New Roman"/>
      <w:sz w:val="20"/>
      <w:szCs w:val="20"/>
      <w:lang w:eastAsia="ru-RU"/>
    </w:rPr>
    <w:tblPr>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left w:w="108" w:type="dxa"/>
        <w:top w:w="0" w:type="dxa"/>
        <w:right w:w="108" w:type="dxa"/>
        <w:bottom w:w="0" w:type="dxa"/>
      </w:tblCellMar>
    </w:tblPr>
    <w:tcPr>
      <w:shd w:val="clear" w:color="auto" w:fill="auto"/>
    </w:tcPr>
    <w:tblStylePr w:type="firstRow">
      <w:tcPr>
        <w:tcBorders>
          <w:bottom w:val="single" w:color="000000" w:sz="12" w:space="0"/>
        </w:tcBorders>
      </w:tcPr>
    </w:tblStylePr>
    <w:tblStylePr w:type="lastCol">
      <w:rPr>
        <w:b/>
        <w:bCs/>
      </w:rPr>
    </w:tblStylePr>
    <w:tblStylePr w:type="lastRow">
      <w:rPr>
        <w:b/>
        <w:bCs/>
      </w:rPr>
    </w:tblStylePr>
  </w:style>
  <w:style w:type="table" w:styleId="1337" w:customStyle="1">
    <w:name w:val="Сетка таблицы 61"/>
    <w:basedOn w:val="756"/>
    <w:next w:val="1226"/>
    <w:pPr>
      <w:spacing w:after="0" w:line="240" w:lineRule="auto"/>
    </w:pPr>
    <w:rPr>
      <w:rFonts w:ascii="Times New Roman" w:hAnsi="Times New Roman" w:eastAsia="Times New Roman" w:cs="Times New Roman"/>
      <w:sz w:val="20"/>
      <w:szCs w:val="20"/>
      <w:lang w:eastAsia="ru-RU"/>
    </w:rPr>
    <w:tblPr>
      <w:tblInd w:w="0" w:type="dxa"/>
      <w:tblBorders>
        <w:top w:val="single" w:color="000000" w:sz="12" w:space="0"/>
        <w:left w:val="single" w:color="000000" w:sz="12" w:space="0"/>
        <w:bottom w:val="single" w:color="000000" w:sz="12" w:space="0"/>
        <w:right w:val="single" w:color="000000" w:sz="12" w:space="0"/>
        <w:insideV w:val="single" w:color="000000" w:sz="6" w:space="0"/>
      </w:tblBorders>
      <w:tblCellMar>
        <w:left w:w="108" w:type="dxa"/>
        <w:top w:w="0" w:type="dxa"/>
        <w:right w:w="108" w:type="dxa"/>
        <w:bottom w:w="0" w:type="dxa"/>
      </w:tblCellMar>
    </w:tblPr>
    <w:tcPr>
      <w:shd w:val="clear" w:color="auto" w:fill="auto"/>
    </w:tcPr>
    <w:tblStylePr w:type="firstCol">
      <w:rPr>
        <w:b/>
        <w:bCs/>
      </w:rPr>
    </w:tblStylePr>
    <w:tblStylePr w:type="firstRow">
      <w:rPr>
        <w:b/>
        <w:bCs/>
      </w:rPr>
      <w:tcPr>
        <w:tcBorders>
          <w:bottom w:val="single" w:color="000000" w:sz="6" w:space="0"/>
        </w:tcBorders>
      </w:tcPr>
    </w:tblStylePr>
    <w:tblStylePr w:type="lastRow">
      <w:rPr>
        <w:color w:val="auto"/>
      </w:rPr>
      <w:tcPr>
        <w:tcBorders>
          <w:top w:val="single" w:color="000000" w:sz="6" w:space="0"/>
        </w:tcBorders>
      </w:tcPr>
    </w:tblStylePr>
  </w:style>
  <w:style w:type="table" w:styleId="1338" w:customStyle="1">
    <w:name w:val="Сетка таблицы 71"/>
    <w:basedOn w:val="756"/>
    <w:next w:val="1227"/>
    <w:pPr>
      <w:spacing w:after="0" w:line="240" w:lineRule="auto"/>
    </w:pPr>
    <w:rPr>
      <w:rFonts w:ascii="Times New Roman" w:hAnsi="Times New Roman" w:eastAsia="Times New Roman" w:cs="Times New Roman"/>
      <w:b/>
      <w:bCs/>
      <w:sz w:val="20"/>
      <w:szCs w:val="20"/>
      <w:lang w:eastAsia="ru-RU"/>
    </w:rPr>
    <w:tblPr>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left w:w="108" w:type="dxa"/>
        <w:top w:w="0" w:type="dxa"/>
        <w:right w:w="108" w:type="dxa"/>
        <w:bottom w:w="0" w:type="dxa"/>
      </w:tblCellMar>
    </w:tblPr>
    <w:tcPr>
      <w:shd w:val="clear" w:color="auto" w:fill="auto"/>
    </w:tcPr>
    <w:tblStylePr w:type="firstCol">
      <w:rPr>
        <w:b w:val="0"/>
        <w:bCs w:val="0"/>
      </w:rPr>
    </w:tblStylePr>
    <w:tblStylePr w:type="firstRow">
      <w:rPr>
        <w:b w:val="0"/>
        <w:bCs w:val="0"/>
      </w:rPr>
      <w:tcPr>
        <w:tcBorders>
          <w:bottom w:val="single" w:color="000000" w:sz="12" w:space="0"/>
        </w:tcBorders>
      </w:tcPr>
    </w:tblStylePr>
    <w:tblStylePr w:type="lastCol">
      <w:rPr>
        <w:b w:val="0"/>
        <w:bCs w:val="0"/>
      </w:rPr>
    </w:tblStylePr>
    <w:tblStylePr w:type="lastRow">
      <w:rPr>
        <w:b w:val="0"/>
        <w:bCs w:val="0"/>
      </w:rPr>
      <w:tcPr>
        <w:tcBorders>
          <w:top w:val="single" w:color="000000" w:sz="6" w:space="0"/>
        </w:tcBorders>
      </w:tcPr>
    </w:tblStylePr>
  </w:style>
  <w:style w:type="table" w:styleId="1339" w:customStyle="1">
    <w:name w:val="Сетка таблицы 81"/>
    <w:basedOn w:val="756"/>
    <w:next w:val="1228"/>
    <w:pPr>
      <w:spacing w:after="0" w:line="240" w:lineRule="auto"/>
    </w:pPr>
    <w:rPr>
      <w:rFonts w:ascii="Times New Roman" w:hAnsi="Times New Roman" w:eastAsia="Times New Roman" w:cs="Times New Roman"/>
      <w:sz w:val="20"/>
      <w:szCs w:val="20"/>
      <w:lang w:eastAsia="ru-RU"/>
    </w:rPr>
    <w:tblPr>
      <w:tblInd w:w="0" w:type="dxa"/>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CellMar>
        <w:left w:w="108" w:type="dxa"/>
        <w:top w:w="0" w:type="dxa"/>
        <w:right w:w="108" w:type="dxa"/>
        <w:bottom w:w="0" w:type="dxa"/>
      </w:tblCellMar>
    </w:tblPr>
    <w:tcPr>
      <w:shd w:val="clear" w:color="auto" w:fill="auto"/>
    </w:tcPr>
    <w:tblStylePr w:type="firstRow">
      <w:rPr>
        <w:b/>
        <w:bCs/>
        <w:color w:val="ffffff"/>
      </w:rPr>
      <w:tcPr>
        <w:shd w:val="solid" w:color="000080" w:fill="ffffff"/>
      </w:tcPr>
    </w:tblStylePr>
    <w:tblStylePr w:type="lastCol">
      <w:rPr>
        <w:b/>
        <w:bCs/>
        <w:color w:val="auto"/>
      </w:rPr>
    </w:tblStylePr>
    <w:tblStylePr w:type="lastRow">
      <w:rPr>
        <w:b/>
        <w:bCs/>
        <w:color w:val="auto"/>
      </w:rPr>
    </w:tblStylePr>
  </w:style>
  <w:style w:type="table" w:styleId="1340" w:customStyle="1">
    <w:name w:val="Современная таблица1"/>
    <w:basedOn w:val="756"/>
    <w:next w:val="1229"/>
    <w:pPr>
      <w:spacing w:after="0" w:line="240" w:lineRule="auto"/>
    </w:pPr>
    <w:rPr>
      <w:rFonts w:ascii="Times New Roman" w:hAnsi="Times New Roman" w:eastAsia="Times New Roman" w:cs="Times New Roman"/>
      <w:sz w:val="20"/>
      <w:szCs w:val="20"/>
      <w:lang w:eastAsia="ru-RU"/>
    </w:rPr>
    <w:tblPr>
      <w:tblStyleRowBandSize w:val="1"/>
      <w:tblInd w:w="0" w:type="dxa"/>
      <w:tblBorders>
        <w:insideH w:val="single" w:color="FFFFFF" w:sz="18" w:space="0"/>
        <w:insideV w:val="single" w:color="FFFFFF" w:sz="18" w:space="0"/>
      </w:tblBorders>
      <w:tblCellMar>
        <w:left w:w="108" w:type="dxa"/>
        <w:top w:w="0" w:type="dxa"/>
        <w:right w:w="108" w:type="dxa"/>
        <w:bottom w:w="0" w:type="dxa"/>
      </w:tblCellMar>
    </w:tblPr>
    <w:tblStylePr w:type="band1Horz">
      <w:rPr>
        <w:color w:val="auto"/>
      </w:rPr>
      <w:tcPr>
        <w:shd w:val="pct5" w:color="000000" w:fill="ffffff"/>
      </w:tcPr>
    </w:tblStylePr>
    <w:tblStylePr w:type="band2Horz">
      <w:rPr>
        <w:color w:val="auto"/>
      </w:rPr>
      <w:tcPr>
        <w:shd w:val="pct20" w:color="000000" w:fill="ffffff"/>
      </w:tcPr>
    </w:tblStylePr>
    <w:tblStylePr w:type="firstRow">
      <w:rPr>
        <w:b/>
        <w:bCs/>
        <w:color w:val="auto"/>
      </w:rPr>
      <w:tcPr>
        <w:shd w:val="pct20" w:color="000000" w:fill="ffffff"/>
      </w:tcPr>
    </w:tblStylePr>
  </w:style>
  <w:style w:type="table" w:styleId="1341" w:customStyle="1">
    <w:name w:val="Стандартная таблица1"/>
    <w:basedOn w:val="756"/>
    <w:next w:val="1230"/>
    <w:pPr>
      <w:spacing w:after="0" w:line="240" w:lineRule="auto"/>
    </w:pPr>
    <w:rPr>
      <w:rFonts w:ascii="Times New Roman" w:hAnsi="Times New Roman" w:eastAsia="Times New Roman" w:cs="Times New Roman"/>
      <w:sz w:val="20"/>
      <w:szCs w:val="20"/>
      <w:lang w:eastAsia="ru-RU"/>
    </w:rPr>
    <w:tblP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left w:w="108" w:type="dxa"/>
        <w:top w:w="0" w:type="dxa"/>
        <w:right w:w="108" w:type="dxa"/>
        <w:bottom w:w="0" w:type="dxa"/>
      </w:tblCellMar>
    </w:tblPr>
    <w:tcPr>
      <w:shd w:val="clear" w:color="auto" w:fill="auto"/>
    </w:tcPr>
    <w:tblStylePr w:type="firstRow">
      <w:rPr>
        <w:b/>
        <w:bCs/>
        <w:color w:val="auto"/>
      </w:rPr>
      <w:tcPr>
        <w:shd w:val="solid" w:color="000000" w:fill="ffffff"/>
      </w:tcPr>
    </w:tblStylePr>
  </w:style>
  <w:style w:type="numbering" w:styleId="1342" w:customStyle="1">
    <w:name w:val="Статья / Раздел1"/>
    <w:basedOn w:val="757"/>
    <w:next w:val="1231"/>
  </w:style>
  <w:style w:type="table" w:styleId="1343" w:customStyle="1">
    <w:name w:val="Столбцы таблицы 11"/>
    <w:basedOn w:val="756"/>
    <w:next w:val="1232"/>
    <w:pPr>
      <w:spacing w:after="0" w:line="240" w:lineRule="auto"/>
    </w:pPr>
    <w:rPr>
      <w:rFonts w:ascii="Times New Roman" w:hAnsi="Times New Roman" w:eastAsia="Times New Roman" w:cs="Times New Roman"/>
      <w:b/>
      <w:bCs/>
      <w:sz w:val="20"/>
      <w:szCs w:val="20"/>
      <w:lang w:eastAsia="ru-RU"/>
    </w:rPr>
    <w:tblPr>
      <w:tblStyleColBandSize w:val="1"/>
      <w:tblInd w:w="0" w:type="dxa"/>
      <w:tblBorders>
        <w:top w:val="single" w:color="000000" w:sz="12" w:space="0"/>
        <w:left w:val="single" w:color="000000" w:sz="12" w:space="0"/>
        <w:bottom w:val="single" w:color="000000" w:sz="12" w:space="0"/>
        <w:right w:val="single" w:color="000000" w:sz="12" w:space="0"/>
      </w:tblBorders>
      <w:tblCellMar>
        <w:left w:w="108" w:type="dxa"/>
        <w:top w:w="0" w:type="dxa"/>
        <w:right w:w="108" w:type="dxa"/>
        <w:bottom w:w="0" w:type="dxa"/>
      </w:tblCellMar>
    </w:tblPr>
    <w:tblStylePr w:type="band1Vert">
      <w:rPr>
        <w:color w:val="auto"/>
      </w:rPr>
      <w:tcPr>
        <w:shd w:val="pct25" w:color="000000" w:fill="ffffff"/>
      </w:tcPr>
    </w:tblStylePr>
    <w:tblStylePr w:type="band2Vert">
      <w:rPr>
        <w:color w:val="auto"/>
      </w:rPr>
      <w:tcPr>
        <w:shd w:val="pct25" w:color="ffff00" w:fill="ffffff"/>
      </w:tcPr>
    </w:tblStylePr>
    <w:tblStylePr w:type="firstCol">
      <w:rPr>
        <w:b w:val="0"/>
        <w:bCs w:val="0"/>
      </w:rPr>
    </w:tblStylePr>
    <w:tblStylePr w:type="firstRow">
      <w:rPr>
        <w:b w:val="0"/>
        <w:bCs w:val="0"/>
      </w:rPr>
      <w:tcPr>
        <w:tcBorders>
          <w:bottom w:val="single" w:color="000000" w:sz="6" w:space="0"/>
        </w:tcBorders>
      </w:tcPr>
    </w:tblStylePr>
    <w:tblStylePr w:type="lastCol">
      <w:rPr>
        <w:b w:val="0"/>
        <w:bCs w:val="0"/>
      </w:rPr>
    </w:tblStylePr>
    <w:tblStylePr w:type="lastRow">
      <w:rPr>
        <w:b w:val="0"/>
        <w:bCs w:val="0"/>
      </w:rPr>
    </w:tblStylePr>
    <w:tblStylePr w:type="neCell">
      <w:rPr>
        <w:b/>
        <w:bCs/>
      </w:rPr>
    </w:tblStylePr>
    <w:tblStylePr w:type="swCell">
      <w:rPr>
        <w:b/>
        <w:bCs/>
      </w:rPr>
    </w:tblStylePr>
  </w:style>
  <w:style w:type="table" w:styleId="1344" w:customStyle="1">
    <w:name w:val="Столбцы таблицы 21"/>
    <w:basedOn w:val="756"/>
    <w:next w:val="1233"/>
    <w:pPr>
      <w:spacing w:after="0" w:line="240" w:lineRule="auto"/>
    </w:pPr>
    <w:rPr>
      <w:rFonts w:ascii="Times New Roman" w:hAnsi="Times New Roman" w:eastAsia="Times New Roman" w:cs="Times New Roman"/>
      <w:b/>
      <w:bCs/>
      <w:sz w:val="20"/>
      <w:szCs w:val="20"/>
      <w:lang w:eastAsia="ru-RU"/>
    </w:rPr>
    <w:tblPr>
      <w:tblStyleColBandSize w:val="1"/>
      <w:tblInd w:w="0" w:type="dxa"/>
      <w:tblCellMar>
        <w:left w:w="108" w:type="dxa"/>
        <w:top w:w="0" w:type="dxa"/>
        <w:right w:w="108" w:type="dxa"/>
        <w:bottom w:w="0" w:type="dxa"/>
      </w:tblCellMar>
    </w:tblPr>
    <w:tblStylePr w:type="band1Vert">
      <w:rPr>
        <w:color w:val="auto"/>
      </w:rPr>
      <w:tcPr>
        <w:shd w:val="pct30" w:color="000000" w:fill="ffffff"/>
      </w:tcPr>
    </w:tblStylePr>
    <w:tblStylePr w:type="band2Vert">
      <w:rPr>
        <w:color w:val="auto"/>
      </w:rPr>
      <w:tcPr>
        <w:shd w:val="pct25" w:color="00ff00" w:fill="ffffff"/>
      </w:tcPr>
    </w:tblStylePr>
    <w:tblStylePr w:type="firstCol">
      <w:rPr>
        <w:b w:val="0"/>
        <w:bCs w:val="0"/>
        <w:color w:val="000000"/>
      </w:rPr>
    </w:tblStylePr>
    <w:tblStylePr w:type="firstRow">
      <w:rPr>
        <w:color w:val="ffffff"/>
      </w:rPr>
      <w:tcPr>
        <w:shd w:val="solid" w:color="000080" w:fill="ffffff"/>
      </w:tcPr>
    </w:tblStylePr>
    <w:tblStylePr w:type="lastCol">
      <w:rPr>
        <w:b w:val="0"/>
        <w:bCs w:val="0"/>
      </w:rPr>
    </w:tblStylePr>
    <w:tblStylePr w:type="lastRow">
      <w:rPr>
        <w:b w:val="0"/>
        <w:bCs w:val="0"/>
      </w:rPr>
    </w:tblStylePr>
    <w:tblStylePr w:type="neCell">
      <w:rPr>
        <w:b/>
        <w:bCs/>
      </w:rPr>
    </w:tblStylePr>
    <w:tblStylePr w:type="swCell">
      <w:rPr>
        <w:b/>
        <w:bCs/>
      </w:rPr>
    </w:tblStylePr>
  </w:style>
  <w:style w:type="table" w:styleId="1345" w:customStyle="1">
    <w:name w:val="Столбцы таблицы 31"/>
    <w:basedOn w:val="756"/>
    <w:next w:val="1234"/>
    <w:pPr>
      <w:spacing w:after="0" w:line="240" w:lineRule="auto"/>
    </w:pPr>
    <w:rPr>
      <w:rFonts w:ascii="Times New Roman" w:hAnsi="Times New Roman" w:eastAsia="Times New Roman" w:cs="Times New Roman"/>
      <w:b/>
      <w:bCs/>
      <w:sz w:val="20"/>
      <w:szCs w:val="20"/>
      <w:lang w:eastAsia="ru-RU"/>
    </w:rPr>
    <w:tblPr>
      <w:tblStyleColBandSize w:val="1"/>
      <w:tblInd w:w="0" w:type="dxa"/>
      <w:tblBorders>
        <w:top w:val="single" w:color="000080" w:sz="6" w:space="0"/>
        <w:left w:val="single" w:color="000080" w:sz="6" w:space="0"/>
        <w:bottom w:val="single" w:color="000080" w:sz="6" w:space="0"/>
        <w:right w:val="single" w:color="000080" w:sz="6" w:space="0"/>
        <w:insideV w:val="single" w:color="000080" w:sz="6" w:space="0"/>
      </w:tblBorders>
      <w:tblCellMar>
        <w:left w:w="108" w:type="dxa"/>
        <w:top w:w="0" w:type="dxa"/>
        <w:right w:w="108" w:type="dxa"/>
        <w:bottom w:w="0" w:type="dxa"/>
      </w:tblCellMar>
    </w:tblPr>
    <w:tblStylePr w:type="band1Vert">
      <w:rPr>
        <w:color w:val="auto"/>
      </w:rPr>
      <w:tcPr>
        <w:shd w:val="solid" w:color="c0c0c0" w:fill="ffffff"/>
      </w:tcPr>
    </w:tblStylePr>
    <w:tblStylePr w:type="band2Vert">
      <w:rPr>
        <w:color w:val="auto"/>
      </w:rPr>
      <w:tcPr>
        <w:shd w:val="pct10" w:color="000000" w:fill="ffffff"/>
      </w:tcPr>
    </w:tblStylePr>
    <w:tblStylePr w:type="firstCol">
      <w:rPr>
        <w:b w:val="0"/>
        <w:bCs w:val="0"/>
      </w:rPr>
    </w:tblStylePr>
    <w:tblStylePr w:type="firstRow">
      <w:rPr>
        <w:color w:val="ffffff"/>
      </w:rPr>
      <w:tcPr>
        <w:shd w:val="solid" w:color="000080" w:fill="ffffff"/>
      </w:tcPr>
    </w:tblStylePr>
    <w:tblStylePr w:type="lastCol">
      <w:rPr>
        <w:b w:val="0"/>
        <w:bCs w:val="0"/>
      </w:rPr>
    </w:tblStylePr>
    <w:tblStylePr w:type="lastRow">
      <w:rPr>
        <w:b w:val="0"/>
        <w:bCs w:val="0"/>
      </w:rPr>
      <w:tcPr>
        <w:tcBorders>
          <w:top w:val="single" w:color="000080" w:sz="6" w:space="0"/>
        </w:tcBorders>
      </w:tcPr>
    </w:tblStylePr>
    <w:tblStylePr w:type="neCell">
      <w:rPr>
        <w:b/>
        <w:bCs/>
      </w:rPr>
    </w:tblStylePr>
  </w:style>
  <w:style w:type="table" w:styleId="1346" w:customStyle="1">
    <w:name w:val="Столбцы таблицы 41"/>
    <w:basedOn w:val="756"/>
    <w:next w:val="1235"/>
    <w:pPr>
      <w:spacing w:after="0" w:line="240" w:lineRule="auto"/>
    </w:pPr>
    <w:rPr>
      <w:rFonts w:ascii="Times New Roman" w:hAnsi="Times New Roman" w:eastAsia="Times New Roman" w:cs="Times New Roman"/>
      <w:sz w:val="20"/>
      <w:szCs w:val="20"/>
      <w:lang w:eastAsia="ru-RU"/>
    </w:rPr>
    <w:tblPr>
      <w:tblStyleColBandSize w:val="1"/>
      <w:tblInd w:w="0" w:type="dxa"/>
      <w:tblCellMar>
        <w:left w:w="108" w:type="dxa"/>
        <w:top w:w="0" w:type="dxa"/>
        <w:right w:w="108" w:type="dxa"/>
        <w:bottom w:w="0" w:type="dxa"/>
      </w:tblCellMar>
    </w:tblPr>
    <w:tblStylePr w:type="band1Vert">
      <w:rPr>
        <w:color w:val="auto"/>
      </w:rPr>
      <w:tcPr>
        <w:shd w:val="pct50" w:color="008080" w:fill="ffffff"/>
      </w:tcPr>
    </w:tblStylePr>
    <w:tblStylePr w:type="band2Vert">
      <w:rPr>
        <w:color w:val="auto"/>
      </w:rPr>
      <w:tcPr>
        <w:shd w:val="pct10" w:color="000000" w:fill="ffffff"/>
      </w:tcPr>
    </w:tblStylePr>
    <w:tblStylePr w:type="firstRow">
      <w:rPr>
        <w:color w:val="ffffff"/>
      </w:rPr>
      <w:tcPr>
        <w:shd w:val="solid" w:color="000000" w:fill="ffffff"/>
      </w:tcPr>
    </w:tblStylePr>
    <w:tblStylePr w:type="lastCol">
      <w:rPr>
        <w:b/>
        <w:bCs/>
      </w:rPr>
    </w:tblStylePr>
    <w:tblStylePr w:type="lastRow">
      <w:rPr>
        <w:b/>
        <w:bCs/>
      </w:rPr>
    </w:tblStylePr>
  </w:style>
  <w:style w:type="table" w:styleId="1347" w:customStyle="1">
    <w:name w:val="Столбцы таблицы 51"/>
    <w:basedOn w:val="756"/>
    <w:next w:val="1236"/>
    <w:pPr>
      <w:spacing w:after="0" w:line="240" w:lineRule="auto"/>
    </w:pPr>
    <w:rPr>
      <w:rFonts w:ascii="Times New Roman" w:hAnsi="Times New Roman" w:eastAsia="Times New Roman" w:cs="Times New Roman"/>
      <w:sz w:val="20"/>
      <w:szCs w:val="20"/>
      <w:lang w:eastAsia="ru-RU"/>
    </w:rPr>
    <w:tblPr>
      <w:tblStyleColBandSize w:val="1"/>
      <w:tblInd w:w="0" w:type="dxa"/>
      <w:tblBorders>
        <w:top w:val="single" w:color="808080" w:sz="12" w:space="0"/>
        <w:left w:val="single" w:color="808080" w:sz="12" w:space="0"/>
        <w:bottom w:val="single" w:color="808080" w:sz="12" w:space="0"/>
        <w:right w:val="single" w:color="808080" w:sz="12" w:space="0"/>
        <w:insideV w:val="single" w:color="C0C0C0" w:sz="6" w:space="0"/>
      </w:tblBorders>
      <w:tblCellMar>
        <w:left w:w="108" w:type="dxa"/>
        <w:top w:w="0" w:type="dxa"/>
        <w:right w:w="108" w:type="dxa"/>
        <w:bottom w:w="0" w:type="dxa"/>
      </w:tblCellMar>
    </w:tblPr>
    <w:tblStylePr w:type="band1Vert">
      <w:rPr>
        <w:color w:val="auto"/>
      </w:rPr>
      <w:tcPr>
        <w:shd w:val="solid" w:color="c0c0c0" w:fill="ffffff"/>
      </w:tcPr>
    </w:tblStylePr>
    <w:tblStylePr w:type="band2Vert">
      <w:rPr>
        <w:color w:val="auto"/>
      </w:rPr>
    </w:tblStylePr>
    <w:tblStylePr w:type="firstCol">
      <w:rPr>
        <w:b/>
        <w:bCs/>
      </w:rPr>
    </w:tblStylePr>
    <w:tblStylePr w:type="firstRow">
      <w:rPr>
        <w:b/>
        <w:bCs/>
        <w:i/>
        <w:iCs/>
      </w:rPr>
      <w:tcPr>
        <w:tcBorders>
          <w:bottom w:val="single" w:color="808080" w:sz="6" w:space="0"/>
        </w:tcBorders>
      </w:tcPr>
    </w:tblStylePr>
    <w:tblStylePr w:type="lastCol">
      <w:rPr>
        <w:b/>
        <w:bCs/>
      </w:rPr>
    </w:tblStylePr>
    <w:tblStylePr w:type="lastRow">
      <w:rPr>
        <w:b/>
        <w:bCs/>
      </w:rPr>
      <w:tcPr>
        <w:tcBorders>
          <w:top w:val="single" w:color="808080" w:sz="6" w:space="0"/>
        </w:tcBorders>
      </w:tcPr>
    </w:tblStylePr>
  </w:style>
  <w:style w:type="table" w:styleId="1348" w:customStyle="1">
    <w:name w:val="Таблица-список 11"/>
    <w:basedOn w:val="756"/>
    <w:next w:val="1237"/>
    <w:pPr>
      <w:spacing w:after="0" w:line="240" w:lineRule="auto"/>
    </w:pPr>
    <w:rPr>
      <w:rFonts w:ascii="Times New Roman" w:hAnsi="Times New Roman" w:eastAsia="Times New Roman" w:cs="Times New Roman"/>
      <w:sz w:val="20"/>
      <w:szCs w:val="20"/>
      <w:lang w:eastAsia="ru-RU"/>
    </w:rPr>
    <w:tblPr>
      <w:tblStyleRowBandSize w:val="1"/>
      <w:tblInd w:w="0" w:type="dxa"/>
      <w:tblBorders>
        <w:top w:val="single" w:color="008080" w:sz="12" w:space="0"/>
        <w:left w:val="single" w:color="008080" w:sz="6" w:space="0"/>
        <w:bottom w:val="single" w:color="008080" w:sz="12" w:space="0"/>
        <w:right w:val="single" w:color="008080" w:sz="6" w:space="0"/>
      </w:tblBorders>
      <w:tblCellMar>
        <w:left w:w="108" w:type="dxa"/>
        <w:top w:w="0" w:type="dxa"/>
        <w:right w:w="108" w:type="dxa"/>
        <w:bottom w:w="0" w:type="dxa"/>
      </w:tblCellMar>
    </w:tblPr>
    <w:tblStylePr w:type="band1Horz">
      <w:rPr>
        <w:color w:val="auto"/>
      </w:rPr>
      <w:tcPr>
        <w:shd w:val="solid" w:color="c0c0c0" w:fill="ffffff"/>
      </w:tcPr>
    </w:tblStylePr>
    <w:tblStylePr w:type="band2Horz">
      <w:rPr>
        <w:color w:val="auto"/>
      </w:rPr>
    </w:tblStylePr>
    <w:tblStylePr w:type="firstRow">
      <w:rPr>
        <w:b/>
        <w:bCs/>
        <w:i/>
        <w:iCs/>
        <w:color w:val="800000"/>
      </w:rPr>
      <w:tcPr>
        <w:shd w:val="solid" w:color="c0c0c0" w:fill="ffffff"/>
        <w:tcBorders>
          <w:bottom w:val="single" w:color="000000" w:sz="6" w:space="0"/>
        </w:tcBorders>
      </w:tcPr>
    </w:tblStylePr>
    <w:tblStylePr w:type="lastRow">
      <w:tcPr>
        <w:tcBorders>
          <w:top w:val="single" w:color="000000" w:sz="6" w:space="0"/>
        </w:tcBorders>
      </w:tcPr>
    </w:tblStylePr>
    <w:tblStylePr w:type="swCell">
      <w:rPr>
        <w:b/>
        <w:bCs/>
      </w:rPr>
    </w:tblStylePr>
  </w:style>
  <w:style w:type="table" w:styleId="1349" w:customStyle="1">
    <w:name w:val="Таблица-список 21"/>
    <w:basedOn w:val="756"/>
    <w:next w:val="1238"/>
    <w:pPr>
      <w:spacing w:after="0" w:line="240" w:lineRule="auto"/>
    </w:pPr>
    <w:rPr>
      <w:rFonts w:ascii="Times New Roman" w:hAnsi="Times New Roman" w:eastAsia="Times New Roman" w:cs="Times New Roman"/>
      <w:sz w:val="20"/>
      <w:szCs w:val="20"/>
      <w:lang w:eastAsia="ru-RU"/>
    </w:rPr>
    <w:tblPr>
      <w:tblStyleRowBandSize w:val="2"/>
      <w:tblInd w:w="0" w:type="dxa"/>
      <w:tblBorders>
        <w:bottom w:val="single" w:color="808080" w:sz="12" w:space="0"/>
      </w:tblBorders>
      <w:tblCellMar>
        <w:left w:w="108" w:type="dxa"/>
        <w:top w:w="0" w:type="dxa"/>
        <w:right w:w="108" w:type="dxa"/>
        <w:bottom w:w="0" w:type="dxa"/>
      </w:tblCellMar>
    </w:tblPr>
    <w:tblStylePr w:type="band1Horz">
      <w:rPr>
        <w:color w:val="auto"/>
      </w:rPr>
      <w:tcPr>
        <w:shd w:val="pct20" w:color="00ff00" w:fill="ffffff"/>
      </w:tcPr>
    </w:tblStylePr>
    <w:tblStylePr w:type="band2Horz">
      <w:rPr>
        <w:color w:val="auto"/>
      </w:rPr>
    </w:tblStylePr>
    <w:tblStylePr w:type="firstRow">
      <w:rPr>
        <w:b/>
        <w:bCs/>
        <w:color w:val="ffffff"/>
      </w:rPr>
      <w:tcPr>
        <w:shd w:val="pct75" w:color="008080" w:fill="008000"/>
        <w:tcBorders>
          <w:bottom w:val="single" w:color="000000" w:sz="6" w:space="0"/>
        </w:tcBorders>
      </w:tcPr>
    </w:tblStylePr>
    <w:tblStylePr w:type="lastRow">
      <w:tcPr>
        <w:tcBorders>
          <w:top w:val="single" w:color="000000" w:sz="6" w:space="0"/>
        </w:tcBorders>
      </w:tcPr>
    </w:tblStylePr>
    <w:tblStylePr w:type="swCell">
      <w:rPr>
        <w:b/>
        <w:bCs/>
      </w:rPr>
    </w:tblStylePr>
  </w:style>
  <w:style w:type="table" w:styleId="1350" w:customStyle="1">
    <w:name w:val="Таблица-список 31"/>
    <w:basedOn w:val="756"/>
    <w:next w:val="1239"/>
    <w:pPr>
      <w:spacing w:after="0" w:line="240" w:lineRule="auto"/>
    </w:pPr>
    <w:rPr>
      <w:rFonts w:ascii="Times New Roman" w:hAnsi="Times New Roman" w:eastAsia="Times New Roman" w:cs="Times New Roman"/>
      <w:sz w:val="20"/>
      <w:szCs w:val="20"/>
      <w:lang w:eastAsia="ru-RU"/>
    </w:rPr>
    <w:tblPr>
      <w:tblInd w:w="0" w:type="dxa"/>
      <w:tblBorders>
        <w:top w:val="single" w:color="000000" w:sz="12" w:space="0"/>
        <w:bottom w:val="single" w:color="000000" w:sz="12" w:space="0"/>
        <w:insideH w:val="single" w:color="000000" w:sz="6" w:space="0"/>
      </w:tblBorders>
      <w:tblCellMar>
        <w:left w:w="108" w:type="dxa"/>
        <w:top w:w="0" w:type="dxa"/>
        <w:right w:w="108" w:type="dxa"/>
        <w:bottom w:w="0" w:type="dxa"/>
      </w:tblCellMar>
    </w:tblPr>
    <w:tcPr>
      <w:shd w:val="clear" w:color="auto" w:fill="auto"/>
    </w:tcPr>
    <w:tblStylePr w:type="firstRow">
      <w:rPr>
        <w:b/>
        <w:bCs/>
        <w:color w:val="000080"/>
      </w:rPr>
      <w:tcPr>
        <w:tcBorders>
          <w:bottom w:val="single" w:color="000000" w:sz="12" w:space="0"/>
        </w:tcBorders>
      </w:tcPr>
    </w:tblStylePr>
    <w:tblStylePr w:type="lastRow">
      <w:tcPr>
        <w:tcBorders>
          <w:top w:val="single" w:color="000000" w:sz="12" w:space="0"/>
        </w:tcBorders>
      </w:tcPr>
    </w:tblStylePr>
    <w:tblStylePr w:type="swCell">
      <w:rPr>
        <w:i/>
        <w:iCs/>
        <w:color w:val="000080"/>
      </w:rPr>
    </w:tblStylePr>
  </w:style>
  <w:style w:type="table" w:styleId="1351" w:customStyle="1">
    <w:name w:val="Таблица-список 41"/>
    <w:basedOn w:val="756"/>
    <w:next w:val="1240"/>
    <w:pPr>
      <w:spacing w:after="0" w:line="240" w:lineRule="auto"/>
    </w:pPr>
    <w:rPr>
      <w:rFonts w:ascii="Times New Roman" w:hAnsi="Times New Roman" w:eastAsia="Times New Roman" w:cs="Times New Roman"/>
      <w:sz w:val="20"/>
      <w:szCs w:val="20"/>
      <w:lang w:eastAsia="ru-RU"/>
    </w:rPr>
    <w:tblPr>
      <w:tblInd w:w="0" w:type="dxa"/>
      <w:tblBorders>
        <w:top w:val="single" w:color="000000" w:sz="12" w:space="0"/>
        <w:left w:val="single" w:color="000000" w:sz="12" w:space="0"/>
        <w:bottom w:val="single" w:color="000000" w:sz="12" w:space="0"/>
        <w:right w:val="single" w:color="000000" w:sz="12" w:space="0"/>
        <w:insideH w:val="single" w:color="000000" w:sz="6" w:space="0"/>
      </w:tblBorders>
      <w:tblCellMar>
        <w:left w:w="108" w:type="dxa"/>
        <w:top w:w="0" w:type="dxa"/>
        <w:right w:w="108" w:type="dxa"/>
        <w:bottom w:w="0" w:type="dxa"/>
      </w:tblCellMar>
    </w:tblPr>
    <w:tcPr>
      <w:shd w:val="clear" w:color="auto" w:fill="auto"/>
    </w:tcPr>
    <w:tblStylePr w:type="firstRow">
      <w:rPr>
        <w:b/>
        <w:bCs/>
        <w:color w:val="ffffff"/>
      </w:rPr>
      <w:tcPr>
        <w:shd w:val="solid" w:color="808080" w:fill="ffffff"/>
        <w:tcBorders>
          <w:bottom w:val="single" w:color="000000" w:sz="12" w:space="0"/>
        </w:tcBorders>
      </w:tcPr>
    </w:tblStylePr>
  </w:style>
  <w:style w:type="table" w:styleId="1352" w:customStyle="1">
    <w:name w:val="Таблица-список 51"/>
    <w:basedOn w:val="756"/>
    <w:next w:val="1241"/>
    <w:pPr>
      <w:spacing w:after="0" w:line="240" w:lineRule="auto"/>
    </w:pPr>
    <w:rPr>
      <w:rFonts w:ascii="Times New Roman" w:hAnsi="Times New Roman" w:eastAsia="Times New Roman" w:cs="Times New Roman"/>
      <w:sz w:val="20"/>
      <w:szCs w:val="20"/>
      <w:lang w:eastAsia="ru-RU"/>
    </w:rPr>
    <w:tblPr>
      <w:tblInd w:w="0" w:type="dxa"/>
      <w:tblBorders>
        <w:top w:val="single" w:color="000000" w:sz="6" w:space="0"/>
        <w:left w:val="single" w:color="000000" w:sz="6" w:space="0"/>
        <w:bottom w:val="single" w:color="000000" w:sz="6" w:space="0"/>
        <w:right w:val="single" w:color="000000" w:sz="6" w:space="0"/>
        <w:insideH w:val="single" w:color="000000" w:sz="6" w:space="0"/>
      </w:tblBorders>
      <w:tblCellMar>
        <w:left w:w="108" w:type="dxa"/>
        <w:top w:w="0" w:type="dxa"/>
        <w:right w:w="108" w:type="dxa"/>
        <w:bottom w:w="0" w:type="dxa"/>
      </w:tblCellMar>
    </w:tblPr>
    <w:tcPr>
      <w:shd w:val="clear" w:color="auto" w:fill="auto"/>
    </w:tcPr>
    <w:tblStylePr w:type="firstCol">
      <w:rPr>
        <w:b/>
        <w:bCs/>
      </w:rPr>
    </w:tblStylePr>
    <w:tblStylePr w:type="firstRow">
      <w:rPr>
        <w:b/>
        <w:bCs/>
      </w:rPr>
      <w:tcPr>
        <w:tcBorders>
          <w:bottom w:val="single" w:color="000000" w:sz="12" w:space="0"/>
        </w:tcBorders>
      </w:tcPr>
    </w:tblStylePr>
  </w:style>
  <w:style w:type="table" w:styleId="1353" w:customStyle="1">
    <w:name w:val="Таблица-список 61"/>
    <w:basedOn w:val="756"/>
    <w:next w:val="1242"/>
    <w:pPr>
      <w:spacing w:after="0" w:line="240" w:lineRule="auto"/>
    </w:pPr>
    <w:rPr>
      <w:rFonts w:ascii="Times New Roman" w:hAnsi="Times New Roman" w:eastAsia="Times New Roman" w:cs="Times New Roman"/>
      <w:sz w:val="20"/>
      <w:szCs w:val="20"/>
      <w:lang w:eastAsia="ru-RU"/>
    </w:rPr>
    <w:tblPr>
      <w:tblStyleRowBandSize w:val="1"/>
      <w:tblInd w:w="0" w:type="dxa"/>
      <w:tblBorders>
        <w:top w:val="single" w:color="000000" w:sz="6" w:space="0"/>
        <w:left w:val="single" w:color="000000" w:sz="6" w:space="0"/>
        <w:bottom w:val="single" w:color="000000" w:sz="6" w:space="0"/>
        <w:right w:val="single" w:color="000000" w:sz="6" w:space="0"/>
      </w:tblBorders>
      <w:tblCellMar>
        <w:left w:w="108" w:type="dxa"/>
        <w:top w:w="0" w:type="dxa"/>
        <w:right w:w="108" w:type="dxa"/>
        <w:bottom w:w="0" w:type="dxa"/>
      </w:tblCellMar>
    </w:tblPr>
    <w:tcPr>
      <w:shd w:val="pct50" w:color="000000" w:fill="ffffff"/>
    </w:tcPr>
    <w:tblStylePr w:type="band1Horz">
      <w:tcPr>
        <w:shd w:val="pct25" w:color="000000" w:fill="ffffff"/>
      </w:tcPr>
    </w:tblStylePr>
    <w:tblStylePr w:type="firstCol">
      <w:rPr>
        <w:b/>
        <w:bCs/>
      </w:rPr>
      <w:tcPr>
        <w:tcBorders>
          <w:right w:val="single" w:color="000000" w:sz="12" w:space="0"/>
        </w:tcBorders>
      </w:tcPr>
    </w:tblStylePr>
    <w:tblStylePr w:type="firstRow">
      <w:rPr>
        <w:b/>
        <w:bCs/>
      </w:rPr>
      <w:tcPr>
        <w:tcBorders>
          <w:bottom w:val="single" w:color="000000" w:sz="12" w:space="0"/>
        </w:tcBorders>
      </w:tcPr>
    </w:tblStylePr>
  </w:style>
  <w:style w:type="table" w:styleId="1354" w:customStyle="1">
    <w:name w:val="Таблица-список 71"/>
    <w:basedOn w:val="756"/>
    <w:next w:val="1243"/>
    <w:pPr>
      <w:spacing w:after="0" w:line="240" w:lineRule="auto"/>
    </w:pPr>
    <w:rPr>
      <w:rFonts w:ascii="Times New Roman" w:hAnsi="Times New Roman" w:eastAsia="Times New Roman" w:cs="Times New Roman"/>
      <w:sz w:val="20"/>
      <w:szCs w:val="20"/>
      <w:lang w:eastAsia="ru-RU"/>
    </w:rPr>
    <w:tblPr>
      <w:tblStyleRowBandSize w:val="1"/>
      <w:tblInd w:w="0" w:type="dxa"/>
      <w:tblBorders>
        <w:top w:val="single" w:color="008000" w:sz="12" w:space="0"/>
        <w:left w:val="single" w:color="008000" w:sz="6" w:space="0"/>
        <w:bottom w:val="single" w:color="008000" w:sz="12" w:space="0"/>
        <w:right w:val="single" w:color="008000" w:sz="6" w:space="0"/>
        <w:insideH w:val="single" w:color="000000" w:sz="6" w:space="0"/>
      </w:tblBorders>
      <w:tblCellMar>
        <w:left w:w="108" w:type="dxa"/>
        <w:top w:w="0" w:type="dxa"/>
        <w:right w:w="108" w:type="dxa"/>
        <w:bottom w:w="0" w:type="dxa"/>
      </w:tblCellMar>
    </w:tblPr>
    <w:tblStylePr w:type="band1Horz">
      <w:rPr>
        <w:color w:val="auto"/>
      </w:rPr>
      <w:tcPr>
        <w:shd w:val="pct20" w:color="000000" w:fill="ffffff"/>
      </w:tcPr>
    </w:tblStylePr>
    <w:tblStylePr w:type="band2Horz">
      <w:tcPr>
        <w:shd w:val="pct25" w:color="ffff00" w:fill="ffffff"/>
      </w:tcPr>
    </w:tblStylePr>
    <w:tblStylePr w:type="firstCol">
      <w:rPr>
        <w:b/>
        <w:bCs/>
      </w:rPr>
    </w:tblStylePr>
    <w:tblStylePr w:type="firstRow">
      <w:rPr>
        <w:b/>
        <w:bCs/>
      </w:rPr>
      <w:tcPr>
        <w:shd w:val="solid" w:color="c0c0c0" w:fill="ffffff"/>
        <w:tcBorders>
          <w:bottom w:val="single" w:color="008000" w:sz="12" w:space="0"/>
        </w:tcBorders>
      </w:tcPr>
    </w:tblStylePr>
    <w:tblStylePr w:type="lastCol">
      <w:rPr>
        <w:b/>
        <w:bCs/>
      </w:rPr>
    </w:tblStylePr>
    <w:tblStylePr w:type="lastRow">
      <w:rPr>
        <w:b/>
        <w:bCs/>
      </w:rPr>
      <w:tcPr>
        <w:tcBorders>
          <w:top w:val="single" w:color="008000" w:sz="12" w:space="0"/>
        </w:tcBorders>
      </w:tcPr>
    </w:tblStylePr>
  </w:style>
  <w:style w:type="table" w:styleId="1355" w:customStyle="1">
    <w:name w:val="Таблица-список 81"/>
    <w:basedOn w:val="756"/>
    <w:next w:val="1244"/>
    <w:pPr>
      <w:spacing w:after="0" w:line="240" w:lineRule="auto"/>
    </w:pPr>
    <w:rPr>
      <w:rFonts w:ascii="Times New Roman" w:hAnsi="Times New Roman" w:eastAsia="Times New Roman" w:cs="Times New Roman"/>
      <w:sz w:val="20"/>
      <w:szCs w:val="20"/>
      <w:lang w:eastAsia="ru-RU"/>
    </w:rPr>
    <w:tblPr>
      <w:tblStyleRowBandSize w:val="1"/>
      <w:tblInd w:w="0" w:type="dxa"/>
      <w:tblBorders>
        <w:top w:val="single" w:color="000000" w:sz="6" w:space="0"/>
        <w:left w:val="single" w:color="000000" w:sz="6" w:space="0"/>
        <w:bottom w:val="single" w:color="000000" w:sz="6" w:space="0"/>
        <w:right w:val="single" w:color="000000" w:sz="6" w:space="0"/>
        <w:insideV w:val="single" w:color="000000" w:sz="6" w:space="0"/>
      </w:tblBorders>
      <w:tblCellMar>
        <w:left w:w="108" w:type="dxa"/>
        <w:top w:w="0" w:type="dxa"/>
        <w:right w:w="108" w:type="dxa"/>
        <w:bottom w:w="0" w:type="dxa"/>
      </w:tblCellMar>
    </w:tblPr>
    <w:tblStylePr w:type="band1Horz">
      <w:rPr>
        <w:color w:val="auto"/>
      </w:rPr>
      <w:tcPr>
        <w:shd w:val="pct25" w:color="ffff00" w:fill="ffffff"/>
      </w:tcPr>
    </w:tblStylePr>
    <w:tblStylePr w:type="band2Horz">
      <w:tcPr>
        <w:shd w:val="pct50" w:color="ff0000" w:fill="ffffff"/>
      </w:tcPr>
    </w:tblStylePr>
    <w:tblStylePr w:type="firstCol">
      <w:rPr>
        <w:b/>
        <w:bCs/>
      </w:rPr>
    </w:tblStylePr>
    <w:tblStylePr w:type="firstRow">
      <w:rPr>
        <w:b/>
        <w:bCs/>
        <w:i/>
        <w:iCs/>
      </w:rPr>
      <w:tcPr>
        <w:shd w:val="solid" w:color="ffff00" w:fill="ffffff"/>
        <w:tcBorders>
          <w:bottom w:val="single" w:color="000000" w:sz="6" w:space="0"/>
        </w:tcBorders>
      </w:tcPr>
    </w:tblStylePr>
    <w:tblStylePr w:type="lastCol">
      <w:rPr>
        <w:b/>
        <w:bCs/>
      </w:rPr>
    </w:tblStylePr>
    <w:tblStylePr w:type="lastRow">
      <w:rPr>
        <w:b/>
        <w:bCs/>
      </w:rPr>
      <w:tcPr>
        <w:tcBorders>
          <w:top w:val="single" w:color="000000" w:sz="6" w:space="0"/>
        </w:tcBorders>
      </w:tcPr>
    </w:tblStylePr>
  </w:style>
  <w:style w:type="table" w:styleId="1356" w:customStyle="1">
    <w:name w:val="Тема таблицы1"/>
    <w:basedOn w:val="756"/>
    <w:next w:val="1245"/>
    <w:pPr>
      <w:spacing w:after="0" w:line="240" w:lineRule="auto"/>
    </w:pPr>
    <w:rPr>
      <w:rFonts w:ascii="Times New Roman" w:hAnsi="Times New Roman" w:eastAsia="Times New Roman" w:cs="Times New Roman"/>
      <w:sz w:val="20"/>
      <w:szCs w:val="20"/>
      <w:lang w:eastAsia="ru-RU"/>
    </w:r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1357" w:customStyle="1">
    <w:name w:val="Цветная таблица 11"/>
    <w:basedOn w:val="756"/>
    <w:next w:val="1246"/>
    <w:pPr>
      <w:spacing w:after="0" w:line="240" w:lineRule="auto"/>
    </w:pPr>
    <w:rPr>
      <w:rFonts w:ascii="Times New Roman" w:hAnsi="Times New Roman" w:eastAsia="Times New Roman" w:cs="Times New Roman"/>
      <w:color w:val="ffffff"/>
      <w:sz w:val="20"/>
      <w:szCs w:val="20"/>
      <w:lang w:eastAsia="ru-RU"/>
    </w:rPr>
    <w:tblPr>
      <w:tblInd w:w="0" w:type="dxa"/>
      <w:tblBorders>
        <w:top w:val="single" w:color="008080" w:sz="12" w:space="0"/>
        <w:left w:val="single" w:color="008080" w:sz="12" w:space="0"/>
        <w:bottom w:val="single" w:color="008080" w:sz="12" w:space="0"/>
        <w:right w:val="single" w:color="008080" w:sz="12" w:space="0"/>
        <w:insideH w:val="single" w:color="00FFFF" w:sz="6" w:space="0"/>
      </w:tblBorders>
      <w:tblCellMar>
        <w:left w:w="108" w:type="dxa"/>
        <w:top w:w="0" w:type="dxa"/>
        <w:right w:w="108" w:type="dxa"/>
        <w:bottom w:w="0" w:type="dxa"/>
      </w:tblCellMar>
    </w:tblPr>
    <w:tcPr>
      <w:shd w:val="solid" w:color="008080" w:fill="ffffff"/>
    </w:tcPr>
    <w:tblStylePr w:type="firstCol">
      <w:rPr>
        <w:b/>
        <w:bCs/>
        <w:i/>
        <w:iCs/>
      </w:rPr>
      <w:tcPr>
        <w:shd w:val="solid" w:color="000080" w:fill="ffffff"/>
      </w:tcPr>
    </w:tblStylePr>
    <w:tblStylePr w:type="firstRow">
      <w:rPr>
        <w:b/>
        <w:bCs/>
        <w:i/>
        <w:iCs/>
      </w:rPr>
      <w:tcPr>
        <w:shd w:val="solid" w:color="000000" w:fill="ffffff"/>
      </w:tcPr>
    </w:tblStylePr>
    <w:tblStylePr w:type="nwCell">
      <w:tcPr>
        <w:shd w:val="solid" w:color="000000" w:fill="ffffff"/>
      </w:tcPr>
    </w:tblStylePr>
    <w:tblStylePr w:type="swCell">
      <w:rPr>
        <w:b/>
        <w:bCs/>
        <w:i w:val="0"/>
        <w:iCs w:val="0"/>
      </w:rPr>
    </w:tblStylePr>
  </w:style>
  <w:style w:type="table" w:styleId="1358" w:customStyle="1">
    <w:name w:val="Цветная таблица 21"/>
    <w:basedOn w:val="756"/>
    <w:next w:val="1247"/>
    <w:pPr>
      <w:spacing w:after="0" w:line="240" w:lineRule="auto"/>
    </w:pPr>
    <w:rPr>
      <w:rFonts w:ascii="Times New Roman" w:hAnsi="Times New Roman" w:eastAsia="Times New Roman" w:cs="Times New Roman"/>
      <w:sz w:val="20"/>
      <w:szCs w:val="20"/>
      <w:lang w:eastAsia="ru-RU"/>
    </w:rPr>
    <w:tblPr>
      <w:tblInd w:w="0" w:type="dxa"/>
      <w:tblBorders>
        <w:bottom w:val="single" w:color="000000" w:sz="12" w:space="0"/>
      </w:tblBorders>
      <w:tblCellMar>
        <w:left w:w="108" w:type="dxa"/>
        <w:top w:w="0" w:type="dxa"/>
        <w:right w:w="108" w:type="dxa"/>
        <w:bottom w:w="0" w:type="dxa"/>
      </w:tblCellMar>
    </w:tblPr>
    <w:tcPr>
      <w:shd w:val="pct20" w:color="ffff00" w:fill="ffffff"/>
    </w:tcPr>
    <w:tblStylePr w:type="firstCol">
      <w:rPr>
        <w:b/>
        <w:bCs/>
        <w:i/>
        <w:iCs/>
      </w:rPr>
    </w:tblStylePr>
    <w:tblStylePr w:type="firstRow">
      <w:rPr>
        <w:b/>
        <w:bCs/>
        <w:i/>
        <w:iCs/>
        <w:color w:val="ffffff"/>
      </w:rPr>
      <w:tcPr>
        <w:shd w:val="solid" w:color="800000" w:fill="ffffff"/>
        <w:tcBorders>
          <w:bottom w:val="single" w:color="000000" w:sz="12" w:space="0"/>
        </w:tcBorders>
      </w:tcPr>
    </w:tblStylePr>
    <w:tblStylePr w:type="lastCol">
      <w:tcPr>
        <w:shd w:val="solid" w:color="c0c0c0" w:fill="ffffff"/>
      </w:tcPr>
    </w:tblStylePr>
    <w:tblStylePr w:type="swCell">
      <w:rPr>
        <w:b/>
        <w:bCs/>
        <w:i w:val="0"/>
        <w:iCs w:val="0"/>
      </w:rPr>
    </w:tblStylePr>
  </w:style>
  <w:style w:type="table" w:styleId="1359" w:customStyle="1">
    <w:name w:val="Цветная таблица 31"/>
    <w:basedOn w:val="756"/>
    <w:next w:val="1248"/>
    <w:pPr>
      <w:spacing w:after="0" w:line="240" w:lineRule="auto"/>
    </w:pPr>
    <w:rPr>
      <w:rFonts w:ascii="Times New Roman" w:hAnsi="Times New Roman" w:eastAsia="Times New Roman" w:cs="Times New Roman"/>
      <w:sz w:val="20"/>
      <w:szCs w:val="20"/>
      <w:lang w:eastAsia="ru-RU"/>
    </w:rPr>
    <w:tblPr>
      <w:tblInd w:w="0" w:type="dxa"/>
      <w:tblBorders>
        <w:top w:val="single" w:color="000000" w:sz="18" w:space="0"/>
        <w:left w:val="single" w:color="000000" w:sz="18" w:space="0"/>
        <w:bottom w:val="single" w:color="000000" w:sz="18" w:space="0"/>
        <w:right w:val="single" w:color="000000" w:sz="18" w:space="0"/>
        <w:insideH w:val="single" w:color="C0C0C0" w:sz="6" w:space="0"/>
      </w:tblBorders>
      <w:tblCellMar>
        <w:left w:w="108" w:type="dxa"/>
        <w:top w:w="0" w:type="dxa"/>
        <w:right w:w="108" w:type="dxa"/>
        <w:bottom w:w="0" w:type="dxa"/>
      </w:tblCellMar>
    </w:tblPr>
    <w:tcPr>
      <w:shd w:val="pct25" w:color="008080" w:fill="ffffff"/>
    </w:tcPr>
    <w:tblStylePr w:type="firstCol">
      <w:tcPr>
        <w:shd w:val="solid" w:color="008080" w:fill="ffffff"/>
        <w:tcBorders>
          <w:left w:val="single" w:color="000000" w:sz="36" w:space="0"/>
          <w:right w:val="single" w:color="000000" w:sz="6" w:space="0"/>
        </w:tcBorders>
      </w:tcPr>
    </w:tblStylePr>
    <w:tblStylePr w:type="firstRow">
      <w:tcPr>
        <w:shd w:val="solid" w:color="008080" w:fill="ffffff"/>
        <w:tcBorders>
          <w:bottom w:val="single" w:color="000000" w:sz="6" w:space="0"/>
        </w:tcBorders>
      </w:tcPr>
    </w:tblStylePr>
    <w:tblStylePr w:type="nwCell">
      <w:rPr>
        <w:b/>
        <w:bCs/>
        <w:color w:val="ffffff"/>
      </w:rPr>
      <w:tcPr>
        <w:shd w:val="solid" w:color="000000" w:fill="ffffff"/>
      </w:tcPr>
    </w:tblStylePr>
  </w:style>
  <w:style w:type="table" w:styleId="1360" w:customStyle="1">
    <w:name w:val="Средняя заливка 2 - Акцент 53"/>
    <w:basedOn w:val="756"/>
    <w:next w:val="1252"/>
    <w:uiPriority w:val="64"/>
    <w:pPr>
      <w:spacing w:after="0" w:line="240" w:lineRule="auto"/>
    </w:pPr>
    <w:rPr>
      <w:rFonts w:ascii="Calibri" w:hAnsi="Calibri" w:eastAsia="Times New Roman" w:cs="Times New Roman"/>
    </w:rPr>
    <w:tblPr>
      <w:tblStyleRowBandSize w:val="1"/>
      <w:tblStyleColBandSize w:val="1"/>
      <w:tblInd w:w="0" w:type="dxa"/>
      <w:tblBorders>
        <w:top w:val="single" w:color="000000" w:sz="18" w:space="0"/>
        <w:bottom w:val="single" w:color="000000" w:sz="18" w:space="0"/>
      </w:tblBorders>
      <w:tblCellMar>
        <w:left w:w="108" w:type="dxa"/>
        <w:top w:w="0" w:type="dxa"/>
        <w:right w:w="108" w:type="dxa"/>
        <w:bottom w:w="0" w:type="dxa"/>
      </w:tblCellMar>
    </w:tblPr>
    <w:tblStylePr w:type="band1Horz">
      <w:tcPr>
        <w:shd w:val="clear" w:color="auto" w:fill="cecece"/>
      </w:tcPr>
    </w:tblStylePr>
    <w:tblStylePr w:type="band1Vert">
      <w:tcPr>
        <w:shd w:val="clear" w:color="auto" w:fill="cecece"/>
        <w:tcBorders>
          <w:left w:val="none" w:color="000000" w:sz="4" w:space="0"/>
          <w:right w:val="none" w:color="000000" w:sz="4" w:space="0"/>
          <w:insideH w:val="none" w:color="000000" w:sz="4" w:space="0"/>
          <w:insideV w:val="none" w:color="000000" w:sz="4" w:space="0"/>
        </w:tcBorders>
      </w:tcPr>
    </w:tblStylePr>
    <w:tblStylePr w:type="firstCol">
      <w:rPr>
        <w:b/>
        <w:bCs/>
        <w:color w:val="f4f4f4"/>
      </w:rPr>
      <w:tcPr>
        <w:shd w:val="clear" w:color="auto" w:fill="4bacc6"/>
        <w:tcBorders>
          <w:top w:val="none" w:color="000000" w:sz="4" w:space="0"/>
          <w:left w:val="none" w:color="000000" w:sz="4" w:space="0"/>
          <w:bottom w:val="single" w:color="auto" w:sz="18" w:space="0"/>
          <w:right w:val="none" w:color="000000" w:sz="4" w:space="0"/>
          <w:insideH w:val="none" w:color="000000" w:sz="4" w:space="0"/>
          <w:insideV w:val="none" w:color="000000" w:sz="4" w:space="0"/>
        </w:tcBorders>
      </w:tcPr>
    </w:tblStylePr>
    <w:tblStylePr w:type="firstRow">
      <w:rPr>
        <w:b/>
        <w:bCs/>
        <w:color w:val="f4f4f4"/>
      </w:rPr>
      <w:pPr>
        <w:spacing w:before="0" w:after="0" w:line="240" w:lineRule="auto"/>
      </w:pPr>
      <w:tcPr>
        <w:shd w:val="clear" w:color="auto" w:fill="4bacc6"/>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tblStylePr w:type="lastCol">
      <w:rPr>
        <w:b/>
        <w:bCs/>
        <w:color w:val="f4f4f4"/>
      </w:rPr>
      <w:tcPr>
        <w:shd w:val="clear" w:color="auto" w:fill="4bacc6"/>
        <w:tcBorders>
          <w:left w:val="none" w:color="000000" w:sz="4" w:space="0"/>
          <w:right w:val="none" w:color="000000" w:sz="4" w:space="0"/>
          <w:insideH w:val="none" w:color="000000" w:sz="4" w:space="0"/>
          <w:insideV w:val="none" w:color="000000" w:sz="4" w:space="0"/>
        </w:tcBorders>
      </w:tcPr>
    </w:tblStylePr>
    <w:tblStylePr w:type="lastRow">
      <w:pPr>
        <w:spacing w:before="0" w:after="0" w:line="240" w:lineRule="auto"/>
      </w:pPr>
      <w:tcPr>
        <w:shd w:val="clear" w:color="auto" w:fill="f4f4f4"/>
        <w:tcBorders>
          <w:top w:val="single" w:color="auto" w:sz="6" w:space="0"/>
          <w:left w:val="none" w:color="000000" w:sz="4" w:space="0"/>
          <w:bottom w:val="single" w:color="auto" w:sz="18" w:space="0"/>
          <w:right w:val="none" w:color="000000" w:sz="4" w:space="0"/>
          <w:insideH w:val="none" w:color="000000" w:sz="4" w:space="0"/>
          <w:insideV w:val="none" w:color="000000" w:sz="4" w:space="0"/>
        </w:tcBorders>
      </w:tcPr>
    </w:tblStylePr>
    <w:tblStylePr w:type="nwCell">
      <w:rPr>
        <w:color w:val="f4f4f4"/>
      </w:rPr>
      <w:tcPr>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tblStylePr w:type="neCell">
      <w:tcPr>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style>
  <w:style w:type="table" w:styleId="1361" w:customStyle="1">
    <w:name w:val="Средняя заливка 2 - Акцент 512"/>
    <w:basedOn w:val="756"/>
    <w:next w:val="1252"/>
    <w:uiPriority w:val="64"/>
    <w:pPr>
      <w:spacing w:after="0" w:line="240" w:lineRule="auto"/>
    </w:pPr>
    <w:rPr>
      <w:rFonts w:ascii="Calibri" w:hAnsi="Calibri" w:eastAsia="Times New Roman" w:cs="Times New Roman"/>
    </w:rPr>
    <w:tblPr>
      <w:tblStyleRowBandSize w:val="1"/>
      <w:tblStyleColBandSize w:val="1"/>
      <w:tblInd w:w="0" w:type="dxa"/>
      <w:tblBorders>
        <w:top w:val="single" w:color="000000" w:sz="18" w:space="0"/>
        <w:bottom w:val="single" w:color="000000" w:sz="18" w:space="0"/>
      </w:tblBorders>
      <w:tblCellMar>
        <w:left w:w="108" w:type="dxa"/>
        <w:top w:w="0" w:type="dxa"/>
        <w:right w:w="108" w:type="dxa"/>
        <w:bottom w:w="0" w:type="dxa"/>
      </w:tblCellMar>
    </w:tblPr>
    <w:tblStylePr w:type="band1Horz">
      <w:tcPr>
        <w:shd w:val="clear" w:color="auto" w:fill="cecece"/>
      </w:tcPr>
    </w:tblStylePr>
    <w:tblStylePr w:type="band1Vert">
      <w:tcPr>
        <w:shd w:val="clear" w:color="auto" w:fill="cecece"/>
        <w:tcBorders>
          <w:left w:val="none" w:color="000000" w:sz="4" w:space="0"/>
          <w:right w:val="none" w:color="000000" w:sz="4" w:space="0"/>
          <w:insideH w:val="none" w:color="000000" w:sz="4" w:space="0"/>
          <w:insideV w:val="none" w:color="000000" w:sz="4" w:space="0"/>
        </w:tcBorders>
      </w:tcPr>
    </w:tblStylePr>
    <w:tblStylePr w:type="firstCol">
      <w:rPr>
        <w:b/>
        <w:bCs/>
        <w:color w:val="f4f4f4"/>
      </w:rPr>
      <w:tcPr>
        <w:shd w:val="clear" w:color="auto" w:fill="4bacc6"/>
        <w:tcBorders>
          <w:top w:val="none" w:color="000000" w:sz="4" w:space="0"/>
          <w:left w:val="none" w:color="000000" w:sz="4" w:space="0"/>
          <w:bottom w:val="single" w:color="auto" w:sz="18" w:space="0"/>
          <w:right w:val="none" w:color="000000" w:sz="4" w:space="0"/>
          <w:insideH w:val="none" w:color="000000" w:sz="4" w:space="0"/>
          <w:insideV w:val="none" w:color="000000" w:sz="4" w:space="0"/>
        </w:tcBorders>
      </w:tcPr>
    </w:tblStylePr>
    <w:tblStylePr w:type="firstRow">
      <w:rPr>
        <w:b/>
        <w:bCs/>
        <w:color w:val="f4f4f4"/>
      </w:rPr>
      <w:pPr>
        <w:spacing w:before="0" w:after="0" w:line="240" w:lineRule="auto"/>
      </w:pPr>
      <w:tcPr>
        <w:shd w:val="clear" w:color="auto" w:fill="4bacc6"/>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tblStylePr w:type="lastCol">
      <w:rPr>
        <w:b/>
        <w:bCs/>
        <w:color w:val="f4f4f4"/>
      </w:rPr>
      <w:tcPr>
        <w:shd w:val="clear" w:color="auto" w:fill="4bacc6"/>
        <w:tcBorders>
          <w:left w:val="none" w:color="000000" w:sz="4" w:space="0"/>
          <w:right w:val="none" w:color="000000" w:sz="4" w:space="0"/>
          <w:insideH w:val="none" w:color="000000" w:sz="4" w:space="0"/>
          <w:insideV w:val="none" w:color="000000" w:sz="4" w:space="0"/>
        </w:tcBorders>
      </w:tcPr>
    </w:tblStylePr>
    <w:tblStylePr w:type="lastRow">
      <w:pPr>
        <w:spacing w:before="0" w:after="0" w:line="240" w:lineRule="auto"/>
      </w:pPr>
      <w:tcPr>
        <w:shd w:val="clear" w:color="auto" w:fill="f4f4f4"/>
        <w:tcBorders>
          <w:top w:val="single" w:color="auto" w:sz="6" w:space="0"/>
          <w:left w:val="none" w:color="000000" w:sz="4" w:space="0"/>
          <w:bottom w:val="single" w:color="auto" w:sz="18" w:space="0"/>
          <w:right w:val="none" w:color="000000" w:sz="4" w:space="0"/>
          <w:insideH w:val="none" w:color="000000" w:sz="4" w:space="0"/>
          <w:insideV w:val="none" w:color="000000" w:sz="4" w:space="0"/>
        </w:tcBorders>
      </w:tcPr>
    </w:tblStylePr>
    <w:tblStylePr w:type="nwCell">
      <w:rPr>
        <w:color w:val="f4f4f4"/>
      </w:rPr>
      <w:tcPr>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tblStylePr w:type="neCell">
      <w:tcPr>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style>
  <w:style w:type="numbering" w:styleId="1362" w:customStyle="1">
    <w:name w:val="Стиль маркированный1"/>
    <w:basedOn w:val="757"/>
    <w:pPr>
      <w:numPr>
        <w:numId w:val="6"/>
      </w:numPr>
    </w:pPr>
  </w:style>
  <w:style w:type="numbering" w:styleId="1363" w:customStyle="1">
    <w:name w:val="WW8Num21"/>
    <w:basedOn w:val="757"/>
    <w:pPr>
      <w:numPr>
        <w:numId w:val="7"/>
      </w:numPr>
    </w:pPr>
  </w:style>
  <w:style w:type="table" w:styleId="1364" w:customStyle="1">
    <w:name w:val="Средняя заливка 2 - Акцент 521"/>
    <w:basedOn w:val="756"/>
    <w:next w:val="1252"/>
    <w:uiPriority w:val="64"/>
    <w:pPr>
      <w:spacing w:after="0" w:line="240" w:lineRule="auto"/>
    </w:pPr>
    <w:rPr>
      <w:rFonts w:ascii="Calibri" w:hAnsi="Calibri" w:eastAsia="Times New Roman" w:cs="Times New Roman"/>
    </w:rPr>
    <w:tblPr>
      <w:tblStyleRowBandSize w:val="1"/>
      <w:tblStyleColBandSize w:val="1"/>
      <w:tblInd w:w="0" w:type="dxa"/>
      <w:tblBorders>
        <w:top w:val="single" w:color="000000" w:sz="18" w:space="0"/>
        <w:bottom w:val="single" w:color="000000" w:sz="18" w:space="0"/>
      </w:tblBorders>
      <w:tblCellMar>
        <w:left w:w="108" w:type="dxa"/>
        <w:top w:w="0" w:type="dxa"/>
        <w:right w:w="108" w:type="dxa"/>
        <w:bottom w:w="0" w:type="dxa"/>
      </w:tblCellMar>
    </w:tblPr>
    <w:tblStylePr w:type="band1Horz">
      <w:tcPr>
        <w:shd w:val="clear" w:color="auto" w:fill="cecece"/>
      </w:tcPr>
    </w:tblStylePr>
    <w:tblStylePr w:type="band1Vert">
      <w:tcPr>
        <w:shd w:val="clear" w:color="auto" w:fill="cecece"/>
        <w:tcBorders>
          <w:left w:val="none" w:color="000000" w:sz="4" w:space="0"/>
          <w:right w:val="none" w:color="000000" w:sz="4" w:space="0"/>
          <w:insideH w:val="none" w:color="000000" w:sz="4" w:space="0"/>
          <w:insideV w:val="none" w:color="000000" w:sz="4" w:space="0"/>
        </w:tcBorders>
      </w:tcPr>
    </w:tblStylePr>
    <w:tblStylePr w:type="firstCol">
      <w:rPr>
        <w:b/>
        <w:bCs/>
        <w:color w:val="f4f4f4"/>
      </w:rPr>
      <w:tcPr>
        <w:shd w:val="clear" w:color="auto" w:fill="4bacc6"/>
        <w:tcBorders>
          <w:top w:val="none" w:color="000000" w:sz="4" w:space="0"/>
          <w:left w:val="none" w:color="000000" w:sz="4" w:space="0"/>
          <w:bottom w:val="single" w:color="auto" w:sz="18" w:space="0"/>
          <w:right w:val="none" w:color="000000" w:sz="4" w:space="0"/>
          <w:insideH w:val="none" w:color="000000" w:sz="4" w:space="0"/>
          <w:insideV w:val="none" w:color="000000" w:sz="4" w:space="0"/>
        </w:tcBorders>
      </w:tcPr>
    </w:tblStylePr>
    <w:tblStylePr w:type="firstRow">
      <w:rPr>
        <w:b/>
        <w:bCs/>
        <w:color w:val="f4f4f4"/>
      </w:rPr>
      <w:pPr>
        <w:spacing w:before="0" w:after="0" w:line="240" w:lineRule="auto"/>
      </w:pPr>
      <w:tcPr>
        <w:shd w:val="clear" w:color="auto" w:fill="4bacc6"/>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tblStylePr w:type="lastCol">
      <w:rPr>
        <w:b/>
        <w:bCs/>
        <w:color w:val="f4f4f4"/>
      </w:rPr>
      <w:tcPr>
        <w:shd w:val="clear" w:color="auto" w:fill="4bacc6"/>
        <w:tcBorders>
          <w:left w:val="none" w:color="000000" w:sz="4" w:space="0"/>
          <w:right w:val="none" w:color="000000" w:sz="4" w:space="0"/>
          <w:insideH w:val="none" w:color="000000" w:sz="4" w:space="0"/>
          <w:insideV w:val="none" w:color="000000" w:sz="4" w:space="0"/>
        </w:tcBorders>
      </w:tcPr>
    </w:tblStylePr>
    <w:tblStylePr w:type="lastRow">
      <w:pPr>
        <w:spacing w:before="0" w:after="0" w:line="240" w:lineRule="auto"/>
      </w:pPr>
      <w:tcPr>
        <w:shd w:val="clear" w:color="auto" w:fill="f4f4f4"/>
        <w:tcBorders>
          <w:top w:val="single" w:color="auto" w:sz="6" w:space="0"/>
          <w:left w:val="none" w:color="000000" w:sz="4" w:space="0"/>
          <w:bottom w:val="single" w:color="auto" w:sz="18" w:space="0"/>
          <w:right w:val="none" w:color="000000" w:sz="4" w:space="0"/>
          <w:insideH w:val="none" w:color="000000" w:sz="4" w:space="0"/>
          <w:insideV w:val="none" w:color="000000" w:sz="4" w:space="0"/>
        </w:tcBorders>
      </w:tcPr>
    </w:tblStylePr>
    <w:tblStylePr w:type="nwCell">
      <w:rPr>
        <w:color w:val="f4f4f4"/>
      </w:rPr>
      <w:tcPr>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tblStylePr w:type="neCell">
      <w:tcPr>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style>
  <w:style w:type="table" w:styleId="1365" w:customStyle="1">
    <w:name w:val="Средняя заливка 2 - Акцент 5111"/>
    <w:basedOn w:val="756"/>
    <w:next w:val="1252"/>
    <w:uiPriority w:val="64"/>
    <w:pPr>
      <w:spacing w:after="0" w:line="240" w:lineRule="auto"/>
    </w:pPr>
    <w:rPr>
      <w:rFonts w:ascii="Calibri" w:hAnsi="Calibri" w:eastAsia="Times New Roman" w:cs="Times New Roman"/>
    </w:rPr>
    <w:tblPr>
      <w:tblStyleRowBandSize w:val="1"/>
      <w:tblStyleColBandSize w:val="1"/>
      <w:tblInd w:w="0" w:type="dxa"/>
      <w:tblBorders>
        <w:top w:val="single" w:color="000000" w:sz="18" w:space="0"/>
        <w:bottom w:val="single" w:color="000000" w:sz="18" w:space="0"/>
      </w:tblBorders>
      <w:tblCellMar>
        <w:left w:w="108" w:type="dxa"/>
        <w:top w:w="0" w:type="dxa"/>
        <w:right w:w="108" w:type="dxa"/>
        <w:bottom w:w="0" w:type="dxa"/>
      </w:tblCellMar>
    </w:tblPr>
    <w:tblStylePr w:type="band1Horz">
      <w:tcPr>
        <w:shd w:val="clear" w:color="auto" w:fill="cecece"/>
      </w:tcPr>
    </w:tblStylePr>
    <w:tblStylePr w:type="band1Vert">
      <w:tcPr>
        <w:shd w:val="clear" w:color="auto" w:fill="cecece"/>
        <w:tcBorders>
          <w:left w:val="none" w:color="000000" w:sz="4" w:space="0"/>
          <w:right w:val="none" w:color="000000" w:sz="4" w:space="0"/>
          <w:insideH w:val="none" w:color="000000" w:sz="4" w:space="0"/>
          <w:insideV w:val="none" w:color="000000" w:sz="4" w:space="0"/>
        </w:tcBorders>
      </w:tcPr>
    </w:tblStylePr>
    <w:tblStylePr w:type="firstCol">
      <w:rPr>
        <w:b/>
        <w:bCs/>
        <w:color w:val="f4f4f4"/>
      </w:rPr>
      <w:tcPr>
        <w:shd w:val="clear" w:color="auto" w:fill="4bacc6"/>
        <w:tcBorders>
          <w:top w:val="none" w:color="000000" w:sz="4" w:space="0"/>
          <w:left w:val="none" w:color="000000" w:sz="4" w:space="0"/>
          <w:bottom w:val="single" w:color="auto" w:sz="18" w:space="0"/>
          <w:right w:val="none" w:color="000000" w:sz="4" w:space="0"/>
          <w:insideH w:val="none" w:color="000000" w:sz="4" w:space="0"/>
          <w:insideV w:val="none" w:color="000000" w:sz="4" w:space="0"/>
        </w:tcBorders>
      </w:tcPr>
    </w:tblStylePr>
    <w:tblStylePr w:type="firstRow">
      <w:rPr>
        <w:b/>
        <w:bCs/>
        <w:color w:val="f4f4f4"/>
      </w:rPr>
      <w:pPr>
        <w:spacing w:before="0" w:after="0" w:line="240" w:lineRule="auto"/>
      </w:pPr>
      <w:tcPr>
        <w:shd w:val="clear" w:color="auto" w:fill="4bacc6"/>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tblStylePr w:type="lastCol">
      <w:rPr>
        <w:b/>
        <w:bCs/>
        <w:color w:val="f4f4f4"/>
      </w:rPr>
      <w:tcPr>
        <w:shd w:val="clear" w:color="auto" w:fill="4bacc6"/>
        <w:tcBorders>
          <w:left w:val="none" w:color="000000" w:sz="4" w:space="0"/>
          <w:right w:val="none" w:color="000000" w:sz="4" w:space="0"/>
          <w:insideH w:val="none" w:color="000000" w:sz="4" w:space="0"/>
          <w:insideV w:val="none" w:color="000000" w:sz="4" w:space="0"/>
        </w:tcBorders>
      </w:tcPr>
    </w:tblStylePr>
    <w:tblStylePr w:type="lastRow">
      <w:pPr>
        <w:spacing w:before="0" w:after="0" w:line="240" w:lineRule="auto"/>
      </w:pPr>
      <w:tcPr>
        <w:shd w:val="clear" w:color="auto" w:fill="f4f4f4"/>
        <w:tcBorders>
          <w:top w:val="single" w:color="auto" w:sz="6" w:space="0"/>
          <w:left w:val="none" w:color="000000" w:sz="4" w:space="0"/>
          <w:bottom w:val="single" w:color="auto" w:sz="18" w:space="0"/>
          <w:right w:val="none" w:color="000000" w:sz="4" w:space="0"/>
          <w:insideH w:val="none" w:color="000000" w:sz="4" w:space="0"/>
          <w:insideV w:val="none" w:color="000000" w:sz="4" w:space="0"/>
        </w:tcBorders>
      </w:tcPr>
    </w:tblStylePr>
    <w:tblStylePr w:type="nwCell">
      <w:rPr>
        <w:color w:val="f4f4f4"/>
      </w:rPr>
      <w:tcPr>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tblStylePr w:type="neCell">
      <w:tcPr>
        <w:tcBorders>
          <w:top w:val="single" w:color="auto" w:sz="18" w:space="0"/>
          <w:left w:val="none" w:color="000000" w:sz="4" w:space="0"/>
          <w:bottom w:val="single" w:color="auto" w:sz="18" w:space="0"/>
          <w:right w:val="none" w:color="000000" w:sz="4" w:space="0"/>
          <w:insideH w:val="none" w:color="000000" w:sz="4" w:space="0"/>
          <w:insideV w:val="none" w:color="000000" w:sz="4" w:space="0"/>
        </w:tcBorders>
      </w:tcPr>
    </w:tblStylePr>
  </w:style>
  <w:style w:type="character" w:styleId="1366" w:customStyle="1">
    <w:name w:val="Обычный текст Знак"/>
    <w:link w:val="1085"/>
    <w:rPr>
      <w:rFonts w:ascii="Times New Roman" w:hAnsi="Times New Roman" w:eastAsia="Times New Roman" w:cs="Times New Roman"/>
      <w:sz w:val="24"/>
      <w:szCs w:val="24"/>
      <w:lang w:val="en-US" w:eastAsia="ar-SA" w:bidi="en-US"/>
    </w:rPr>
  </w:style>
  <w:style w:type="paragraph" w:styleId="1367" w:customStyle="1">
    <w:name w:val="Обычный1"/>
    <w:link w:val="1369"/>
    <w:pPr>
      <w:ind w:left="221"/>
      <w:jc w:val="both"/>
      <w:spacing w:before="120" w:after="0" w:line="240" w:lineRule="auto"/>
      <w:widowControl w:val="off"/>
    </w:pPr>
    <w:rPr>
      <w:rFonts w:ascii="Times New Roman" w:hAnsi="Times New Roman" w:eastAsia="Times New Roman" w:cs="Times New Roman"/>
      <w:sz w:val="28"/>
      <w:szCs w:val="20"/>
      <w:lang w:val="en-GB" w:eastAsia="ru-RU"/>
    </w:rPr>
  </w:style>
  <w:style w:type="paragraph" w:styleId="1368" w:customStyle="1">
    <w:name w:val="Normal + 10 пт полужирный По центру Слева:  -02 см Справ..."/>
    <w:basedOn w:val="754"/>
    <w:link w:val="1370"/>
    <w:pPr>
      <w:ind w:left="-113" w:right="-113"/>
      <w:jc w:val="center"/>
      <w:widowControl/>
    </w:pPr>
    <w:rPr>
      <w:b/>
      <w:lang w:eastAsia="ru-RU"/>
    </w:rPr>
  </w:style>
  <w:style w:type="character" w:styleId="1369" w:customStyle="1">
    <w:name w:val="Normal Знак"/>
    <w:link w:val="1367"/>
    <w:rPr>
      <w:rFonts w:ascii="Times New Roman" w:hAnsi="Times New Roman" w:eastAsia="Times New Roman" w:cs="Times New Roman"/>
      <w:sz w:val="28"/>
      <w:szCs w:val="20"/>
      <w:lang w:val="en-GB" w:eastAsia="ru-RU"/>
    </w:rPr>
  </w:style>
  <w:style w:type="character" w:styleId="1370" w:customStyle="1">
    <w:name w:val="Normal + 10 пт полужирный По центру Слева:  -02 см Справ... Знак"/>
    <w:link w:val="1368"/>
    <w:rPr>
      <w:rFonts w:ascii="Times New Roman" w:hAnsi="Times New Roman" w:eastAsia="Times New Roman" w:cs="Times New Roman"/>
      <w:b/>
      <w:sz w:val="20"/>
      <w:szCs w:val="20"/>
      <w:lang w:eastAsia="ru-RU"/>
    </w:rPr>
  </w:style>
  <w:style w:type="character" w:styleId="1371" w:customStyle="1">
    <w:name w:val="List Paragraph Char"/>
    <w:rPr>
      <w:rFonts w:eastAsia="Calibri"/>
      <w:sz w:val="24"/>
      <w:szCs w:val="24"/>
      <w:lang w:val="ru-RU" w:eastAsia="ru-RU" w:bidi="ar-SA"/>
    </w:rPr>
  </w:style>
  <w:style w:type="paragraph" w:styleId="1372" w:customStyle="1">
    <w:name w:val="empty"/>
    <w:basedOn w:val="754"/>
    <w:pPr>
      <w:spacing w:before="100" w:beforeAutospacing="1" w:after="100" w:afterAutospacing="1"/>
      <w:widowControl/>
    </w:pPr>
    <w:rPr>
      <w:sz w:val="24"/>
      <w:szCs w:val="24"/>
      <w:lang w:eastAsia="ru-RU"/>
    </w:rPr>
  </w:style>
  <w:style w:type="paragraph" w:styleId="1373" w:customStyle="1">
    <w:name w:val="Style13"/>
    <w:basedOn w:val="754"/>
    <w:uiPriority w:val="99"/>
    <w:pPr>
      <w:ind w:firstLine="691"/>
      <w:jc w:val="both"/>
      <w:spacing w:line="307" w:lineRule="exact"/>
    </w:pPr>
    <w:rPr>
      <w:sz w:val="24"/>
      <w:szCs w:val="24"/>
      <w:lang w:eastAsia="ru-RU"/>
    </w:rPr>
  </w:style>
  <w:style w:type="paragraph" w:styleId="1374" w:customStyle="1">
    <w:name w:val="Style7"/>
    <w:basedOn w:val="754"/>
    <w:uiPriority w:val="99"/>
    <w:rPr>
      <w:sz w:val="24"/>
      <w:szCs w:val="24"/>
      <w:lang w:eastAsia="ru-RU"/>
    </w:rPr>
  </w:style>
  <w:style w:type="character" w:styleId="1375" w:customStyle="1">
    <w:name w:val="Основной текст + 9 pt;Интервал 0 pt;Основной текст + 12;5 pt;Полужирный;Основной текст (2) + 10 pt;Курсив;Основной текст (2) + 7"/>
    <w:qFormat/>
    <w:rPr>
      <w:rFonts w:ascii="Times New Roman" w:hAnsi="Times New Roman" w:eastAsia="Times New Roman" w:cs="Times New Roman"/>
      <w:b/>
      <w:bCs/>
      <w:i/>
      <w:iCs/>
      <w:color w:val="000000"/>
      <w:spacing w:val="1"/>
      <w:position w:val="0"/>
      <w:sz w:val="21"/>
      <w:szCs w:val="21"/>
      <w:u w:val="none"/>
      <w:shd w:val="clear" w:color="auto" w:fill="ffffff"/>
      <w:lang w:val="ru-RU"/>
    </w:rPr>
  </w:style>
  <w:style w:type="character" w:styleId="1376" w:customStyle="1">
    <w:name w:val="Основной текст + 12;5 pt;Полужирный;Интервал 0 pt"/>
    <w:qFormat/>
    <w:rPr>
      <w:rFonts w:ascii="Times New Roman" w:hAnsi="Times New Roman" w:eastAsia="Times New Roman" w:cs="Times New Roman"/>
      <w:b/>
      <w:bCs/>
      <w:color w:val="000000"/>
      <w:spacing w:val="-8"/>
      <w:position w:val="0"/>
      <w:sz w:val="25"/>
      <w:szCs w:val="25"/>
      <w:u w:val="none"/>
      <w:shd w:val="clear" w:color="auto" w:fill="ffffff"/>
      <w:lang w:val="ru-RU"/>
    </w:rPr>
  </w:style>
  <w:style w:type="paragraph" w:styleId="1377" w:customStyle="1">
    <w:name w:val="Таблица_Текст слева"/>
    <w:basedOn w:val="1070"/>
    <w:pPr>
      <w:spacing w:before="0" w:beforeAutospacing="0" w:after="0" w:afterAutospacing="0"/>
      <w:shd w:val="nil" w:color="auto"/>
      <w:pBdr>
        <w:top w:val="none" w:color="000000" w:sz="4" w:space="0"/>
        <w:left w:val="none" w:color="000000" w:sz="4" w:space="0"/>
        <w:bottom w:val="none" w:color="000000" w:sz="4" w:space="0"/>
        <w:right w:val="none" w:color="000000" w:sz="4" w:space="0"/>
        <w:between w:val="none" w:color="000000" w:sz="4" w:space="0"/>
      </w:pBdr>
    </w:pPr>
    <w:rPr>
      <w:sz w:val="20"/>
      <w:szCs w:val="20"/>
      <w:lang w:eastAsia="zh-CN"/>
    </w:rPr>
  </w:style>
  <w:style w:type="paragraph" w:styleId="1378" w:customStyle="1">
    <w:name w:val="Основной текст2"/>
    <w:qFormat/>
    <w:pPr>
      <w:ind w:left="113" w:right="113" w:hanging="1560"/>
      <w:jc w:val="center"/>
      <w:spacing w:after="720" w:line="0" w:lineRule="atLeast"/>
      <w:shd w:val="clear" w:color="auto" w:fill="ffffff"/>
      <w:widowControl w:val="off"/>
      <w:pBdr>
        <w:top w:val="none" w:color="000000" w:sz="4" w:space="0"/>
        <w:left w:val="none" w:color="000000" w:sz="4" w:space="0"/>
        <w:bottom w:val="none" w:color="000000" w:sz="4" w:space="0"/>
        <w:right w:val="none" w:color="000000" w:sz="4" w:space="0"/>
        <w:between w:val="none" w:color="000000" w:sz="4" w:space="0"/>
      </w:pBdr>
    </w:pPr>
    <w:rPr>
      <w:rFonts w:ascii="Times New Roman" w:hAnsi="Times New Roman" w:eastAsia="Times New Roman" w:cs="Times New Roman"/>
      <w:spacing w:val="-4"/>
      <w:sz w:val="26"/>
      <w:szCs w:val="26"/>
      <w:lang w:eastAsia="ru-RU"/>
    </w:rPr>
  </w:style>
  <w:style w:type="paragraph" w:styleId="1379" w:customStyle="1">
    <w:name w:val="Абзац списка;Заголовок мой1;СписокСТПр"/>
    <w:uiPriority w:val="34"/>
    <w:qFormat/>
    <w:pPr>
      <w:contextualSpacing/>
      <w:ind w:left="720"/>
      <w:shd w:val="nil" w:color="auto"/>
      <w:pBdr>
        <w:top w:val="none" w:color="000000" w:sz="4" w:space="0"/>
        <w:left w:val="none" w:color="000000" w:sz="4" w:space="0"/>
        <w:bottom w:val="none" w:color="000000" w:sz="4" w:space="0"/>
        <w:right w:val="none" w:color="000000" w:sz="4" w:space="0"/>
        <w:between w:val="none" w:color="000000" w:sz="4" w:space="0"/>
      </w:pBdr>
    </w:pPr>
    <w:rPr>
      <w:rFonts w:ascii="Calibri" w:hAnsi="Calibri" w:eastAsia="Calibri" w:cs="Times New Roman"/>
    </w:rPr>
  </w:style>
  <w:style w:type="numbering" w:styleId="1380" w:customStyle="1">
    <w:name w:val="WWNum1"/>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customXml" Target="../customXml/item1.xml" /><Relationship Id="rId11" Type="http://schemas.openxmlformats.org/officeDocument/2006/relationships/hyperlink" Target="https://www.consultant.ru/document/cons_doc_LAW_436061/" TargetMode="External"/><Relationship Id="rId12" Type="http://schemas.openxmlformats.org/officeDocument/2006/relationships/hyperlink" Target="https://www.consultant.ru/document/cons_doc_LAW_422253/" TargetMode="External"/><Relationship Id="rId13" Type="http://schemas.openxmlformats.org/officeDocument/2006/relationships/hyperlink" Target="https://internet.garant.ru/" TargetMode="External"/><Relationship Id="rId14" Type="http://schemas.openxmlformats.org/officeDocument/2006/relationships/hyperlink" Target="https://internet.garant.ru/" TargetMode="External"/><Relationship Id="rId15" Type="http://schemas.openxmlformats.org/officeDocument/2006/relationships/hyperlink" Target="https://internet.garant.ru/" TargetMode="External"/><Relationship Id="rId16" Type="http://schemas.openxmlformats.org/officeDocument/2006/relationships/hyperlink" Target="https://internet.garant.ru/" TargetMode="External"/><Relationship Id="rId17" Type="http://schemas.openxmlformats.org/officeDocument/2006/relationships/hyperlink" Target="https://internet.garant.ru/" TargetMode="External"/><Relationship Id="rId18" Type="http://schemas.openxmlformats.org/officeDocument/2006/relationships/hyperlink" Target="https://internet.garant.ru/" TargetMode="External"/><Relationship Id="rId19" Type="http://schemas.openxmlformats.org/officeDocument/2006/relationships/hyperlink" Target="https://internet.garant.ru/" TargetMode="External"/><Relationship Id="rId20" Type="http://schemas.openxmlformats.org/officeDocument/2006/relationships/hyperlink" Target="https://internet.garant.ru/" TargetMode="External"/><Relationship Id="rId21" Type="http://schemas.openxmlformats.org/officeDocument/2006/relationships/hyperlink" Target="https://internet.garant.ru/" TargetMode="External"/><Relationship Id="rId22" Type="http://schemas.openxmlformats.org/officeDocument/2006/relationships/hyperlink" Target="https://internet.garant.ru/" TargetMode="External"/><Relationship Id="rId23" Type="http://schemas.openxmlformats.org/officeDocument/2006/relationships/hyperlink" Target="http://www.consultant.ru/document/cons_doc_LAW_51040/36fb3e57a8031adb90c7b7d13d835d1f31efff63/" TargetMode="External"/><Relationship Id="rId24" Type="http://schemas.openxmlformats.org/officeDocument/2006/relationships/hyperlink" Target="https://internet.garant.ru/" TargetMode="External"/><Relationship Id="rId25" Type="http://schemas.openxmlformats.org/officeDocument/2006/relationships/hyperlink" Target="https://www.consultant.ru/document/cons_doc_LAW_364555/d5f9084cce33cb97c6616ae69fdded5f245c24cf/" TargetMode="External"/><Relationship Id="rId26" Type="http://schemas.openxmlformats.org/officeDocument/2006/relationships/hyperlink" Target="https://www.consultant.ru/document/cons_doc_LAW_111609/42cd86d2ef49ffe6b742e9faf55855b35796ddf1/" TargetMode="External"/><Relationship Id="rId27" Type="http://schemas.openxmlformats.org/officeDocument/2006/relationships/hyperlink" Target="https://internet.garant.ru/" TargetMode="External"/><Relationship Id="rId28" Type="http://schemas.openxmlformats.org/officeDocument/2006/relationships/hyperlink" Target="https://internet.garant.ru/" TargetMode="External"/><Relationship Id="rId29" Type="http://schemas.openxmlformats.org/officeDocument/2006/relationships/hyperlink" Target="https://internet.garant.ru/" TargetMode="External"/><Relationship Id="rId30" Type="http://schemas.openxmlformats.org/officeDocument/2006/relationships/hyperlink" Target="https://internet.garant.ru/" TargetMode="External"/><Relationship Id="rId31" Type="http://schemas.openxmlformats.org/officeDocument/2006/relationships/hyperlink" Target="https://internet.garant.ru/" TargetMode="External"/><Relationship Id="rId32" Type="http://schemas.openxmlformats.org/officeDocument/2006/relationships/hyperlink" Target="https://internet.garant.ru/" TargetMode="External"/><Relationship Id="rId33" Type="http://schemas.openxmlformats.org/officeDocument/2006/relationships/hyperlink" Target="https://internet.garant.ru/" TargetMode="External"/><Relationship Id="rId34" Type="http://schemas.openxmlformats.org/officeDocument/2006/relationships/hyperlink" Target="https://internet.garant.ru/" TargetMode="External"/><Relationship Id="rId35" Type="http://schemas.openxmlformats.org/officeDocument/2006/relationships/hyperlink" Target="https://internet.garant.ru/" TargetMode="External"/><Relationship Id="rId36" Type="http://schemas.openxmlformats.org/officeDocument/2006/relationships/hyperlink" Target="https://internet.garant.ru/" TargetMode="External"/><Relationship Id="rId37" Type="http://schemas.openxmlformats.org/officeDocument/2006/relationships/hyperlink" Target="https://internet.garant.ru/" TargetMode="External"/><Relationship Id="rId38" Type="http://schemas.openxmlformats.org/officeDocument/2006/relationships/hyperlink" Target="https://docs.cntd.ru/document/573536177" TargetMode="External"/><Relationship Id="rId39" Type="http://schemas.openxmlformats.org/officeDocument/2006/relationships/hyperlink" Target="https://docs.cntd.ru/document/573500115" TargetMode="External"/><Relationship Id="rId40" Type="http://schemas.openxmlformats.org/officeDocument/2006/relationships/hyperlink" Target="https://internet.garant.ru/" TargetMode="External"/><Relationship Id="rId41" Type="http://schemas.openxmlformats.org/officeDocument/2006/relationships/hyperlink" Target="https://internet.garant.ru/" TargetMode="External"/><Relationship Id="rId42" Type="http://schemas.openxmlformats.org/officeDocument/2006/relationships/hyperlink" Target="https://internet.garant.ru/" TargetMode="External"/><Relationship Id="rId43" Type="http://schemas.openxmlformats.org/officeDocument/2006/relationships/hyperlink" Target="https://internet.garant.ru/" TargetMode="External"/><Relationship Id="rId44" Type="http://schemas.openxmlformats.org/officeDocument/2006/relationships/hyperlink" Target="https://internet.garant.ru/" TargetMode="External"/><Relationship Id="rId45" Type="http://schemas.openxmlformats.org/officeDocument/2006/relationships/hyperlink" Target="https://internet.garant.ru/" TargetMode="External"/><Relationship Id="rId46" Type="http://schemas.openxmlformats.org/officeDocument/2006/relationships/hyperlink" Target="https://internet.garant.ru/" TargetMode="External"/><Relationship Id="rId47" Type="http://schemas.openxmlformats.org/officeDocument/2006/relationships/hyperlink" Target="https://internet.garant.ru/" TargetMode="External"/><Relationship Id="rId48" Type="http://schemas.openxmlformats.org/officeDocument/2006/relationships/hyperlink" Target="https://internet.garant.ru/" TargetMode="External"/><Relationship Id="rId49" Type="http://schemas.openxmlformats.org/officeDocument/2006/relationships/hyperlink" Target="https://internet.garant.ru/" TargetMode="External"/><Relationship Id="rId50" Type="http://schemas.openxmlformats.org/officeDocument/2006/relationships/hyperlink" Target="https://internet.garant.ru/" TargetMode="External"/><Relationship Id="rId51" Type="http://schemas.openxmlformats.org/officeDocument/2006/relationships/hyperlink" Target="https://internet.garant.ru/" TargetMode="External"/><Relationship Id="rId52" Type="http://schemas.openxmlformats.org/officeDocument/2006/relationships/hyperlink" Target="https://internet.garant.ru/" TargetMode="External"/><Relationship Id="rId53" Type="http://schemas.openxmlformats.org/officeDocument/2006/relationships/hyperlink" Target="https://internet.garant.ru/" TargetMode="External"/><Relationship Id="rId54" Type="http://schemas.openxmlformats.org/officeDocument/2006/relationships/hyperlink" Target="https://internet.garant.ru/" TargetMode="External"/><Relationship Id="rId55" Type="http://schemas.openxmlformats.org/officeDocument/2006/relationships/image" Target="media/image1.png"/><Relationship Id="rId56" Type="http://schemas.openxmlformats.org/officeDocument/2006/relationships/hyperlink" Target="https://docs.cntd.ru/document/902161544" TargetMode="External"/><Relationship Id="rId57" Type="http://schemas.openxmlformats.org/officeDocument/2006/relationships/hyperlink" Target="../&#1055;&#1088;&#1072;&#1074;&#1080;&#1083;&#1072;/&#1050;&#1072;&#1074;&#1082;&#1072;&#1079;&#1089;&#1082;&#1072;&#1103;%20&#1079;&#1086;&#1085;&#1072;%202020%20&#1085;&#1086;&#1074;&#1086;&#1077;%20&#1048;&#1047;&#1052;&#1045;&#1053;&#1045;&#1053;&#1048;&#1071;.doc" TargetMode="External"/><Relationship Id="rId58" Type="http://schemas.openxmlformats.org/officeDocument/2006/relationships/hyperlink" Target="https://base.garant.ru/70736874/53f89421bbdaf741eb2d1ecc4ddb4c33/" TargetMode="External"/><Relationship Id="rId59" Type="http://schemas.openxmlformats.org/officeDocument/2006/relationships/hyperlink" Target="../&#1055;&#1088;&#1072;&#1074;&#1080;&#1083;&#1072;/&#1050;&#1072;&#1074;&#1082;&#1072;&#1079;&#1089;&#1082;&#1072;&#1103;%20&#1079;&#1086;&#1085;&#1072;%202020%20&#1085;&#1086;&#1074;&#1086;&#1077;%20&#1048;&#1047;&#1052;&#1045;&#1053;&#1045;&#1053;&#1048;&#1071;.doc" TargetMode="External"/><Relationship Id="rId60" Type="http://schemas.openxmlformats.org/officeDocument/2006/relationships/hyperlink" Target="../&#1055;&#1088;&#1072;&#1074;&#1080;&#1083;&#1072;/&#1050;&#1072;&#1074;&#1082;&#1072;&#1079;&#1089;&#1082;&#1072;&#1103;%20&#1079;&#1086;&#1085;&#1072;%202020%20&#1085;&#1086;&#1074;&#1086;&#1077;%20&#1048;&#1047;&#1052;&#1045;&#1053;&#1045;&#1053;&#1048;&#1071;.doc" TargetMode="External"/><Relationship Id="rId61" Type="http://schemas.openxmlformats.org/officeDocument/2006/relationships/hyperlink" Target="../&#1055;&#1088;&#1072;&#1074;&#1080;&#1083;&#1072;/&#1050;&#1072;&#1074;&#1082;&#1072;&#1079;&#1089;&#1082;&#1072;&#1103;%20&#1079;&#1086;&#1085;&#1072;%202020%20&#1085;&#1086;&#1074;&#1086;&#1077;%20&#1048;&#1047;&#1052;&#1045;&#1053;&#1045;&#1053;&#1048;&#1071;.doc" TargetMode="External"/><Relationship Id="rId62" Type="http://schemas.openxmlformats.org/officeDocument/2006/relationships/hyperlink" Target="../&#1055;&#1088;&#1072;&#1074;&#1080;&#1083;&#1072;/&#1050;&#1072;&#1074;&#1082;&#1072;&#1079;&#1089;&#1082;&#1072;&#1103;%20&#1079;&#1086;&#1085;&#1072;%202020%20&#1085;&#1086;&#1074;&#1086;&#1077;%20&#1048;&#1047;&#1052;&#1045;&#1053;&#1045;&#1053;&#1048;&#1071;.doc" TargetMode="External"/><Relationship Id="rId63" Type="http://schemas.openxmlformats.org/officeDocument/2006/relationships/hyperlink" Target="../&#1055;&#1047;&#1047;%202021%20&#1075;&#1086;&#1076;/&#1055;&#1088;&#1072;&#1074;&#1080;&#1083;&#1072;/&#1050;&#1072;&#1074;&#1082;&#1072;&#1079;&#1089;&#1082;&#1072;&#1103;%20&#1079;&#1086;&#1085;&#1072;%202020%20&#1085;&#1086;&#1074;&#1086;&#1077;%20&#1048;&#1047;&#1052;&#1045;&#1053;&#1045;&#1053;&#1048;&#1071;.doc" TargetMode="External"/><Relationship Id="rId64" Type="http://schemas.openxmlformats.org/officeDocument/2006/relationships/hyperlink" Target="https://base.garant.ru/70736874/53f89421bbdaf741eb2d1ecc4ddb4c33/" TargetMode="External"/><Relationship Id="rId65" Type="http://schemas.openxmlformats.org/officeDocument/2006/relationships/hyperlink" Target="../&#1055;&#1047;&#1047;%202021%20&#1075;&#1086;&#1076;/&#1055;&#1088;&#1072;&#1074;&#1080;&#1083;&#1072;/&#1050;&#1072;&#1074;&#1082;&#1072;&#1079;&#1089;&#1082;&#1072;&#1103;%20&#1079;&#1086;&#1085;&#1072;%202020%20&#1085;&#1086;&#1074;&#1086;&#1077;%20&#1048;&#1047;&#1052;&#1045;&#1053;&#1045;&#1053;&#1048;&#1071;.doc" TargetMode="External"/><Relationship Id="rId66" Type="http://schemas.openxmlformats.org/officeDocument/2006/relationships/hyperlink" Target="../&#1055;&#1047;&#1047;%202021%20&#1075;&#1086;&#1076;/&#1055;&#1088;&#1072;&#1074;&#1080;&#1083;&#1072;/&#1050;&#1072;&#1074;&#1082;&#1072;&#1079;&#1089;&#1082;&#1072;&#1103;%20&#1079;&#1086;&#1085;&#1072;%202020%20&#1085;&#1086;&#1074;&#1086;&#1077;%20&#1048;&#1047;&#1052;&#1045;&#1053;&#1045;&#1053;&#1048;&#1071;.doc" TargetMode="External"/><Relationship Id="rId67" Type="http://schemas.openxmlformats.org/officeDocument/2006/relationships/hyperlink" Target="../&#1055;&#1047;&#1047;%202021%20&#1075;&#1086;&#1076;/&#1055;&#1088;&#1072;&#1074;&#1080;&#1083;&#1072;/&#1050;&#1072;&#1074;&#1082;&#1072;&#1079;&#1089;&#1082;&#1072;&#1103;%20&#1079;&#1086;&#1085;&#1072;%202020%20&#1085;&#1086;&#1074;&#1086;&#1077;%20&#1048;&#1047;&#1052;&#1045;&#1053;&#1045;&#1053;&#1048;&#1071;.doc" TargetMode="External"/><Relationship Id="rId68" Type="http://schemas.openxmlformats.org/officeDocument/2006/relationships/hyperlink" Target="../&#1055;&#1047;&#1047;%202021%20&#1075;&#1086;&#1076;/&#1055;&#1088;&#1072;&#1074;&#1080;&#1083;&#1072;/&#1050;&#1072;&#1074;&#1082;&#1072;&#1079;&#1089;&#1082;&#1072;&#1103;%20&#1079;&#1086;&#1085;&#1072;%202020%20&#1085;&#1086;&#1074;&#1086;&#1077;%20&#1048;&#1047;&#1052;&#1045;&#1053;&#1045;&#1053;&#1048;&#1071;.doc" TargetMode="External"/><Relationship Id="rId69" Type="http://schemas.openxmlformats.org/officeDocument/2006/relationships/hyperlink" Target="../&#1055;&#1047;&#1047;%202021%20&#1075;&#1086;&#1076;/&#1055;&#1088;&#1072;&#1074;&#1080;&#1083;&#1072;/&#1050;&#1072;&#1074;&#1082;&#1072;&#1079;&#1089;&#1082;&#1072;&#1103;%20&#1079;&#1086;&#1085;&#1072;%202020%20&#1085;&#1086;&#1074;&#1086;&#1077;%20&#1048;&#1047;&#1052;&#1045;&#1053;&#1045;&#1053;&#1048;&#1071;.doc" TargetMode="External"/><Relationship Id="rId70" Type="http://schemas.openxmlformats.org/officeDocument/2006/relationships/hyperlink" Target="../&#1055;&#1088;&#1072;&#1074;&#1080;&#1083;&#1072;/&#1050;&#1072;&#1074;&#1082;&#1072;&#1079;&#1089;&#1082;&#1072;&#1103;%20&#1079;&#1086;&#1085;&#1072;%202020%20&#1085;&#1086;&#1074;&#1086;&#1077;%20&#1048;&#1047;&#1052;&#1045;&#1053;&#1045;&#1053;&#1048;&#1071;.doc" TargetMode="External"/><Relationship Id="rId71" Type="http://schemas.openxmlformats.org/officeDocument/2006/relationships/hyperlink" Target="../&#1055;&#1088;&#1072;&#1074;&#1080;&#1083;&#1072;/&#1050;&#1072;&#1074;&#1082;&#1072;&#1079;&#1089;&#1082;&#1072;&#1103;%20&#1079;&#1086;&#1085;&#1072;%202020%20&#1085;&#1086;&#1074;&#1086;&#1077;%20&#1048;&#1047;&#1052;&#1045;&#1053;&#1045;&#1053;&#1048;&#1071;.doc" TargetMode="External"/><Relationship Id="rId72" Type="http://schemas.openxmlformats.org/officeDocument/2006/relationships/hyperlink" Target="../&#1055;&#1088;&#1072;&#1074;&#1080;&#1083;&#1072;/&#1050;&#1072;&#1074;&#1082;&#1072;&#1079;&#1089;&#1082;&#1072;&#1103;%20&#1079;&#1086;&#1085;&#1072;%202020%20&#1085;&#1086;&#1074;&#1086;&#1077;%20&#1048;&#1047;&#1052;&#1045;&#1053;&#1045;&#1053;&#1048;&#1071;.doc" TargetMode="External"/><Relationship Id="rId73" Type="http://schemas.openxmlformats.org/officeDocument/2006/relationships/hyperlink" Target="../&#1055;&#1088;&#1072;&#1074;&#1080;&#1083;&#1072;/&#1050;&#1072;&#1074;&#1082;&#1072;&#1079;&#1089;&#1082;&#1072;&#1103;%20&#1079;&#1086;&#1085;&#1072;%202020%20&#1085;&#1086;&#1074;&#1086;&#1077;%20&#1048;&#1047;&#1052;&#1045;&#1053;&#1045;&#1053;&#1048;&#1071;.doc" TargetMode="External"/><Relationship Id="rId74" Type="http://schemas.openxmlformats.org/officeDocument/2006/relationships/hyperlink" Target="../&#1055;&#1088;&#1072;&#1074;&#1080;&#1083;&#1072;/&#1050;&#1072;&#1074;&#1082;&#1072;&#1079;&#1089;&#1082;&#1072;&#1103;%20&#1079;&#1086;&#1085;&#1072;%202020%20&#1085;&#1086;&#1074;&#1086;&#1077;%20&#1048;&#1047;&#1052;&#1045;&#1053;&#1045;&#1053;&#1048;&#1071;.doc" TargetMode="External"/><Relationship Id="rId75" Type="http://schemas.openxmlformats.org/officeDocument/2006/relationships/hyperlink" Target="../&#1055;&#1088;&#1072;&#1074;&#1080;&#1083;&#1072;/&#1050;&#1072;&#1074;&#1082;&#1072;&#1079;&#1089;&#1082;&#1072;&#1103;%20&#1079;&#1086;&#1085;&#1072;%202020%20&#1085;&#1086;&#1074;&#1086;&#1077;%20&#1048;&#1047;&#1052;&#1045;&#1053;&#1045;&#1053;&#1048;&#1071;.doc" TargetMode="External"/><Relationship Id="rId76" Type="http://schemas.openxmlformats.org/officeDocument/2006/relationships/hyperlink" Target="../&#1055;&#1088;&#1072;&#1074;&#1080;&#1083;&#1072;/&#1050;&#1072;&#1074;&#1082;&#1072;&#1079;&#1089;&#1082;&#1072;&#1103;%20&#1079;&#1086;&#1085;&#1072;%202020%20&#1085;&#1086;&#1074;&#1086;&#1077;%20&#1048;&#1047;&#1052;&#1045;&#1053;&#1045;&#1053;&#1048;&#1071;.doc" TargetMode="External"/><Relationship Id="rId77" Type="http://schemas.openxmlformats.org/officeDocument/2006/relationships/hyperlink" Target="../&#1055;&#1088;&#1072;&#1074;&#1080;&#1083;&#1072;/&#1050;&#1072;&#1074;&#1082;&#1072;&#1079;&#1089;&#1082;&#1072;&#1103;%20&#1079;&#1086;&#1085;&#1072;%202020%20&#1085;&#1086;&#1074;&#1086;&#1077;%20&#1048;&#1047;&#1052;&#1045;&#1053;&#1045;&#1053;&#1048;&#1071;.doc" TargetMode="External"/><Relationship Id="rId78" Type="http://schemas.openxmlformats.org/officeDocument/2006/relationships/hyperlink" Target="../&#1055;&#1088;&#1072;&#1074;&#1080;&#1083;&#1072;/&#1050;&#1072;&#1074;&#1082;&#1072;&#1079;&#1089;&#1082;&#1072;&#1103;%20&#1079;&#1086;&#1085;&#1072;%202020%20&#1085;&#1086;&#1074;&#1086;&#1077;%20&#1048;&#1047;&#1052;&#1045;&#1053;&#1045;&#1053;&#1048;&#1071;.doc" TargetMode="External"/><Relationship Id="rId79" Type="http://schemas.openxmlformats.org/officeDocument/2006/relationships/hyperlink" Target="../&#1055;&#1088;&#1072;&#1074;&#1080;&#1083;&#1072;/&#1050;&#1072;&#1074;&#1082;&#1072;&#1079;&#1089;&#1082;&#1072;&#1103;%20&#1079;&#1086;&#1085;&#1072;%202020%20&#1085;&#1086;&#1074;&#1086;&#1077;%20&#1048;&#1047;&#1052;&#1045;&#1053;&#1045;&#1053;&#1048;&#1071;.doc" TargetMode="External"/><Relationship Id="rId80" Type="http://schemas.openxmlformats.org/officeDocument/2006/relationships/hyperlink" Target="../&#1055;&#1088;&#1072;&#1074;&#1080;&#1083;&#1072;/&#1050;&#1072;&#1074;&#1082;&#1072;&#1079;&#1089;&#1082;&#1072;&#1103;%20&#1079;&#1086;&#1085;&#1072;%202020%20&#1085;&#1086;&#1074;&#1086;&#1077;%20&#1048;&#1047;&#1052;&#1045;&#1053;&#1045;&#1053;&#1048;&#1071;.doc" TargetMode="External"/><Relationship Id="rId81" Type="http://schemas.openxmlformats.org/officeDocument/2006/relationships/hyperlink" Target="../&#1055;&#1088;&#1072;&#1074;&#1080;&#1083;&#1072;/&#1050;&#1072;&#1074;&#1082;&#1072;&#1079;&#1089;&#1082;&#1072;&#1103;%20&#1079;&#1086;&#1085;&#1072;%202020%20&#1085;&#1086;&#1074;&#1086;&#1077;%20&#1048;&#1047;&#1052;&#1045;&#1053;&#1045;&#1053;&#1048;&#1071;.doc" TargetMode="External"/><Relationship Id="rId82" Type="http://schemas.openxmlformats.org/officeDocument/2006/relationships/hyperlink" Target="../&#1055;&#1088;&#1072;&#1074;&#1080;&#1083;&#1072;/&#1050;&#1072;&#1074;&#1082;&#1072;&#1079;&#1089;&#1082;&#1072;&#1103;%20&#1079;&#1086;&#1085;&#1072;%202020%20&#1085;&#1086;&#1074;&#1086;&#1077;%20&#1048;&#1047;&#1052;&#1045;&#1053;&#1045;&#1053;&#1048;&#1071;.doc" TargetMode="External"/><Relationship Id="rId83" Type="http://schemas.openxmlformats.org/officeDocument/2006/relationships/hyperlink" Target="../&#1055;&#1088;&#1072;&#1074;&#1080;&#1083;&#1072;%202019%20&#1075;&#1086;&#1090;&#1086;&#1074;&#1099;&#1077;/&#1044;&#1084;&#1080;&#1090;&#1088;&#1080;&#1077;&#1074;&#1089;&#1082;&#1072;&#1103;%20&#1079;&#1086;&#1085;&#1072;%202019%20&#1085;&#1086;&#1074;&#1086;&#1077;%20&#1048;&#1047;&#1052;&#1045;&#1053;&#1045;&#1053;&#1048;&#1071;.doc" TargetMode="External"/><Relationship Id="rId84" Type="http://schemas.openxmlformats.org/officeDocument/2006/relationships/hyperlink" Target="../&#1055;&#1088;&#1072;&#1074;&#1080;&#1083;&#1072;%202019%20&#1075;&#1086;&#1090;&#1086;&#1074;&#1099;&#1077;/&#1044;&#1084;&#1080;&#1090;&#1088;&#1080;&#1077;&#1074;&#1089;&#1082;&#1072;&#1103;%20&#1079;&#1086;&#1085;&#1072;%202019%20&#1085;&#1086;&#1074;&#1086;&#1077;%20&#1048;&#1047;&#1052;&#1045;&#1053;&#1045;&#1053;&#1048;&#1071;.doc" TargetMode="External"/><Relationship Id="rId85" Type="http://schemas.openxmlformats.org/officeDocument/2006/relationships/hyperlink" Target="../&#1055;&#1088;&#1072;&#1074;&#1080;&#1083;&#1072;%202019%20&#1075;&#1086;&#1090;&#1086;&#1074;&#1099;&#1077;/&#1044;&#1084;&#1080;&#1090;&#1088;&#1080;&#1077;&#1074;&#1089;&#1082;&#1072;&#1103;%20&#1079;&#1086;&#1085;&#1072;%202019%20&#1085;&#1086;&#1074;&#1086;&#1077;%20&#1048;&#1047;&#1052;&#1045;&#1053;&#1045;&#1053;&#1048;&#1071;.doc" TargetMode="External"/><Relationship Id="rId86" Type="http://schemas.openxmlformats.org/officeDocument/2006/relationships/hyperlink" Target="../&#1055;&#1088;&#1072;&#1074;&#1080;&#1083;&#1072;%202019%20&#1075;&#1086;&#1090;&#1086;&#1074;&#1099;&#1077;/&#1044;&#1084;&#1080;&#1090;&#1088;&#1080;&#1077;&#1074;&#1089;&#1082;&#1072;&#1103;%20&#1079;&#1086;&#1085;&#1072;%202019%20&#1085;&#1086;&#1074;&#1086;&#1077;%20&#1048;&#1047;&#1052;&#1045;&#1053;&#1045;&#1053;&#1048;&#1071;.doc" TargetMode="External"/><Relationship Id="rId87" Type="http://schemas.openxmlformats.org/officeDocument/2006/relationships/hyperlink" Target="../&#1055;&#1088;&#1072;&#1074;&#1080;&#1083;&#1072;%202019%20&#1075;&#1086;&#1090;&#1086;&#1074;&#1099;&#1077;/&#1044;&#1084;&#1080;&#1090;&#1088;&#1080;&#1077;&#1074;&#1089;&#1082;&#1072;&#1103;%20&#1079;&#1086;&#1085;&#1072;%202019%20&#1085;&#1086;&#1074;&#1086;&#1077;%20&#1048;&#1047;&#1052;&#1045;&#1053;&#1045;&#1053;&#1048;&#1071;.doc" TargetMode="External"/><Relationship Id="rId88" Type="http://schemas.openxmlformats.org/officeDocument/2006/relationships/hyperlink" Target="../&#1055;&#1088;&#1072;&#1074;&#1080;&#1083;&#1072;/&#1050;&#1072;&#1074;&#1082;&#1072;&#1079;&#1089;&#1082;&#1072;&#1103;%20&#1079;&#1086;&#1085;&#1072;%202020%20&#1085;&#1086;&#1074;&#1086;&#1077;%20&#1048;&#1047;&#1052;&#1045;&#1053;&#1045;&#1053;&#1048;&#1071;.doc" TargetMode="External"/><Relationship Id="rId89" Type="http://schemas.openxmlformats.org/officeDocument/2006/relationships/hyperlink" Target="../&#1055;&#1088;&#1072;&#1074;&#1080;&#1083;&#1072;/&#1050;&#1072;&#1074;&#1082;&#1072;&#1079;&#1089;&#1082;&#1072;&#1103;%20&#1079;&#1086;&#1085;&#1072;%202020%20&#1085;&#1086;&#1074;&#1086;&#1077;%20&#1048;&#1047;&#1052;&#1045;&#1053;&#1045;&#1053;&#1048;&#1071;.doc" TargetMode="External"/><Relationship Id="rId90" Type="http://schemas.openxmlformats.org/officeDocument/2006/relationships/hyperlink" Target="../&#1055;&#1088;&#1072;&#1074;&#1080;&#1083;&#1072;/&#1050;&#1072;&#1074;&#1082;&#1072;&#1079;&#1089;&#1082;&#1072;&#1103;%20&#1079;&#1086;&#1085;&#1072;%202020%20&#1085;&#1086;&#1074;&#1086;&#1077;%20&#1048;&#1047;&#1052;&#1045;&#1053;&#1045;&#1053;&#1048;&#1071;.doc" TargetMode="External"/><Relationship Id="rId91" Type="http://schemas.openxmlformats.org/officeDocument/2006/relationships/hyperlink" Target="../&#1055;&#1088;&#1072;&#1074;&#1080;&#1083;&#1072;/&#1050;&#1072;&#1074;&#1082;&#1072;&#1079;&#1089;&#1082;&#1072;&#1103;%20&#1079;&#1086;&#1085;&#1072;%202020%20&#1085;&#1086;&#1074;&#1086;&#1077;%20&#1048;&#1047;&#1052;&#1045;&#1053;&#1045;&#1053;&#1048;&#1071;.doc" TargetMode="External"/><Relationship Id="rId92" Type="http://schemas.openxmlformats.org/officeDocument/2006/relationships/hyperlink" Target="../&#1055;&#1088;&#1072;&#1074;&#1080;&#1083;&#1072;/&#1050;&#1072;&#1074;&#1082;&#1072;&#1079;&#1089;&#1082;&#1072;&#1103;%20&#1079;&#1086;&#1085;&#1072;%202020%20&#1085;&#1086;&#1074;&#1086;&#1077;%20&#1048;&#1047;&#1052;&#1045;&#1053;&#1045;&#1053;&#1048;&#1071;.doc" TargetMode="External"/><Relationship Id="rId93" Type="http://schemas.openxmlformats.org/officeDocument/2006/relationships/hyperlink" Target="https://base.garant.ru/70736874/53f89421bbdaf741eb2d1ecc4ddb4c33/" TargetMode="External"/><Relationship Id="rId94" Type="http://schemas.openxmlformats.org/officeDocument/2006/relationships/hyperlink" Target="https://base.garant.ru/70736874/53f89421bbdaf741eb2d1ecc4ddb4c33/" TargetMode="External"/><Relationship Id="rId95" Type="http://schemas.openxmlformats.org/officeDocument/2006/relationships/hyperlink" Target="https://base.garant.ru/70736874/53f89421bbdaf741eb2d1ecc4ddb4c33/" TargetMode="External"/><Relationship Id="rId96" Type="http://schemas.openxmlformats.org/officeDocument/2006/relationships/hyperlink" Target="../&#1055;&#1088;&#1072;&#1074;&#1080;&#1083;&#1072;/&#1050;&#1072;&#1074;&#1082;&#1072;&#1079;&#1089;&#1082;&#1072;&#1103;%20&#1079;&#1086;&#1085;&#1072;%202020%20&#1085;&#1086;&#1074;&#1086;&#1077;%20&#1048;&#1047;&#1052;&#1045;&#1053;&#1045;&#1053;&#1048;&#1071;.doc" TargetMode="External"/><Relationship Id="rId97" Type="http://schemas.openxmlformats.org/officeDocument/2006/relationships/hyperlink" Target="../&#1055;&#1088;&#1072;&#1074;&#1080;&#1083;&#1072;/&#1050;&#1072;&#1074;&#1082;&#1072;&#1079;&#1089;&#1082;&#1072;&#1103;%20&#1079;&#1086;&#1085;&#1072;%202020%20&#1085;&#1086;&#1074;&#1086;&#1077;%20&#1048;&#1047;&#1052;&#1045;&#1053;&#1045;&#1053;&#1048;&#1071;.doc" TargetMode="External"/><Relationship Id="rId98" Type="http://schemas.openxmlformats.org/officeDocument/2006/relationships/hyperlink" Target="../&#1055;&#1088;&#1072;&#1074;&#1080;&#1083;&#1072;/&#1050;&#1072;&#1074;&#1082;&#1072;&#1079;&#1089;&#1082;&#1072;&#1103;%20&#1079;&#1086;&#1085;&#1072;%202020%20&#1085;&#1086;&#1074;&#1086;&#1077;%20&#1048;&#1047;&#1052;&#1045;&#1053;&#1045;&#1053;&#1048;&#1071;.doc" TargetMode="External"/><Relationship Id="rId99" Type="http://schemas.openxmlformats.org/officeDocument/2006/relationships/hyperlink" Target="../&#1055;&#1088;&#1072;&#1074;&#1080;&#1083;&#1072;/&#1050;&#1072;&#1074;&#1082;&#1072;&#1079;&#1089;&#1082;&#1072;&#1103;%20&#1079;&#1086;&#1085;&#1072;%202020%20&#1085;&#1086;&#1074;&#1086;&#1077;%20&#1048;&#1047;&#1052;&#1045;&#1053;&#1045;&#1053;&#1048;&#1071;.doc" TargetMode="External"/><Relationship Id="rId100" Type="http://schemas.openxmlformats.org/officeDocument/2006/relationships/hyperlink" Target="../&#1055;&#1088;&#1072;&#1074;&#1080;&#1083;&#1072;/&#1050;&#1072;&#1074;&#1082;&#1072;&#1079;&#1089;&#1082;&#1072;&#1103;%20&#1079;&#1086;&#1085;&#1072;%202020%20&#1085;&#1086;&#1074;&#1086;&#1077;%20&#1048;&#1047;&#1052;&#1045;&#1053;&#1045;&#1053;&#1048;&#1071;.doc" TargetMode="External"/><Relationship Id="rId101" Type="http://schemas.openxmlformats.org/officeDocument/2006/relationships/hyperlink" Target="../&#1055;&#1088;&#1072;&#1074;&#1080;&#1083;&#1072;/&#1050;&#1072;&#1074;&#1082;&#1072;&#1079;&#1089;&#1082;&#1072;&#1103;%20&#1079;&#1086;&#1085;&#1072;%202020%20&#1085;&#1086;&#1074;&#1086;&#1077;%20&#1048;&#1047;&#1052;&#1045;&#1053;&#1045;&#1053;&#1048;&#1071;.doc" TargetMode="External"/><Relationship Id="rId102" Type="http://schemas.openxmlformats.org/officeDocument/2006/relationships/hyperlink" Target="https://base.garant.ru/70736874/53f89421bbdaf741eb2d1ecc4ddb4c33/" TargetMode="External"/><Relationship Id="rId103" Type="http://schemas.openxmlformats.org/officeDocument/2006/relationships/hyperlink" Target="https://base.garant.ru/70736874/53f89421bbdaf741eb2d1ecc4ddb4c33/" TargetMode="External"/><Relationship Id="rId104" Type="http://schemas.openxmlformats.org/officeDocument/2006/relationships/hyperlink" Target="https://base.garant.ru/70736874/53f89421bbdaf741eb2d1ecc4ddb4c33/" TargetMode="External"/><Relationship Id="rId105" Type="http://schemas.openxmlformats.org/officeDocument/2006/relationships/hyperlink" Target="https://login.consultant.ru/link/?req=doc&amp;base=STR&amp;n=9826&amp;date=30.07.2022" TargetMode="External"/><Relationship Id="rId106" Type="http://schemas.openxmlformats.org/officeDocument/2006/relationships/hyperlink" Target="https://login.consultant.ru/link/?req=doc&amp;base=STR&amp;n=28744&amp;date=16.08.2022" TargetMode="External"/><Relationship Id="rId107" Type="http://schemas.openxmlformats.org/officeDocument/2006/relationships/hyperlink" Target="https://login.consultant.ru/link/?req=doc&amp;base=STR&amp;n=28744&amp;dst=100143&amp;field=134&amp;date=16.08.2022" TargetMode="External"/><Relationship Id="rId108" Type="http://schemas.openxmlformats.org/officeDocument/2006/relationships/hyperlink" Target="https://login.consultant.ru/link/?req=doc&amp;base=LAW&amp;n=31715&amp;dst=100013&amp;field=134&amp;date=16.08.2022" TargetMode="External"/><Relationship Id="rId109" Type="http://schemas.openxmlformats.org/officeDocument/2006/relationships/hyperlink" Target="https://login.consultant.ru/link/?req=doc&amp;base=LAW&amp;n=409735&amp;dst=100041&amp;field=134&amp;date=16.08.2022" TargetMode="External"/><Relationship Id="rId110" Type="http://schemas.openxmlformats.org/officeDocument/2006/relationships/hyperlink" Target="https://login.consultant.ru/link/?req=doc&amp;base=LAW&amp;n=411554&amp;dst=100013&amp;field=134&amp;date=16.08.2022" TargetMode="External"/><Relationship Id="rId111" Type="http://schemas.openxmlformats.org/officeDocument/2006/relationships/hyperlink" Target="https://login.consultant.ru/link/?req=doc&amp;base=LAW&amp;n=409735&amp;dst=100203&amp;field=134&amp;date=16.08.2022" TargetMode="External"/><Relationship Id="rId112" Type="http://schemas.openxmlformats.org/officeDocument/2006/relationships/hyperlink" Target="https://login.consultant.ru/link/?req=doc&amp;base=LAW&amp;n=409735&amp;dst=100240&amp;field=134&amp;date=16.08.2022" TargetMode="External"/><Relationship Id="rId113" Type="http://schemas.openxmlformats.org/officeDocument/2006/relationships/hyperlink" Target="https://login.consultant.ru/link/?req=doc&amp;base=LAW&amp;n=117791&amp;dst=100453&amp;field=134&amp;date=16.08.2022" TargetMode="External"/><Relationship Id="rId114" Type="http://schemas.openxmlformats.org/officeDocument/2006/relationships/hyperlink" Target="https://login.consultant.ru/link/?req=doc&amp;base=LAW&amp;n=117744&amp;dst=100005&amp;field=134&amp;date=16.08.2022" TargetMode="External"/><Relationship Id="rId115" Type="http://schemas.openxmlformats.org/officeDocument/2006/relationships/hyperlink" Target="https://login.consultant.ru/link/?req=doc&amp;base=LAW&amp;n=411554&amp;dst=100693&amp;field=134&amp;date=16.08.2022"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8F2414-412D-45FD-80A6-356AAEF7F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Р7-Офис/7.3.0.0</Application>
  <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revision>33</cp:revision>
  <dcterms:created xsi:type="dcterms:W3CDTF">2023-03-21T13:37:00Z</dcterms:created>
  <dcterms:modified xsi:type="dcterms:W3CDTF">2023-08-12T11:05:08Z</dcterms:modified>
</cp:coreProperties>
</file>