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2013 г. N 826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 ЕДИНСТВЕННЫХ ПОСТАВЩИКОВ РОССИЙСКИХ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ВООРУЖЕНИЯ И ВОЕННОЙ ТЕХНИКИ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ведении реестра единственных поставщиков российских вооружения и военной техники.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января 2008 г. N 7 "Об утверждении Положения о ведении реестра единственных поставщиков российских вооружения и военной техники" (Собрание законодательства Российской Федерации, 2008, N 3, ст. 197);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марта 2010 г. N 109 "О внесении изменений в Положение о ведении реестра единственных поставщиков российских вооружения и военной техники" (Собрание законодательства Российской Федерации, 2010, N 10, ст. 1095).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826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 ЕДИНСТВЕННЫХ ПОСТАВЩИКОВ РОССИЙСКИХ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ВООРУЖЕНИЯ И ВОЕННОЙ ТЕХНИКИ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предъявляемым к лицам, осуществляющим деятельность по выполнению государственного оборонного заказа, и производящих продукцию</w:t>
      </w:r>
      <w:proofErr w:type="gramEnd"/>
      <w:r>
        <w:rPr>
          <w:rFonts w:ascii="Calibri" w:hAnsi="Calibri" w:cs="Calibri"/>
        </w:rPr>
        <w:t xml:space="preserve"> в интересах обеспечения обороноспособности и безопасности Российской Федерации (далее - организации).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Реестр является федеральной информационной системой, содержащей зафиксированные на материальном носителе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 сведения: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 единственных поставщиках российских вооружения и военной техники - организациях, 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российских вооружениях и военной технике и отдельно поставляемых агрегатах, узлах, блоках и комплектующих изделиях, входящих в состав систем, комплексов этих вооружений и военной техники, которые не имеют российских </w:t>
      </w:r>
      <w:proofErr w:type="gramStart"/>
      <w:r>
        <w:rPr>
          <w:rFonts w:ascii="Calibri" w:hAnsi="Calibri" w:cs="Calibri"/>
        </w:rPr>
        <w:t>аналогов</w:t>
      </w:r>
      <w:proofErr w:type="gramEnd"/>
      <w:r>
        <w:rPr>
          <w:rFonts w:ascii="Calibri" w:hAnsi="Calibri" w:cs="Calibri"/>
        </w:rPr>
        <w:t xml:space="preserve"> и производство которых осуществляется единственными поставщиками (далее - военная продукция).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Федеральной службой по оборонному заказу (далее - уполномоченный орган) на электронных носителях путем внесения в него реестровых записей.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реестра осуществляется с соблюдением норм и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Состав сведений, включаемых в реестр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Реестровая запись содержит следующие сведения: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записи;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наименование (шифр, индекс) военной продукции, единственным поставщиком которой является организация (далее - данные о военной продукции), код классификатора вооружения, военной, специальной техники и военно-технического имущества Министерства обороны Российской Федерации или 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</w:t>
      </w:r>
      <w:proofErr w:type="gramEnd"/>
      <w:r>
        <w:rPr>
          <w:rFonts w:ascii="Calibri" w:hAnsi="Calibri" w:cs="Calibri"/>
        </w:rPr>
        <w:t xml:space="preserve"> (далее - сведения органа военного управления о военной продукции);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осуществление видов деятельности, связанных с производством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окончания срока нахождения в реестре.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III. Условия включения организации в реестр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реестр включаются организации, которые: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нужд;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имеют лицензии на осуществление вида деятельности, связанного с производством военной продукции и предусмотренного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IV. Порядок включения сведений в реестр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7. Заявление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по атомной энергии "Росатом", которые являются государственными заказчиками государственного оборонного заказа (далее - государственный заказчик), или непосредственно организацией.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указываются полное, сокращенное (при наличии) и фирменное наименования </w:t>
      </w:r>
      <w:r>
        <w:rPr>
          <w:rFonts w:ascii="Calibri" w:hAnsi="Calibri" w:cs="Calibri"/>
        </w:rPr>
        <w:lastRenderedPageBreak/>
        <w:t>организации, ее организационно-правовая форма, идентификационный номер налогоплательщика, адрес (место нахождения), код причины и дата постановки на учет в налоговом органе.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представления заявления государственным заказчиком к заявлению прилагаются следующие документы и материалы: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органа военного управления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заключение федерального органа исполнительной власти или Государственной корпорации по атомной энергии "Росатом", обеспечивающих реализацию единой государственной политики в отрасли экономики, в которой осуществляет деятельность организация (далее - отраслевой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</w:t>
      </w:r>
      <w:proofErr w:type="gramEnd"/>
      <w:r>
        <w:rPr>
          <w:rFonts w:ascii="Calibri" w:hAnsi="Calibri" w:cs="Calibri"/>
        </w:rPr>
        <w:t xml:space="preserve"> производство военной продукции без дополнительных материальных затрат с указанием такого срока;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государственного заказчика об отсутствии российских аналогов военной продукции.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 xml:space="preserve">9.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представления заявления непосредственно организацией к заявлению прилагаются следующие документы и материалы: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заключение отраслевого органа о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бухгалтерской отчетности организации за последний завершенный отчетный период;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 и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 (если данные о производимой организацией военной продукции содержат сведения, составляющие государственную тайну).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рассматривает заявление с прилагаемыми к нему документами и материалами в течение 10 рабочих дней со дня их поступления.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Уполномоченный орган не вправе требовать от заявителя документы и материалы, не предусмотренные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если состав прилагаемых к заявлению документов и материалов не соответствует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(или) уточненные документы и материалы.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осуществления запроса рассмотрение заявления приостанавливается до представления указанных документов и материалов.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уполномоченного органа о включении организации в качестве единственного поставщика в реестр указываются: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данные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органа военного управления о военной продукции;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полное наименование единственного поставщика;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код причины и дата постановки на учет в налоговом органе;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окончания срока нахождения в реестре.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поставщику.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16. Уполномоченный орган принимает решение не включать организацию в реестр в следующих случаях: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организации требованиям, предусмотренным настоящим Положением;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реестре единственного поставщика заявленной военной продукции.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 отказа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принимает решение о досрочном исключении единственного поставщика из реестра в следующих случаях: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поступление мотивированного обращения государственного заказчика или отраслевого органа о том, что единственный поставщик перестал отвечать требованиям, предусмотренным настоящим Положением;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уполномоченным органом несоответствия единственного поставщика условиям и требованиям, предусмотренным настоящим Положением;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поступление согласованного с соответствующим отраслевым органом заявления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указанием причин исключения.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проверку представленных документов и материалов на соответствие требованиям, предусмотренным настоящим Положением;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сопоставление представленных в документах и материалах сведений со сведениями, ранее включенными в реестр.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Единственный поставщик в случае изменения о нем сведений (наименования единственного поставщика,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</w:t>
      </w:r>
      <w:proofErr w:type="gramStart"/>
      <w:r>
        <w:rPr>
          <w:rFonts w:ascii="Calibri" w:hAnsi="Calibri" w:cs="Calibri"/>
        </w:rPr>
        <w:t>уведомляет</w:t>
      </w:r>
      <w:proofErr w:type="gramEnd"/>
      <w:r>
        <w:rPr>
          <w:rFonts w:ascii="Calibri" w:hAnsi="Calibri" w:cs="Calibri"/>
        </w:rPr>
        <w:t xml:space="preserve"> об этом (в письменной форме)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Решения уполномоченного органа могут быть обжалованы в порядке, предусмотренном законодательством Российской Федерации.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V. Предоставление сведений из реестра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требований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тайны: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Администрацию Президента Российской Федерации, Аппарат Правительства Российской Федерации и Военно-промышленную комиссию при Правительстве Российской Федерации;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Федеральную службу по тарифам;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государственным заказчикам;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отраслевые органы 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иные федеральные органы исполнительной власти, органы исполнительной власти субъектов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Федерации и Правительства Российской Федерации, если иное не установлено федеральными законами;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органы судебной власти, органы прокуратуры и правоохранительные органы, имеющие в производстве дела, связанные с размещением и исполнением заказов для федеральных государственных нужд в интересах обороноспособности и безопасности Российской Федерации;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Президента Российской Федерации.</w:t>
      </w: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89" w:rsidRDefault="008C63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11" w:name="_GoBack"/>
      <w:bookmarkEnd w:id="11"/>
    </w:p>
    <w:sectPr w:rsidR="0085406E" w:rsidSect="00F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9"/>
    <w:rsid w:val="0085406E"/>
    <w:rsid w:val="008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D8F784213685AA33E6C965700t5r9I" TargetMode="External"/><Relationship Id="rId13" Type="http://schemas.openxmlformats.org/officeDocument/2006/relationships/hyperlink" Target="consultantplus://offline/ref=9951B2D060B1A5045884ED050492FD690D89794715695AA33E6C965700t5r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1B2D060B1A5045884ED050492FD690583794B106607A936359A55t0r7I" TargetMode="External"/><Relationship Id="rId12" Type="http://schemas.openxmlformats.org/officeDocument/2006/relationships/hyperlink" Target="consultantplus://offline/ref=9951B2D060B1A5045884ED050492FD690D8F7045136A5AA33E6C965700t5r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1B2D060B1A5045884ED050492FD6905837A47166607A936359A55t0r7I" TargetMode="External"/><Relationship Id="rId11" Type="http://schemas.openxmlformats.org/officeDocument/2006/relationships/hyperlink" Target="consultantplus://offline/ref=9951B2D060B1A5045884ED050492FD690D8F704A13655AA33E6C9657005972D28A50CF4DE5FF9C10tAr8I" TargetMode="External"/><Relationship Id="rId5" Type="http://schemas.openxmlformats.org/officeDocument/2006/relationships/hyperlink" Target="consultantplus://offline/ref=9951B2D060B1A5045884ED050492FD690D8F7046176F5AA33E6C9657005972D28A50CF4DE5FE9F16tAr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51B2D060B1A5045884ED050492FD690D89794715695AA33E6C9657005972D28A50CF4DE5FF9C17tA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B2D060B1A5045884ED050492FD690D8F7045136A5AA33E6C9657005972D28A50CF4DE5FF9C12tAr7I" TargetMode="External"/><Relationship Id="rId14" Type="http://schemas.openxmlformats.org/officeDocument/2006/relationships/hyperlink" Target="consultantplus://offline/ref=9951B2D060B1A5045884ED050492FD690D89794715695AA33E6C965700t5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2013-10-21T08:43:00Z</dcterms:created>
  <dcterms:modified xsi:type="dcterms:W3CDTF">2013-10-21T08:43:00Z</dcterms:modified>
</cp:coreProperties>
</file>