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3F" w:rsidRDefault="00C00E0B" w:rsidP="004D423F">
      <w:pPr>
        <w:rPr>
          <w:b/>
          <w:i/>
        </w:rPr>
      </w:pPr>
      <w:r>
        <w:t xml:space="preserve">                                                                                                      </w:t>
      </w:r>
    </w:p>
    <w:p w:rsidR="004D423F" w:rsidRDefault="004D423F" w:rsidP="004D423F">
      <w:pPr>
        <w:autoSpaceDE w:val="0"/>
        <w:autoSpaceDN w:val="0"/>
        <w:adjustRightInd w:val="0"/>
        <w:ind w:left="-567" w:right="-284"/>
        <w:jc w:val="right"/>
        <w:rPr>
          <w:i/>
        </w:rPr>
      </w:pPr>
    </w:p>
    <w:p w:rsidR="004D423F" w:rsidRDefault="004D423F" w:rsidP="004D423F">
      <w:pPr>
        <w:pStyle w:val="ConsNonformat"/>
        <w:widowControl/>
        <w:ind w:left="284"/>
        <w:jc w:val="center"/>
        <w:rPr>
          <w:rFonts w:ascii="Times New Roman" w:hAnsi="Times New Roman"/>
          <w:b/>
          <w:sz w:val="24"/>
          <w:szCs w:val="24"/>
        </w:rPr>
      </w:pPr>
    </w:p>
    <w:p w:rsidR="004D423F" w:rsidRDefault="004D423F" w:rsidP="004D423F">
      <w:pPr>
        <w:pStyle w:val="ConsNonformat"/>
        <w:widowControl/>
        <w:ind w:left="284"/>
        <w:jc w:val="center"/>
        <w:rPr>
          <w:rFonts w:ascii="Times New Roman" w:hAnsi="Times New Roman"/>
          <w:b/>
          <w:sz w:val="24"/>
          <w:szCs w:val="24"/>
        </w:rPr>
      </w:pPr>
    </w:p>
    <w:p w:rsidR="004D423F" w:rsidRDefault="004D423F" w:rsidP="004D423F">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4D423F" w:rsidRDefault="004D423F" w:rsidP="004D423F">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4D423F" w:rsidRDefault="004D423F" w:rsidP="004D423F">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4D423F" w:rsidRDefault="004D423F" w:rsidP="004D423F">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4D423F" w:rsidRDefault="004D423F" w:rsidP="004D423F">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4D423F" w:rsidRDefault="004D423F" w:rsidP="004D423F">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rsidR="004D423F" w:rsidRDefault="004D423F" w:rsidP="004D423F">
      <w:pPr>
        <w:pStyle w:val="ConsNonformat"/>
        <w:widowControl/>
        <w:ind w:left="-360" w:right="-5" w:firstLine="360"/>
        <w:rPr>
          <w:rFonts w:ascii="Times New Roman" w:hAnsi="Times New Roman"/>
        </w:rPr>
      </w:pPr>
      <w:r>
        <w:rPr>
          <w:rFonts w:ascii="Times New Roman" w:hAnsi="Times New Roman"/>
        </w:rPr>
        <w:t xml:space="preserve">                                             (фамилия, имя, отчество, должность)</w:t>
      </w:r>
    </w:p>
    <w:p w:rsidR="004D423F" w:rsidRDefault="004D423F" w:rsidP="004D423F">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основании_______________________________________________________________________</w:t>
      </w:r>
    </w:p>
    <w:p w:rsidR="004D423F" w:rsidRDefault="004D423F" w:rsidP="004D423F">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4D423F" w:rsidRDefault="004D423F" w:rsidP="004D423F">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4D423F" w:rsidRDefault="004D423F" w:rsidP="004D423F">
      <w:pPr>
        <w:ind w:left="-425"/>
        <w:contextualSpacing/>
        <w:jc w:val="both"/>
        <w:rPr>
          <w:b/>
        </w:rPr>
      </w:pPr>
      <w:r>
        <w:t>принимая  решение об участии в  аукционе в электронной форме  по продаже транспортного средства:</w:t>
      </w:r>
      <w:r>
        <w:rPr>
          <w:b/>
        </w:rPr>
        <w:t xml:space="preserve"> </w:t>
      </w:r>
      <w:r>
        <w:t>автобус для перевозки детей ПАЗ 32053-70, 2012 года выпуска, модель  № двигателя 523400 С1004453, номер кузова Х1М3205СХС0003292, идентификационный номер (</w:t>
      </w:r>
      <w:r>
        <w:rPr>
          <w:lang w:val="en-US"/>
        </w:rPr>
        <w:t>VIN</w:t>
      </w:r>
      <w:r>
        <w:t>) Х1М3205СХС0003292, цвет кузова желтый, мощность двигателя 124 л</w:t>
      </w:r>
      <w:proofErr w:type="gramStart"/>
      <w:r>
        <w:t>.с</w:t>
      </w:r>
      <w:proofErr w:type="gramEnd"/>
      <w:r>
        <w:t xml:space="preserve"> (91,2), рабочий объем двигателя 4670 куб см, тип двигателя - бензиновый, разрешенная максимальная масса 6270 кг, масса без нагрузки 5080 </w:t>
      </w:r>
      <w:proofErr w:type="gramStart"/>
      <w:r>
        <w:t>кг</w:t>
      </w:r>
      <w:proofErr w:type="gramEnd"/>
      <w:r>
        <w:t>, государственный регистрационный знак К724Е0123,</w:t>
      </w:r>
      <w:r>
        <w:rPr>
          <w:b/>
        </w:rPr>
        <w:t xml:space="preserve"> </w:t>
      </w:r>
      <w:r>
        <w:t>обязуюсь:</w:t>
      </w:r>
    </w:p>
    <w:p w:rsidR="004D423F" w:rsidRDefault="004D423F" w:rsidP="004D423F">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торгов </w:t>
      </w:r>
      <w:hyperlink r:id="rId5" w:history="1">
        <w:r>
          <w:rPr>
            <w:rStyle w:val="a4"/>
            <w:lang w:val="en-US"/>
          </w:rPr>
          <w:t>www</w:t>
        </w:r>
        <w:r>
          <w:rPr>
            <w:rStyle w:val="a4"/>
          </w:rPr>
          <w:t>.</w:t>
        </w:r>
        <w:r>
          <w:rPr>
            <w:rStyle w:val="a4"/>
            <w:lang w:val="en-US"/>
          </w:rPr>
          <w:t>torgi</w:t>
        </w:r>
        <w:r>
          <w:rPr>
            <w:rStyle w:val="a4"/>
          </w:rPr>
          <w:t>.</w:t>
        </w:r>
        <w:r>
          <w:rPr>
            <w:rStyle w:val="a4"/>
            <w:lang w:val="en-US"/>
          </w:rPr>
          <w:t>gov</w:t>
        </w:r>
        <w:r>
          <w:rPr>
            <w:rStyle w:val="a4"/>
          </w:rPr>
          <w:t>.</w:t>
        </w:r>
        <w:r>
          <w:rPr>
            <w:rStyle w:val="a4"/>
            <w:lang w:val="en-US"/>
          </w:rPr>
          <w:t>ru</w:t>
        </w:r>
      </w:hyperlink>
      <w:r>
        <w:t xml:space="preserve">, на официальном сайте администрации муниципального образования Кавказский район </w:t>
      </w:r>
      <w:proofErr w:type="gramEnd"/>
      <w:r>
        <w:rPr>
          <w:lang w:val="en-US"/>
        </w:rPr>
        <w:t>www</w:t>
      </w:r>
      <w:r>
        <w:t>.</w:t>
      </w:r>
      <w:r>
        <w:rPr>
          <w:lang w:val="en-US"/>
        </w:rPr>
        <w:t>kavraion</w:t>
      </w:r>
      <w:r>
        <w:t>.</w:t>
      </w:r>
      <w:r>
        <w:rPr>
          <w:lang w:val="en-US"/>
        </w:rPr>
        <w:t>ru</w:t>
      </w:r>
      <w:proofErr w:type="gramStart"/>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4D423F" w:rsidRDefault="004D423F" w:rsidP="004D423F">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4D423F" w:rsidRDefault="004D423F" w:rsidP="004D423F">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4D423F" w:rsidRDefault="004D423F" w:rsidP="004D423F">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4D423F" w:rsidRDefault="004D423F" w:rsidP="004D423F">
      <w:pPr>
        <w:pStyle w:val="ConsNormal"/>
        <w:widowControl/>
        <w:ind w:left="-426" w:right="-5" w:firstLine="0"/>
        <w:jc w:val="both"/>
        <w:rPr>
          <w:rFonts w:ascii="Times New Roman" w:hAnsi="Times New Roman" w:cs="Times New Roman"/>
        </w:rPr>
      </w:pPr>
      <w:r>
        <w:rPr>
          <w:rFonts w:ascii="Times New Roman" w:hAnsi="Times New Roman" w:cs="Times New Roman"/>
        </w:rPr>
        <w:t xml:space="preserve">                                                                                   (наименование юридического лица)</w:t>
      </w:r>
    </w:p>
    <w:p w:rsidR="004D423F" w:rsidRDefault="004D423F" w:rsidP="004D423F">
      <w:pPr>
        <w:pStyle w:val="ConsNormal"/>
        <w:widowControl/>
        <w:ind w:left="-425" w:right="-6"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4D423F" w:rsidRDefault="004D423F" w:rsidP="004D423F">
      <w:pPr>
        <w:pStyle w:val="ConsNormal"/>
        <w:widowControl/>
        <w:ind w:left="-425" w:right="-6" w:firstLine="709"/>
        <w:jc w:val="both"/>
        <w:rPr>
          <w:rFonts w:ascii="Times New Roman" w:hAnsi="Times New Roman" w:cs="Times New Roman"/>
          <w:sz w:val="24"/>
          <w:szCs w:val="24"/>
        </w:rPr>
      </w:pPr>
      <w:r>
        <w:rPr>
          <w:rFonts w:ascii="Times New Roman" w:hAnsi="Times New Roman" w:cs="Times New Roman"/>
          <w:sz w:val="24"/>
          <w:szCs w:val="24"/>
        </w:rPr>
        <w:lastRenderedPageBreak/>
        <w:t>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4D423F" w:rsidRDefault="004D423F" w:rsidP="004D423F">
      <w:pPr>
        <w:ind w:left="-426"/>
        <w:jc w:val="both"/>
      </w:pPr>
    </w:p>
    <w:p w:rsidR="004D423F" w:rsidRDefault="004D423F" w:rsidP="004D423F">
      <w:pPr>
        <w:ind w:left="-426"/>
        <w:jc w:val="both"/>
      </w:pPr>
      <w:r>
        <w:t>Приложение: опись документов, документы, прилагаемые к заявке на ______ листах.</w:t>
      </w:r>
    </w:p>
    <w:p w:rsidR="004D423F" w:rsidRDefault="004D423F" w:rsidP="004D423F">
      <w:pPr>
        <w:ind w:left="-426"/>
        <w:jc w:val="both"/>
      </w:pPr>
    </w:p>
    <w:p w:rsidR="004D423F" w:rsidRDefault="004D423F" w:rsidP="004D423F">
      <w:pPr>
        <w:ind w:left="-426"/>
      </w:pPr>
      <w:r>
        <w:t xml:space="preserve">Подпись претендента </w:t>
      </w:r>
    </w:p>
    <w:p w:rsidR="004D423F" w:rsidRDefault="004D423F" w:rsidP="004D423F">
      <w:pPr>
        <w:ind w:left="-426"/>
      </w:pPr>
      <w:r>
        <w:t xml:space="preserve">(его полномочного представителя) ________________________/_________________/ </w:t>
      </w:r>
    </w:p>
    <w:p w:rsidR="004D423F" w:rsidRDefault="004D423F" w:rsidP="004D423F">
      <w:pPr>
        <w:ind w:left="-426"/>
        <w:jc w:val="both"/>
        <w:rPr>
          <w:sz w:val="20"/>
          <w:szCs w:val="20"/>
        </w:rPr>
      </w:pPr>
      <w:r>
        <w:rPr>
          <w:sz w:val="20"/>
          <w:szCs w:val="20"/>
        </w:rPr>
        <w:t xml:space="preserve">                                                                                  </w:t>
      </w:r>
      <w:proofErr w:type="gramStart"/>
      <w:r>
        <w:rPr>
          <w:sz w:val="20"/>
          <w:szCs w:val="20"/>
        </w:rPr>
        <w:t xml:space="preserve">(Ф.И.О., (должность для юридических лиц) </w:t>
      </w:r>
      <w:proofErr w:type="gramEnd"/>
    </w:p>
    <w:p w:rsidR="004D423F" w:rsidRDefault="004D423F" w:rsidP="004D423F">
      <w:pPr>
        <w:pStyle w:val="a0"/>
        <w:ind w:left="-426"/>
        <w:rPr>
          <w:sz w:val="20"/>
          <w:szCs w:val="20"/>
        </w:rPr>
      </w:pPr>
    </w:p>
    <w:p w:rsidR="004D423F" w:rsidRDefault="004D423F" w:rsidP="004D423F">
      <w:pPr>
        <w:pStyle w:val="a0"/>
        <w:ind w:left="-426"/>
      </w:pPr>
      <w:r>
        <w:t>Дата «_____»___________________20____ г.</w:t>
      </w:r>
    </w:p>
    <w:p w:rsidR="004D423F" w:rsidRDefault="004D423F" w:rsidP="004D423F">
      <w:pPr>
        <w:ind w:left="-426"/>
        <w:jc w:val="both"/>
      </w:pPr>
      <w:r>
        <w:t>М.П. (при наличии печати)</w:t>
      </w:r>
    </w:p>
    <w:p w:rsidR="004D423F" w:rsidRDefault="004D423F" w:rsidP="004D423F">
      <w:pPr>
        <w:jc w:val="both"/>
        <w:rPr>
          <w:bCs/>
          <w:sz w:val="28"/>
          <w:szCs w:val="28"/>
        </w:rPr>
      </w:pPr>
    </w:p>
    <w:p w:rsidR="004D423F" w:rsidRDefault="004D423F" w:rsidP="004D423F">
      <w:pPr>
        <w:jc w:val="both"/>
        <w:rPr>
          <w:bCs/>
          <w:sz w:val="28"/>
          <w:szCs w:val="28"/>
        </w:rPr>
      </w:pPr>
    </w:p>
    <w:p w:rsidR="004D423F" w:rsidRDefault="004D423F" w:rsidP="004D423F">
      <w:pPr>
        <w:jc w:val="both"/>
        <w:rPr>
          <w:bCs/>
          <w:sz w:val="28"/>
          <w:szCs w:val="28"/>
        </w:rPr>
      </w:pPr>
    </w:p>
    <w:p w:rsidR="004D423F" w:rsidRDefault="004D423F" w:rsidP="004D423F">
      <w:pPr>
        <w:jc w:val="both"/>
        <w:rPr>
          <w:bCs/>
          <w:sz w:val="28"/>
          <w:szCs w:val="28"/>
        </w:rPr>
      </w:pPr>
    </w:p>
    <w:p w:rsidR="004D423F" w:rsidRDefault="004D423F" w:rsidP="004D423F">
      <w:pPr>
        <w:ind w:left="-426"/>
        <w:jc w:val="both"/>
        <w:rPr>
          <w:bCs/>
        </w:rPr>
      </w:pPr>
      <w:proofErr w:type="gramStart"/>
      <w:r>
        <w:rPr>
          <w:bCs/>
        </w:rPr>
        <w:t xml:space="preserve">* По общему правилу обработка персональных данных может осуществляться с согласия субъекта персональных данных (далее - Согласие) (п. 1 ч. 1 ст. 6 Федерального закона от 27.07.2006 № 152-ФЗ «О персональных данных». </w:t>
      </w:r>
      <w:proofErr w:type="gramEnd"/>
    </w:p>
    <w:p w:rsidR="004D423F" w:rsidRDefault="004D423F" w:rsidP="004D423F">
      <w:pPr>
        <w:ind w:left="-426"/>
        <w:jc w:val="both"/>
        <w:rPr>
          <w:bCs/>
        </w:rPr>
      </w:pPr>
      <w:r>
        <w:rPr>
          <w:bCs/>
        </w:rPr>
        <w:t>* В соответствии с Федеральным законом от 27.07.2006 № 152-ФЗ «О персональных данных»,</w:t>
      </w:r>
      <w:r>
        <w:rPr>
          <w:shd w:val="clear" w:color="auto" w:fill="FFFFFF"/>
        </w:rPr>
        <w:t xml:space="preserve"> согласие на обработку персональных данных должно быть оформлено отдельно от иных информации и (или) документов, которые подтверждает и (или) подписывает Заявитель. Согласие на обработку персональных данных может быть дано в любой позволяющей подтвердить факт его получения форме, если иное не установлено федеральным законом. </w:t>
      </w:r>
    </w:p>
    <w:p w:rsidR="004D423F" w:rsidRDefault="004D423F" w:rsidP="004D423F">
      <w:pPr>
        <w:ind w:left="-426"/>
        <w:jc w:val="both"/>
      </w:pPr>
      <w:r>
        <w:t>* Заявка заполняется заявителем в электронной форме на электронной площадке.</w:t>
      </w:r>
    </w:p>
    <w:p w:rsidR="004D423F" w:rsidRDefault="004D423F" w:rsidP="004D423F">
      <w:pPr>
        <w:ind w:left="-426"/>
        <w:jc w:val="both"/>
      </w:pPr>
    </w:p>
    <w:p w:rsidR="004D423F" w:rsidRDefault="004D423F" w:rsidP="004D423F">
      <w:pPr>
        <w:tabs>
          <w:tab w:val="left" w:pos="2129"/>
        </w:tabs>
      </w:pPr>
    </w:p>
    <w:p w:rsidR="004D423F" w:rsidRDefault="004D423F" w:rsidP="004D423F">
      <w:pPr>
        <w:tabs>
          <w:tab w:val="left" w:pos="2129"/>
        </w:tabs>
      </w:pPr>
    </w:p>
    <w:p w:rsidR="003A3C5E" w:rsidRDefault="003A3C5E"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rPr>
          <w:b/>
          <w:bCs/>
        </w:rPr>
      </w:pPr>
    </w:p>
    <w:p w:rsidR="004D423F" w:rsidRDefault="004D423F" w:rsidP="00C00E0B">
      <w:pPr>
        <w:ind w:left="-426"/>
        <w:jc w:val="both"/>
      </w:pPr>
    </w:p>
    <w:p w:rsidR="003A3C5E" w:rsidRDefault="003A3C5E" w:rsidP="00C00E0B">
      <w:pPr>
        <w:ind w:left="-426"/>
        <w:jc w:val="both"/>
      </w:pPr>
    </w:p>
    <w:p w:rsidR="00C00E0B" w:rsidRDefault="00C00E0B" w:rsidP="00C00E0B">
      <w:pPr>
        <w:ind w:left="-426"/>
        <w:jc w:val="both"/>
      </w:pPr>
      <w:r>
        <w:t xml:space="preserve"> </w:t>
      </w:r>
    </w:p>
    <w:p w:rsidR="004D423F"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4D423F" w:rsidRDefault="004D423F" w:rsidP="00C00E0B">
      <w:pPr>
        <w:pStyle w:val="ConsPlusNonformat"/>
        <w:jc w:val="center"/>
        <w:rPr>
          <w:rFonts w:ascii="Times New Roman" w:hAnsi="Times New Roman" w:cs="Times New Roman"/>
          <w:b/>
          <w:sz w:val="24"/>
          <w:szCs w:val="24"/>
        </w:rPr>
      </w:pPr>
    </w:p>
    <w:p w:rsidR="004D423F" w:rsidRDefault="004D423F" w:rsidP="00C00E0B">
      <w:pPr>
        <w:pStyle w:val="ConsPlusNonformat"/>
        <w:jc w:val="center"/>
        <w:rPr>
          <w:rFonts w:ascii="Times New Roman" w:hAnsi="Times New Roman" w:cs="Times New Roman"/>
          <w:b/>
          <w:sz w:val="24"/>
          <w:szCs w:val="24"/>
        </w:rPr>
      </w:pPr>
    </w:p>
    <w:p w:rsidR="004D423F" w:rsidRDefault="004D423F" w:rsidP="00C00E0B">
      <w:pPr>
        <w:pStyle w:val="ConsPlusNonformat"/>
        <w:jc w:val="center"/>
        <w:rPr>
          <w:rFonts w:ascii="Times New Roman" w:hAnsi="Times New Roman" w:cs="Times New Roman"/>
          <w:b/>
          <w:sz w:val="24"/>
          <w:szCs w:val="24"/>
        </w:rPr>
      </w:pPr>
    </w:p>
    <w:p w:rsidR="004D423F" w:rsidRDefault="004D423F"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ОПИСЬ ДОКУМЕНТОВ,</w:t>
      </w:r>
    </w:p>
    <w:p w:rsidR="00C00E0B" w:rsidRDefault="00C00E0B" w:rsidP="00C00E0B">
      <w:pPr>
        <w:pStyle w:val="ConsPlusNonformat"/>
        <w:jc w:val="center"/>
        <w:rPr>
          <w:rFonts w:ascii="Times New Roman" w:hAnsi="Times New Roman" w:cs="Times New Roman"/>
          <w:b/>
          <w:sz w:val="24"/>
          <w:szCs w:val="24"/>
        </w:rPr>
      </w:pPr>
      <w:proofErr w:type="gramStart"/>
      <w:r>
        <w:rPr>
          <w:rFonts w:ascii="Times New Roman" w:hAnsi="Times New Roman" w:cs="Times New Roman"/>
          <w:b/>
          <w:sz w:val="24"/>
          <w:szCs w:val="24"/>
        </w:rPr>
        <w:t>прилагаемых</w:t>
      </w:r>
      <w:proofErr w:type="gramEnd"/>
      <w:r>
        <w:rPr>
          <w:rFonts w:ascii="Times New Roman" w:hAnsi="Times New Roman" w:cs="Times New Roman"/>
          <w:b/>
          <w:sz w:val="24"/>
          <w:szCs w:val="24"/>
        </w:rPr>
        <w:t xml:space="preserve"> к заявке на участие в аукционе в электронной форме</w:t>
      </w: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Настоящим_____________________________________________________________                         </w:t>
      </w:r>
    </w:p>
    <w:p w:rsidR="00C00E0B" w:rsidRDefault="00C00E0B" w:rsidP="00C00E0B">
      <w:pPr>
        <w:jc w:val="center"/>
        <w:rPr>
          <w:vertAlign w:val="subscript"/>
        </w:rPr>
      </w:pPr>
      <w:r>
        <w:rPr>
          <w:vertAlign w:val="subscript"/>
        </w:rPr>
        <w:t xml:space="preserve">                                             (полное наименование юридического лица или Ф.И.О. физического лица, подающего заявку)</w:t>
      </w:r>
    </w:p>
    <w:p w:rsidR="00C00E0B" w:rsidRDefault="00C00E0B" w:rsidP="00C00E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лице ____________________________________________________, 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_____________________________________________________________________________ представляются нижеперечисленные документы.</w:t>
      </w:r>
    </w:p>
    <w:p w:rsidR="00C00E0B" w:rsidRDefault="00C00E0B" w:rsidP="00C00E0B">
      <w:pPr>
        <w:pStyle w:val="ConsPlusNormal0"/>
        <w:jc w:val="both"/>
        <w:rPr>
          <w:highlight w:val="red"/>
        </w:rPr>
      </w:pPr>
    </w:p>
    <w:tbl>
      <w:tblPr>
        <w:tblW w:w="9345" w:type="dxa"/>
        <w:tblInd w:w="27" w:type="dxa"/>
        <w:tblLayout w:type="fixed"/>
        <w:tblCellMar>
          <w:left w:w="70" w:type="dxa"/>
          <w:right w:w="70" w:type="dxa"/>
        </w:tblCellMar>
        <w:tblLook w:val="04A0"/>
      </w:tblPr>
      <w:tblGrid>
        <w:gridCol w:w="913"/>
        <w:gridCol w:w="6540"/>
        <w:gridCol w:w="1892"/>
      </w:tblGrid>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Количество листов</w:t>
            </w:r>
          </w:p>
        </w:tc>
      </w:tr>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480"/>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C00E0B" w:rsidRDefault="00C00E0B">
            <w:pPr>
              <w:pStyle w:val="ConsPlusNormal0"/>
              <w:spacing w:line="276" w:lineRule="auto"/>
              <w:jc w:val="center"/>
              <w:rPr>
                <w:lang w:eastAsia="en-US"/>
              </w:rPr>
            </w:pPr>
            <w:r>
              <w:rPr>
                <w:lang w:eastAsia="en-US"/>
              </w:rPr>
              <w:t>….</w:t>
            </w: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a8"/>
              <w:tabs>
                <w:tab w:val="left" w:pos="993"/>
              </w:tabs>
              <w:spacing w:line="276" w:lineRule="auto"/>
              <w:outlineLvl w:val="0"/>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bl>
    <w:p w:rsidR="00C00E0B" w:rsidRDefault="00C00E0B" w:rsidP="00C00E0B">
      <w:pPr>
        <w:pStyle w:val="a0"/>
        <w:jc w:val="right"/>
        <w:outlineLvl w:val="0"/>
        <w:rPr>
          <w:b/>
          <w:bCs/>
        </w:rPr>
      </w:pPr>
    </w:p>
    <w:p w:rsidR="00C00E0B" w:rsidRDefault="00C00E0B" w:rsidP="00C00E0B">
      <w:pPr>
        <w:tabs>
          <w:tab w:val="left" w:pos="851"/>
        </w:tabs>
        <w:ind w:firstLine="284"/>
        <w:rPr>
          <w:b/>
        </w:rPr>
      </w:pPr>
    </w:p>
    <w:p w:rsidR="00C00E0B" w:rsidRDefault="00C00E0B" w:rsidP="00C00E0B">
      <w:pPr>
        <w:tabs>
          <w:tab w:val="left" w:pos="851"/>
        </w:tabs>
        <w:ind w:firstLine="284"/>
        <w:rPr>
          <w:b/>
        </w:rPr>
      </w:pPr>
    </w:p>
    <w:p w:rsidR="00C00E0B" w:rsidRDefault="00C00E0B" w:rsidP="00C00E0B">
      <w:pPr>
        <w:tabs>
          <w:tab w:val="left" w:pos="851"/>
        </w:tabs>
        <w:ind w:firstLine="284"/>
      </w:pPr>
      <w:r>
        <w:t>____________________                    _________________</w:t>
      </w:r>
      <w:r>
        <w:tab/>
        <w:t>________________________</w:t>
      </w:r>
    </w:p>
    <w:p w:rsidR="00C00E0B" w:rsidRDefault="00C00E0B" w:rsidP="00C00E0B">
      <w:pPr>
        <w:tabs>
          <w:tab w:val="left" w:pos="851"/>
        </w:tabs>
        <w:ind w:firstLine="284"/>
        <w:rPr>
          <w:i/>
          <w:vertAlign w:val="subscript"/>
        </w:rPr>
      </w:pPr>
      <w:r>
        <w:rPr>
          <w:i/>
          <w:vertAlign w:val="subscript"/>
        </w:rPr>
        <w:t xml:space="preserve">  (наименование должности)                                                          (подпись)</w:t>
      </w:r>
      <w:r>
        <w:rPr>
          <w:i/>
          <w:vertAlign w:val="subscript"/>
        </w:rPr>
        <w:tab/>
        <w:t xml:space="preserve">                                                        (Ф.И.О.)</w:t>
      </w:r>
    </w:p>
    <w:p w:rsidR="00C00E0B" w:rsidRDefault="00C00E0B" w:rsidP="00C00E0B">
      <w:pPr>
        <w:pStyle w:val="ab"/>
        <w:ind w:left="-567" w:right="-284"/>
        <w:jc w:val="both"/>
        <w:rPr>
          <w:rFonts w:ascii="Times New Roman" w:hAnsi="Times New Roman"/>
          <w:color w:val="FF0000"/>
          <w:sz w:val="24"/>
          <w:szCs w:val="24"/>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C00E0B">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C00E0B"/>
    <w:rsid w:val="003A3C5E"/>
    <w:rsid w:val="004D423F"/>
    <w:rsid w:val="008A55CD"/>
    <w:rsid w:val="00C00E0B"/>
    <w:rsid w:val="00EA6CC4"/>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semiHidden/>
    <w:unhideWhenUsed/>
    <w:rsid w:val="00C00E0B"/>
    <w:rPr>
      <w:color w:val="000000"/>
      <w:u w:val="single"/>
    </w:rPr>
  </w:style>
  <w:style w:type="paragraph" w:styleId="a0">
    <w:name w:val="Body Text"/>
    <w:basedOn w:val="a"/>
    <w:link w:val="a5"/>
    <w:semiHidden/>
    <w:unhideWhenUsed/>
    <w:rsid w:val="00C00E0B"/>
    <w:pPr>
      <w:jc w:val="both"/>
    </w:pPr>
  </w:style>
  <w:style w:type="character" w:customStyle="1" w:styleId="a5">
    <w:name w:val="Основной текст Знак"/>
    <w:basedOn w:val="a1"/>
    <w:link w:val="a0"/>
    <w:semiHidden/>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semiHidden/>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semiHidden/>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 w:id="17393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dcterms:created xsi:type="dcterms:W3CDTF">2026-06-24T12:43:00Z</dcterms:created>
  <dcterms:modified xsi:type="dcterms:W3CDTF">2026-06-24T12:43:00Z</dcterms:modified>
</cp:coreProperties>
</file>