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2017года</w:t>
      </w:r>
      <w:proofErr w:type="gramEnd"/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="00BB04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августа 2018 года</w:t>
      </w:r>
      <w:r w:rsidR="00A93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16 октября 2018 года, 21 ноября 2018 года</w:t>
      </w:r>
      <w:r w:rsidR="00536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11 февраля 2019 года</w:t>
      </w:r>
      <w:r w:rsidR="00D81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 апреля 2019 года</w:t>
      </w:r>
      <w:r w:rsidR="000F2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,21 июня 2019 года</w:t>
      </w:r>
      <w:r w:rsidR="00532D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23 сентября 2019 года</w:t>
      </w:r>
      <w:r w:rsidR="00E84A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12 декабря 2019 года</w:t>
      </w:r>
      <w:r w:rsidR="00B26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26867" w:rsidRPr="007702A1">
        <w:rPr>
          <w:rFonts w:ascii="Times New Roman" w:hAnsi="Times New Roman" w:cs="Times New Roman"/>
          <w:bCs/>
          <w:sz w:val="28"/>
          <w:szCs w:val="28"/>
        </w:rPr>
        <w:t>20</w:t>
      </w:r>
      <w:proofErr w:type="gramEnd"/>
      <w:r w:rsidR="00B26867" w:rsidRPr="007702A1">
        <w:rPr>
          <w:rFonts w:ascii="Times New Roman" w:hAnsi="Times New Roman" w:cs="Times New Roman"/>
          <w:bCs/>
          <w:sz w:val="28"/>
          <w:szCs w:val="28"/>
        </w:rPr>
        <w:t xml:space="preserve"> апреля 2020 года, 19 июня 2020 года</w:t>
      </w:r>
      <w:r w:rsidR="009E5375">
        <w:rPr>
          <w:rFonts w:ascii="Times New Roman" w:hAnsi="Times New Roman" w:cs="Times New Roman"/>
          <w:bCs/>
          <w:sz w:val="28"/>
          <w:szCs w:val="28"/>
        </w:rPr>
        <w:t>, 26 августа 2020 года</w:t>
      </w:r>
      <w:r w:rsidR="00292D21">
        <w:rPr>
          <w:rFonts w:ascii="Times New Roman" w:hAnsi="Times New Roman" w:cs="Times New Roman"/>
          <w:bCs/>
          <w:sz w:val="28"/>
          <w:szCs w:val="28"/>
        </w:rPr>
        <w:t>, 19 ноября 2020 года, 21 декабря 2020 года</w:t>
      </w:r>
      <w:r w:rsidR="0041442E">
        <w:rPr>
          <w:rFonts w:ascii="Times New Roman" w:hAnsi="Times New Roman" w:cs="Times New Roman"/>
          <w:bCs/>
          <w:sz w:val="28"/>
          <w:szCs w:val="28"/>
        </w:rPr>
        <w:t>, 23 декабря 2021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3807"/>
        <w:gridCol w:w="1010"/>
        <w:gridCol w:w="4423"/>
        <w:gridCol w:w="334"/>
        <w:gridCol w:w="171"/>
      </w:tblGrid>
      <w:tr w:rsidR="00BE1356" w:rsidTr="00BE1356">
        <w:trPr>
          <w:gridBefore w:val="1"/>
          <w:gridAfter w:val="2"/>
          <w:wBefore w:w="107" w:type="dxa"/>
          <w:wAfter w:w="505" w:type="dxa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Координаторы подпрограмм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Участники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Подпрограммы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Ведомственные целевые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Цель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информационной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Задачи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lastRenderedPageBreak/>
              <w:t>периодических изданий, телевидения, радио, сети "Интернет" и других информационных способов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Количество информации о деятельности органов местного самоуправления МО Кавказский район в печатном издании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печатном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сетевом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Проекты и (или)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Срок реализации: 2015 - 2024 годы, </w:t>
            </w:r>
          </w:p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2015-2019 годы, </w:t>
            </w:r>
          </w:p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2020-2024 годы  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ja-JP"/>
              </w:rPr>
              <w:t>(2)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Объем финансирования муниципальной программы  за счет средств местного бюджета составляет 34 647,3 тыс. руб.</w:t>
            </w:r>
          </w:p>
        </w:tc>
      </w:tr>
      <w:tr w:rsidR="00BE1356" w:rsidTr="00BE1356">
        <w:tc>
          <w:tcPr>
            <w:tcW w:w="9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56" w:rsidRDefault="00BE1356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rPr>
          <w:gridBefore w:val="1"/>
          <w:gridAfter w:val="1"/>
          <w:wBefore w:w="107" w:type="dxa"/>
          <w:wAfter w:w="171" w:type="dxa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sub_1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0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7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8" w:history="1">
        <w:proofErr w:type="gramStart"/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медийное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(ООО "Редакция газеты "Огни Кубани") и электронным СМИ (МАУ "Муниципальная телерадиокомпания "Кропоткин").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Программой предусмотрен комплексный подход в создании системы информационного обеспечения населения района на основе анализа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sub_2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1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9" w:anchor="sub_1100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приложении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sub_3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2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r:id="rId10" w:anchor="sub_1200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приложении 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3" w:name="sub_6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</w:t>
      </w:r>
    </w:p>
    <w:bookmarkEnd w:id="3"/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4" w:name="sub_700"/>
    </w:p>
    <w:bookmarkEnd w:id="4"/>
    <w:p w:rsidR="00245902" w:rsidRDefault="00245902" w:rsidP="002459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6. Информация о налоговых расходах муниципального образования Кавказский район в сфере реализации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5" w:name="sub_800"/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 в качестве мер муниципальной поддержки, в муниципальной программе не предусмотрены.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7. Методика оценки эффективности реализации муниципальной программы</w:t>
      </w:r>
    </w:p>
    <w:bookmarkEnd w:id="5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6" w:name="sub_9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8. Механизм реализации муниципальной программы и 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6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осуществляет иные полномочия, установленные муниципальной программой.</w:t>
      </w:r>
    </w:p>
    <w:p w:rsidR="00245902" w:rsidRDefault="00245902" w:rsidP="002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245902" w:rsidRDefault="00245902" w:rsidP="00245902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45902" w:rsidRDefault="00245902" w:rsidP="00245902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45902" w:rsidRDefault="00245902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  <w:sectPr w:rsidR="00245902">
          <w:pgSz w:w="11905" w:h="16837"/>
          <w:pgMar w:top="1134" w:right="567" w:bottom="1134" w:left="1701" w:header="720" w:footer="720" w:gutter="0"/>
          <w:cols w:space="720"/>
        </w:sect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085CB4" w:rsidRPr="00C30EAF" w:rsidRDefault="00085CB4" w:rsidP="00085C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085CB4" w:rsidRPr="00C30EAF" w:rsidRDefault="00085CB4" w:rsidP="00085C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085CB4" w:rsidRDefault="00085CB4" w:rsidP="00085CB4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992"/>
        <w:gridCol w:w="709"/>
        <w:gridCol w:w="959"/>
        <w:gridCol w:w="958"/>
        <w:gridCol w:w="851"/>
        <w:gridCol w:w="1026"/>
        <w:gridCol w:w="992"/>
        <w:gridCol w:w="884"/>
        <w:gridCol w:w="67"/>
        <w:gridCol w:w="843"/>
        <w:gridCol w:w="1059"/>
        <w:gridCol w:w="1134"/>
        <w:gridCol w:w="925"/>
      </w:tblGrid>
      <w:tr w:rsidR="00085CB4" w:rsidRPr="00E108A9" w:rsidTr="00085CB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698" w:type="dxa"/>
            <w:gridSpan w:val="11"/>
            <w:tcBorders>
              <w:top w:val="single" w:sz="4" w:space="0" w:color="auto"/>
            </w:tcBorders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085CB4" w:rsidRPr="00E108A9" w:rsidTr="00085CB4">
        <w:trPr>
          <w:trHeight w:val="625"/>
          <w:tblHeader/>
        </w:trPr>
        <w:tc>
          <w:tcPr>
            <w:tcW w:w="709" w:type="dxa"/>
            <w:vMerge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:rsidR="00085CB4" w:rsidRPr="00C653EA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085CB4" w:rsidRPr="00E108A9" w:rsidTr="00085CB4">
        <w:trPr>
          <w:trHeight w:val="253"/>
          <w:tblHeader/>
        </w:trPr>
        <w:tc>
          <w:tcPr>
            <w:tcW w:w="709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gridSpan w:val="2"/>
            <w:vAlign w:val="center"/>
          </w:tcPr>
          <w:p w:rsidR="00085CB4" w:rsidRPr="00C653EA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85CB4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085CB4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085CB4" w:rsidRPr="00E108A9" w:rsidTr="00085CB4">
        <w:trPr>
          <w:trHeight w:val="259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1" w:type="dxa"/>
            <w:gridSpan w:val="14"/>
          </w:tcPr>
          <w:p w:rsidR="00085CB4" w:rsidRPr="00E108A9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085CB4" w:rsidRPr="00E108A9" w:rsidTr="00085CB4">
        <w:trPr>
          <w:trHeight w:val="928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1" w:type="dxa"/>
            <w:gridSpan w:val="14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085CB4" w:rsidRPr="00E108A9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E108A9" w:rsidTr="00085CB4">
        <w:trPr>
          <w:trHeight w:val="259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51" w:type="dxa"/>
            <w:gridSpan w:val="14"/>
            <w:hideMark/>
          </w:tcPr>
          <w:p w:rsidR="00085CB4" w:rsidRPr="00E108A9" w:rsidRDefault="00085CB4" w:rsidP="00085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085CB4" w:rsidRPr="00E108A9" w:rsidTr="00085CB4">
        <w:trPr>
          <w:trHeight w:val="461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E108A9" w:rsidTr="00085CB4">
        <w:trPr>
          <w:trHeight w:val="736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370715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9D6B81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56626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65400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7C9">
              <w:rPr>
                <w:rFonts w:ascii="Times New Roman" w:hAnsi="Times New Roman"/>
                <w:color w:val="000000"/>
                <w:sz w:val="24"/>
                <w:szCs w:val="24"/>
              </w:rPr>
              <w:t>70999</w:t>
            </w:r>
          </w:p>
        </w:tc>
        <w:tc>
          <w:tcPr>
            <w:tcW w:w="1059" w:type="dxa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C9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1134" w:type="dxa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925" w:type="dxa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</w:tr>
      <w:tr w:rsidR="00085CB4" w:rsidRPr="00E108A9" w:rsidTr="00085CB4">
        <w:trPr>
          <w:trHeight w:val="736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5D0E">
              <w:rPr>
                <w:rFonts w:ascii="Times New Roman" w:hAnsi="Times New Roman"/>
                <w:color w:val="000000"/>
              </w:rPr>
              <w:t>126544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5D0E">
              <w:rPr>
                <w:rFonts w:ascii="Times New Roman" w:hAnsi="Times New Roman"/>
                <w:color w:val="000000"/>
              </w:rPr>
              <w:t>223076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127000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5D0E">
              <w:rPr>
                <w:rFonts w:ascii="Times New Roman" w:hAnsi="Times New Roman"/>
                <w:color w:val="000000"/>
              </w:rPr>
              <w:t>250000</w:t>
            </w:r>
          </w:p>
        </w:tc>
        <w:tc>
          <w:tcPr>
            <w:tcW w:w="1059" w:type="dxa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250000</w:t>
            </w:r>
          </w:p>
        </w:tc>
        <w:tc>
          <w:tcPr>
            <w:tcW w:w="1134" w:type="dxa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250000</w:t>
            </w:r>
          </w:p>
        </w:tc>
        <w:tc>
          <w:tcPr>
            <w:tcW w:w="925" w:type="dxa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250000</w:t>
            </w:r>
          </w:p>
        </w:tc>
      </w:tr>
      <w:tr w:rsidR="00085CB4" w:rsidRPr="00E108A9" w:rsidTr="00085CB4">
        <w:trPr>
          <w:trHeight w:val="736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85CB4" w:rsidRPr="00AC1228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085CB4" w:rsidRPr="00AC1228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5" w:type="dxa"/>
            <w:vAlign w:val="center"/>
          </w:tcPr>
          <w:p w:rsidR="00085CB4" w:rsidRPr="00AC1228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85CB4" w:rsidRPr="00E108A9" w:rsidTr="00085CB4">
        <w:trPr>
          <w:trHeight w:val="250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3" w:type="dxa"/>
            <w:gridSpan w:val="11"/>
            <w:shd w:val="clear" w:color="auto" w:fill="auto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4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05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E108A9" w:rsidTr="00085CB4">
        <w:trPr>
          <w:trHeight w:val="250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91083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59" w:type="dxa"/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25" w:type="dxa"/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</w:tbl>
    <w:p w:rsidR="00085CB4" w:rsidRPr="004C1C12" w:rsidRDefault="00085CB4" w:rsidP="00085CB4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085CB4" w:rsidRDefault="00085CB4" w:rsidP="00085CB4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085CB4" w:rsidRDefault="00085CB4" w:rsidP="00085CB4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BE1356" w:rsidRDefault="00BE1356" w:rsidP="00BE1356">
      <w:pPr>
        <w:spacing w:after="0" w:line="240" w:lineRule="auto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7" w:name="_GoBack"/>
      <w:bookmarkEnd w:id="7"/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851"/>
        <w:gridCol w:w="2411"/>
        <w:gridCol w:w="3119"/>
        <w:gridCol w:w="2694"/>
        <w:gridCol w:w="2553"/>
      </w:tblGrid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  <w:t>N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Единица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Тенденция развития целевого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Методика расчета целевого показателя (формула), алгоритм формирования формул, методологические пояснения к базовым показателям, используемым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в формуле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Ответственный за сбор данных и расчет целевого показателя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Целевые показатели муниципальной программы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количество информации о деятельности органов местного самоуправления 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МО Кавказский район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K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информации о деятельности органов МСУ МО Кавказский район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стоимость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Редакции краевых и районных печатных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C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муниципальных правовых актов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стоимость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Редакция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 факту размещения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Реестр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информацион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ных сюжетов на телевидении, радио, в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t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lastRenderedPageBreak/>
              <w:t>Z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слуги информационного обеспечения деятельности ОМСУ МО Кавказский район посредством телевизионного вещания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– стоимость 1 телевизионного сюжета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Краевые и районные телерадиокомпании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Отдел информационной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политики</w:t>
            </w:r>
          </w:p>
        </w:tc>
      </w:tr>
    </w:tbl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4C1C1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С.В.Филатова</w:t>
      </w:r>
      <w:proofErr w:type="spellEnd"/>
      <w:r w:rsidR="00DF6502" w:rsidRPr="00E108A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 w:rsidR="00BE1356"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085CB4" w:rsidRDefault="00085CB4" w:rsidP="00085CB4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1984"/>
        <w:gridCol w:w="2127"/>
      </w:tblGrid>
      <w:tr w:rsidR="00085CB4" w:rsidRPr="002B1F71" w:rsidTr="00085CB4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4" w:rsidRPr="0051294C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Стату</w:t>
            </w:r>
            <w:r w:rsidRPr="0051294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85CB4" w:rsidRPr="00A52868" w:rsidTr="00085CB4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Информа-ционноеобеспечение</w:t>
            </w:r>
            <w:proofErr w:type="spellEnd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 Администрация муниципального образования Кавказский район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4880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A52868" w:rsidTr="00085CB4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DF6502" w:rsidRPr="00C30EAF" w:rsidRDefault="00DF6502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E1356">
        <w:rPr>
          <w:rFonts w:ascii="Times New Roman" w:hAnsi="Times New Roman"/>
          <w:color w:val="00B050"/>
          <w:sz w:val="24"/>
          <w:szCs w:val="24"/>
        </w:rPr>
        <w:t xml:space="preserve">№ </w:t>
      </w:r>
      <w:r w:rsidR="00BE1356" w:rsidRPr="00BE1356">
        <w:rPr>
          <w:rFonts w:ascii="Times New Roman" w:hAnsi="Times New Roman"/>
          <w:color w:val="00B050"/>
          <w:sz w:val="24"/>
          <w:szCs w:val="24"/>
        </w:rPr>
        <w:t>4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6B1325" w:rsidRPr="006B1325" w:rsidRDefault="006B1325" w:rsidP="006B1325">
      <w:pPr>
        <w:widowControl w:val="0"/>
        <w:suppressAutoHyphens/>
        <w:spacing w:after="0" w:line="240" w:lineRule="auto"/>
        <w:ind w:left="8496" w:hanging="8496"/>
        <w:jc w:val="center"/>
        <w:rPr>
          <w:rFonts w:ascii="Times New Roman" w:hAnsi="Times New Roman"/>
          <w:b/>
          <w:sz w:val="28"/>
          <w:szCs w:val="28"/>
        </w:rPr>
      </w:pPr>
      <w:r w:rsidRPr="006B1325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 «Информационное общество»</w:t>
      </w:r>
    </w:p>
    <w:p w:rsidR="00DF6502" w:rsidRDefault="00DF6502" w:rsidP="00DF6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1842"/>
        <w:gridCol w:w="1701"/>
        <w:gridCol w:w="1560"/>
        <w:gridCol w:w="1559"/>
        <w:gridCol w:w="1594"/>
      </w:tblGrid>
      <w:tr w:rsidR="00085CB4" w:rsidRPr="006004A1" w:rsidTr="00085CB4">
        <w:trPr>
          <w:trHeight w:val="445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085CB4" w:rsidRPr="006004A1" w:rsidTr="00085CB4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085CB4" w:rsidRPr="006004A1" w:rsidTr="00085CB4">
        <w:trPr>
          <w:trHeight w:val="800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85CB4" w:rsidRPr="006004A1" w:rsidTr="00085CB4">
        <w:trPr>
          <w:trHeight w:val="22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34647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34647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58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30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№1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информационного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18017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18017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16630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16630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65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85CB4" w:rsidRPr="00C30EAF" w:rsidRDefault="00085CB4" w:rsidP="00085CB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CB4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5CB4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34ECC" w:rsidRDefault="00085CB4" w:rsidP="00085CB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="00BE135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  <w:proofErr w:type="spellEnd"/>
    </w:p>
    <w:p w:rsidR="00085CB4" w:rsidRDefault="00085CB4" w:rsidP="00085CB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BE1356" w:rsidRDefault="004F629F" w:rsidP="004F629F">
      <w:pPr>
        <w:rPr>
          <w:strike/>
          <w:color w:val="FF0000"/>
        </w:rPr>
      </w:pPr>
    </w:p>
    <w:p w:rsidR="001451E3" w:rsidRPr="00BE135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sectPr w:rsidR="001451E3" w:rsidRPr="00BE135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01B69"/>
    <w:rsid w:val="000366BC"/>
    <w:rsid w:val="0003766A"/>
    <w:rsid w:val="00082755"/>
    <w:rsid w:val="00085CB4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45902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1442E"/>
    <w:rsid w:val="004446FC"/>
    <w:rsid w:val="00456D1A"/>
    <w:rsid w:val="0049574E"/>
    <w:rsid w:val="004A00B3"/>
    <w:rsid w:val="004B5E05"/>
    <w:rsid w:val="004F18D8"/>
    <w:rsid w:val="004F629F"/>
    <w:rsid w:val="00532D99"/>
    <w:rsid w:val="00534ECC"/>
    <w:rsid w:val="00536581"/>
    <w:rsid w:val="005A673E"/>
    <w:rsid w:val="005B11D8"/>
    <w:rsid w:val="005F2E0E"/>
    <w:rsid w:val="005F3626"/>
    <w:rsid w:val="0062307E"/>
    <w:rsid w:val="0062611E"/>
    <w:rsid w:val="0064208B"/>
    <w:rsid w:val="00684939"/>
    <w:rsid w:val="006B1325"/>
    <w:rsid w:val="006B62EF"/>
    <w:rsid w:val="006D48E4"/>
    <w:rsid w:val="00702D08"/>
    <w:rsid w:val="00712670"/>
    <w:rsid w:val="00736D5C"/>
    <w:rsid w:val="007702A1"/>
    <w:rsid w:val="00797384"/>
    <w:rsid w:val="007D7861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C588C"/>
    <w:rsid w:val="008C75B8"/>
    <w:rsid w:val="008D19E2"/>
    <w:rsid w:val="008D6CC9"/>
    <w:rsid w:val="008E17B5"/>
    <w:rsid w:val="008F6B55"/>
    <w:rsid w:val="00905DCD"/>
    <w:rsid w:val="00935BF6"/>
    <w:rsid w:val="009647AC"/>
    <w:rsid w:val="009B3006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5789F"/>
    <w:rsid w:val="00A93948"/>
    <w:rsid w:val="00AA109F"/>
    <w:rsid w:val="00AF2527"/>
    <w:rsid w:val="00AF5A1D"/>
    <w:rsid w:val="00AF7B8B"/>
    <w:rsid w:val="00B26867"/>
    <w:rsid w:val="00B343A2"/>
    <w:rsid w:val="00B41FF7"/>
    <w:rsid w:val="00BB04D5"/>
    <w:rsid w:val="00BE1356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semiHidden/>
    <w:unhideWhenUsed/>
    <w:rsid w:val="00245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1424785.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B:\&#1057;&#1077;&#1082;&#1090;&#1086;&#1088;%20&#1052;&#1055;\&#1059;&#1090;&#1086;&#1095;&#1085;&#1077;&#1085;&#1080;&#1077;%20&#1052;&#1055;\&#1059;&#1090;&#1086;&#1095;&#1085;&#1077;&#1085;&#1080;&#1077;%20&#1052;&#1055;%202021%20&#1075;&#1086;&#1076;\&#1054;&#1082;&#1090;&#1103;&#1073;&#1088;&#1100;%202021\&#1057;&#1052;&#1048;\&#1055;&#1088;&#1077;&#1089;&#1089;-&#1094;&#1077;&#1085;&#1090;&#1088;\&#1074;&#1085;&#1077;&#1089;&#1077;&#1085;&#1080;&#1077;%20&#1080;&#1079;&#1084;&#1077;&#1085;&#1077;&#1085;&#1080;&#1081;%2010.202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B:\&#1057;&#1077;&#1082;&#1090;&#1086;&#1088;%20&#1052;&#1055;\&#1059;&#1090;&#1086;&#1095;&#1085;&#1077;&#1085;&#1080;&#1077;%20&#1052;&#1055;\&#1059;&#1090;&#1086;&#1095;&#1085;&#1077;&#1085;&#1080;&#1077;%20&#1052;&#1055;%202021%20&#1075;&#1086;&#1076;\&#1054;&#1082;&#1090;&#1103;&#1073;&#1088;&#1100;%202021\&#1057;&#1052;&#1048;\&#1055;&#1088;&#1077;&#1089;&#1089;-&#1094;&#1077;&#1085;&#1090;&#1088;\&#1074;&#1085;&#1077;&#1089;&#1077;&#1085;&#1080;&#1077;%20&#1080;&#1079;&#1084;&#1077;&#1085;&#1077;&#1085;&#1080;&#1081;%2010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2004-2362-49FC-A386-917A21DF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18</Pages>
  <Words>4373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64</cp:revision>
  <dcterms:created xsi:type="dcterms:W3CDTF">2017-07-19T12:27:00Z</dcterms:created>
  <dcterms:modified xsi:type="dcterms:W3CDTF">2021-12-28T13:25:00Z</dcterms:modified>
</cp:coreProperties>
</file>