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 муниципального образования</w:t>
      </w:r>
      <w:r w:rsidR="00E97BD8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Кавказский район по итогам 2021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 проведен мониторинг восприятия уровня коррупции в администрации муниципального образования Кавказский район (далее – администрация МО).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коррупции проводился в целях: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восприятия уровня коррупции;</w:t>
      </w:r>
    </w:p>
    <w:p w:rsidR="005501BF" w:rsidRDefault="007A0B1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оценки понимания коррупции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выраб</w:t>
      </w:r>
      <w:r w:rsidR="007A0B10">
        <w:rPr>
          <w:rFonts w:ascii="Times New Roman" w:eastAsia="Times New Roman" w:hAnsi="Times New Roman" w:cs="Times New Roman"/>
          <w:sz w:val="28"/>
          <w:szCs w:val="28"/>
        </w:rPr>
        <w:t>отки предложений и рекомендаций, направленных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снижение уровня коррупции в муниципальном образовании Кавказский район.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5501BF" w:rsidRDefault="007A0B1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экспертизы жалоб и обращений </w:t>
      </w:r>
      <w:r w:rsidR="00271020">
        <w:rPr>
          <w:rFonts w:ascii="Times New Roman" w:eastAsia="Times New Roman" w:hAnsi="Times New Roman" w:cs="Times New Roman"/>
          <w:sz w:val="28"/>
          <w:szCs w:val="28"/>
        </w:rPr>
        <w:t>граждан на наличие сведений о фактах коррупции в администрации муниципального образования Кавказский район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271020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</w:t>
      </w:r>
      <w:r w:rsidR="00073BC7">
        <w:rPr>
          <w:rFonts w:ascii="Times New Roman" w:eastAsia="Times New Roman" w:hAnsi="Times New Roman" w:cs="Times New Roman"/>
          <w:sz w:val="28"/>
          <w:szCs w:val="28"/>
        </w:rPr>
        <w:t xml:space="preserve"> при  осуществлении должностных полномочий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муниципального образования Кавказский район, и принятых мер по их предотвращению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рассмотрения вопросов правоприменительной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муниципального образования Кавказский район, подведомственных учреждений (организаций) и их должностных лиц, и принятых мер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01BF" w:rsidRDefault="00073BC7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</w:t>
      </w:r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мониторинга </w:t>
      </w:r>
      <w:proofErr w:type="spellStart"/>
      <w:r w:rsidR="00696CE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, проведенного в соответствии с Положением о мониторинге </w:t>
      </w:r>
      <w:proofErr w:type="spellStart"/>
      <w:r w:rsidR="00696CE7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администрации муниципального образования Кавказский район, утвержденным постановлением администрации муниципального обра</w:t>
      </w:r>
      <w:r w:rsidR="00E72B08">
        <w:rPr>
          <w:rFonts w:ascii="Times New Roman" w:eastAsia="Times New Roman" w:hAnsi="Times New Roman" w:cs="Times New Roman"/>
          <w:sz w:val="28"/>
          <w:szCs w:val="28"/>
        </w:rPr>
        <w:t xml:space="preserve">зования Кавказский район от 8 июля 2013 года №808 «Об утверждении Положения о мониторинге </w:t>
      </w:r>
      <w:proofErr w:type="spellStart"/>
      <w:r w:rsidR="00E72B08">
        <w:rPr>
          <w:rFonts w:ascii="Times New Roman" w:eastAsia="Times New Roman" w:hAnsi="Times New Roman" w:cs="Times New Roman"/>
          <w:sz w:val="28"/>
          <w:szCs w:val="28"/>
        </w:rPr>
        <w:t>правоприменения</w:t>
      </w:r>
      <w:proofErr w:type="spellEnd"/>
      <w:r w:rsidR="00E72B08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администрации муниципального образования Кавказский район</w:t>
      </w:r>
      <w:r w:rsidR="00E53F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53F66" w:rsidRDefault="00E53F66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мониторинга коррупционных рисков по каждому из структурных подразделений администрации муниципального образования Кавказский район учтены также:</w:t>
      </w:r>
    </w:p>
    <w:p w:rsidR="00696CE7" w:rsidRDefault="00E53F66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данные</w:t>
      </w:r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96CE7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 экспертизы муниципальных нормативных правовых актов </w:t>
      </w:r>
      <w:proofErr w:type="gramStart"/>
      <w:r w:rsidR="00696CE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696CE7">
        <w:rPr>
          <w:rFonts w:ascii="Times New Roman" w:eastAsia="Times New Roman" w:hAnsi="Times New Roman" w:cs="Times New Roman"/>
          <w:sz w:val="28"/>
          <w:szCs w:val="28"/>
        </w:rPr>
        <w:t>проектов муниципальных нормативных актов) за отчетный период;</w:t>
      </w:r>
    </w:p>
    <w:p w:rsidR="00696CE7" w:rsidRDefault="00E53F66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результатов социо</w:t>
      </w:r>
      <w:r w:rsidR="00696CE7">
        <w:rPr>
          <w:rFonts w:ascii="Times New Roman" w:eastAsia="Times New Roman" w:hAnsi="Times New Roman" w:cs="Times New Roman"/>
          <w:sz w:val="28"/>
          <w:szCs w:val="28"/>
        </w:rPr>
        <w:t>логического исследования восприятия уровня коррупции в администрации муниципального образования Кавказский район со стороны общества и предпринимательства, проведенного в форме анкетирования</w:t>
      </w:r>
      <w:r w:rsidR="00D86667">
        <w:rPr>
          <w:rFonts w:ascii="Times New Roman" w:eastAsia="Times New Roman" w:hAnsi="Times New Roman" w:cs="Times New Roman"/>
          <w:sz w:val="28"/>
          <w:szCs w:val="28"/>
        </w:rPr>
        <w:t xml:space="preserve"> граждан Кропоткинского городского поселения; Кавказского, Казанского, </w:t>
      </w:r>
      <w:proofErr w:type="spellStart"/>
      <w:r w:rsidR="00D86667">
        <w:rPr>
          <w:rFonts w:ascii="Times New Roman" w:eastAsia="Times New Roman" w:hAnsi="Times New Roman" w:cs="Times New Roman"/>
          <w:sz w:val="28"/>
          <w:szCs w:val="28"/>
        </w:rPr>
        <w:t>Лосевского</w:t>
      </w:r>
      <w:proofErr w:type="spellEnd"/>
      <w:r w:rsidR="00D86667">
        <w:rPr>
          <w:rFonts w:ascii="Times New Roman" w:eastAsia="Times New Roman" w:hAnsi="Times New Roman" w:cs="Times New Roman"/>
          <w:sz w:val="28"/>
          <w:szCs w:val="28"/>
        </w:rPr>
        <w:t>, Привольного, Мирского сельских поселений и сельского поселения им. М.Горького</w:t>
      </w:r>
      <w:r w:rsidR="00696C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1BF" w:rsidRDefault="00977FF4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с 24 февраля по 1 марта 2022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5501BF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муниципального контракта на оказание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услуг для муниципальных нужд муниципального образования</w:t>
      </w:r>
      <w:r w:rsidR="005501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проведено социологическое исследование на тему: "Мониторинг восприятия уровня коррупции в администрации муниципального образования Кавказский район".</w:t>
      </w:r>
    </w:p>
    <w:p w:rsidR="005501BF" w:rsidRDefault="005501BF" w:rsidP="005501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Мониторинг проводился штатными сотрудниками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Кропоткинской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межрайонной торгово-промышленной палаты (КМТПП) с привлечением общественных консультантов и членов КМТПП. 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Социологическое исследование проводилось методом опроса респондентов с использованием специально разработанных анкет, которые самостоятельно (для чистоты эксперимента) заполнялись участниками опроса.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было</w:t>
      </w:r>
      <w:r w:rsidR="00977FF4">
        <w:rPr>
          <w:rFonts w:ascii="Times New Roman" w:eastAsia="Times New Roman" w:hAnsi="Times New Roman"/>
          <w:sz w:val="28"/>
          <w:szCs w:val="28"/>
        </w:rPr>
        <w:t xml:space="preserve"> опрошено и </w:t>
      </w:r>
      <w:proofErr w:type="spellStart"/>
      <w:r w:rsidR="00977FF4">
        <w:rPr>
          <w:rFonts w:ascii="Times New Roman" w:eastAsia="Times New Roman" w:hAnsi="Times New Roman"/>
          <w:sz w:val="28"/>
          <w:szCs w:val="28"/>
        </w:rPr>
        <w:t>задокументировано</w:t>
      </w:r>
      <w:proofErr w:type="spellEnd"/>
      <w:r w:rsidR="00977FF4">
        <w:rPr>
          <w:rFonts w:ascii="Times New Roman" w:eastAsia="Times New Roman" w:hAnsi="Times New Roman"/>
          <w:sz w:val="28"/>
          <w:szCs w:val="28"/>
        </w:rPr>
        <w:t xml:space="preserve"> 250</w:t>
      </w:r>
      <w:r>
        <w:rPr>
          <w:rFonts w:ascii="Times New Roman" w:eastAsia="Times New Roman" w:hAnsi="Times New Roman"/>
          <w:sz w:val="28"/>
          <w:szCs w:val="28"/>
        </w:rPr>
        <w:t xml:space="preserve"> жителей Кавказского района, при этом опрос проводился в следующих муниципальных образованиях: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Кропоткинское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Кавказское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Казанское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Лосевское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Привольное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Мирское сельское поселение;</w:t>
      </w:r>
    </w:p>
    <w:p w:rsidR="005501BF" w:rsidRDefault="005501BF" w:rsidP="005501BF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сельское поселение им. М.Горького.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анкете были сформулированы 18 вопросов, которые призваны наиболее полно оценить 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5501BF" w:rsidRDefault="005501BF" w:rsidP="005501B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 выборе респондентов особое внимание уделялось выполнению следующих требований: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Максимальный охват жителей по половому и возрастному признакам;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Приоритетное ориентирование на респондентов, ведущих трудовую деятельность, занимающих активную жизненную позицию;</w:t>
      </w:r>
    </w:p>
    <w:p w:rsidR="005501BF" w:rsidRDefault="005501BF" w:rsidP="005501BF">
      <w:pPr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D92798" w:rsidRDefault="00D92798" w:rsidP="00D9279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Исследование проводилось в двух категориях респондентов:</w:t>
      </w:r>
    </w:p>
    <w:p w:rsidR="00D92798" w:rsidRDefault="00D92798" w:rsidP="00D9279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физические лица, постоянно проживающие на территории районов в возрасте от 18 лет и старше;</w:t>
      </w:r>
    </w:p>
    <w:p w:rsidR="00D92798" w:rsidRDefault="00D92798" w:rsidP="00D92798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- физические лица, занимающие руководящие должности в коммерческих юридических лицах, зарегистрированных на территории Кавказского района, либо осуществляющих коммерческую деятельность в качестве индивидуального предпринимателя на территории района.</w:t>
      </w:r>
    </w:p>
    <w:p w:rsidR="00F546C4" w:rsidRDefault="00F546C4" w:rsidP="00F546C4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В опро</w:t>
      </w:r>
      <w:r w:rsidR="00AC26C5">
        <w:rPr>
          <w:rFonts w:ascii="Times New Roman" w:eastAsia="Times New Roman" w:hAnsi="Times New Roman"/>
          <w:sz w:val="28"/>
          <w:szCs w:val="28"/>
        </w:rPr>
        <w:t>се населения приняли участие 250</w:t>
      </w:r>
      <w:r>
        <w:rPr>
          <w:rFonts w:ascii="Times New Roman" w:eastAsia="Times New Roman" w:hAnsi="Times New Roman"/>
          <w:sz w:val="28"/>
          <w:szCs w:val="28"/>
        </w:rPr>
        <w:t xml:space="preserve"> респондентов (физические лица,</w:t>
      </w:r>
      <w:r w:rsidR="00AC26C5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постоянно проживающие на территории Ка</w:t>
      </w:r>
      <w:r w:rsidR="00AC26C5">
        <w:rPr>
          <w:rFonts w:ascii="Times New Roman" w:eastAsia="Times New Roman" w:hAnsi="Times New Roman"/>
          <w:sz w:val="28"/>
          <w:szCs w:val="28"/>
        </w:rPr>
        <w:t>вказского района), из которых 50 физических лиц</w:t>
      </w:r>
      <w:r>
        <w:rPr>
          <w:rFonts w:ascii="Times New Roman" w:eastAsia="Times New Roman" w:hAnsi="Times New Roman"/>
          <w:sz w:val="28"/>
          <w:szCs w:val="28"/>
        </w:rPr>
        <w:t xml:space="preserve"> занимают руководящие должности в коммерческих юридических  организациях, зарегистрированных на территории Кавказского района (руководители) или осуществляют коммерческую деятельность в качестве индивидуальных предпринимателей. Выборка строилась по признакам: пол, возраст, образование, род занятий.</w:t>
      </w: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</w:p>
    <w:p w:rsidR="005501BF" w:rsidRDefault="005501BF" w:rsidP="005501BF">
      <w:pPr>
        <w:pStyle w:val="a8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Социально-демографические признаки респондентов: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полу</w:t>
      </w:r>
      <w:r>
        <w:rPr>
          <w:rFonts w:ascii="Times New Roman" w:hAnsi="Times New Roman"/>
          <w:b/>
          <w:sz w:val="28"/>
          <w:szCs w:val="28"/>
        </w:rPr>
        <w:t>:</w:t>
      </w:r>
      <w:r w:rsidR="00AC26C5">
        <w:rPr>
          <w:rFonts w:ascii="Times New Roman" w:hAnsi="Times New Roman"/>
          <w:sz w:val="28"/>
          <w:szCs w:val="28"/>
        </w:rPr>
        <w:t xml:space="preserve">  мужчин – 120</w:t>
      </w:r>
      <w:r>
        <w:rPr>
          <w:rFonts w:ascii="Times New Roman" w:hAnsi="Times New Roman"/>
          <w:sz w:val="28"/>
          <w:szCs w:val="28"/>
        </w:rPr>
        <w:t xml:space="preserve"> чел.       </w:t>
      </w:r>
    </w:p>
    <w:p w:rsidR="005501BF" w:rsidRDefault="00AC26C5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9063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женщин – 130</w:t>
      </w:r>
      <w:r w:rsidR="005501BF">
        <w:rPr>
          <w:rFonts w:ascii="Times New Roman" w:hAnsi="Times New Roman"/>
          <w:sz w:val="28"/>
          <w:szCs w:val="28"/>
        </w:rPr>
        <w:t xml:space="preserve"> чел.</w:t>
      </w:r>
    </w:p>
    <w:p w:rsidR="005501BF" w:rsidRDefault="005501BF" w:rsidP="005501BF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95265" cy="1924685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возрасту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18-29 лет – 10</w:t>
      </w:r>
      <w:r w:rsidR="005501BF">
        <w:rPr>
          <w:rFonts w:ascii="Times New Roman" w:hAnsi="Times New Roman"/>
          <w:sz w:val="28"/>
          <w:szCs w:val="28"/>
        </w:rPr>
        <w:t xml:space="preserve"> %; 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30-49 лет – 30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50-59 лет – 45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E00A17" w:rsidP="005501B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 лет и старше – 15</w:t>
      </w:r>
      <w:r w:rsidR="005501BF">
        <w:rPr>
          <w:rFonts w:ascii="Times New Roman" w:hAnsi="Times New Roman"/>
          <w:sz w:val="28"/>
          <w:szCs w:val="28"/>
        </w:rPr>
        <w:t xml:space="preserve"> %. </w:t>
      </w:r>
    </w:p>
    <w:p w:rsidR="005501BF" w:rsidRDefault="005501BF" w:rsidP="005501BF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560695" cy="1988185"/>
            <wp:effectExtent l="0" t="0" r="1905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01BF" w:rsidRDefault="005501BF" w:rsidP="005501BF">
      <w:pPr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образованию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:rsidR="005501BF" w:rsidRDefault="00353D14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высшее </w:t>
      </w:r>
      <w:r w:rsidR="004D1321">
        <w:rPr>
          <w:rFonts w:ascii="Times New Roman" w:hAnsi="Times New Roman"/>
          <w:sz w:val="28"/>
          <w:szCs w:val="28"/>
        </w:rPr>
        <w:t xml:space="preserve"> – 47</w:t>
      </w:r>
      <w:r w:rsidR="005501BF">
        <w:rPr>
          <w:rFonts w:ascii="Times New Roman" w:hAnsi="Times New Roman"/>
          <w:sz w:val="28"/>
          <w:szCs w:val="28"/>
        </w:rPr>
        <w:t xml:space="preserve"> %</w:t>
      </w:r>
    </w:p>
    <w:p w:rsidR="005501BF" w:rsidRDefault="004D1321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среднее  профессионал</w:t>
      </w:r>
      <w:r w:rsidR="00846AC7">
        <w:rPr>
          <w:rFonts w:ascii="Times New Roman" w:hAnsi="Times New Roman"/>
          <w:sz w:val="28"/>
          <w:szCs w:val="28"/>
        </w:rPr>
        <w:t>ьное</w:t>
      </w:r>
      <w:r w:rsidR="00353D14">
        <w:rPr>
          <w:rFonts w:ascii="Times New Roman" w:hAnsi="Times New Roman"/>
          <w:sz w:val="28"/>
          <w:szCs w:val="28"/>
        </w:rPr>
        <w:t xml:space="preserve"> – 38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054F7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среднее </w:t>
      </w:r>
      <w:r w:rsidR="00846AC7">
        <w:rPr>
          <w:rFonts w:ascii="Times New Roman" w:hAnsi="Times New Roman"/>
          <w:sz w:val="28"/>
          <w:szCs w:val="28"/>
        </w:rPr>
        <w:t xml:space="preserve">полное </w:t>
      </w:r>
      <w:r w:rsidR="00353D14">
        <w:rPr>
          <w:rFonts w:ascii="Times New Roman" w:hAnsi="Times New Roman"/>
          <w:sz w:val="28"/>
          <w:szCs w:val="28"/>
        </w:rPr>
        <w:t>– 8</w:t>
      </w:r>
      <w:r w:rsidR="005501BF">
        <w:rPr>
          <w:rFonts w:ascii="Times New Roman" w:hAnsi="Times New Roman"/>
          <w:sz w:val="28"/>
          <w:szCs w:val="28"/>
        </w:rPr>
        <w:t xml:space="preserve"> %;</w:t>
      </w:r>
    </w:p>
    <w:p w:rsidR="005501BF" w:rsidRDefault="00846AC7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начальное профессиональное</w:t>
      </w:r>
      <w:r w:rsidR="005501BF">
        <w:rPr>
          <w:rFonts w:ascii="Times New Roman" w:hAnsi="Times New Roman"/>
          <w:sz w:val="28"/>
          <w:szCs w:val="28"/>
        </w:rPr>
        <w:t xml:space="preserve"> – </w:t>
      </w:r>
      <w:r w:rsidR="004D1321">
        <w:rPr>
          <w:rFonts w:ascii="Times New Roman" w:hAnsi="Times New Roman"/>
          <w:sz w:val="28"/>
          <w:szCs w:val="28"/>
        </w:rPr>
        <w:t>5</w:t>
      </w:r>
      <w:r w:rsidR="005501BF">
        <w:rPr>
          <w:rFonts w:ascii="Times New Roman" w:hAnsi="Times New Roman"/>
          <w:sz w:val="28"/>
          <w:szCs w:val="28"/>
        </w:rPr>
        <w:t>%;</w:t>
      </w:r>
    </w:p>
    <w:p w:rsidR="005501BF" w:rsidRDefault="00846AC7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неполное</w:t>
      </w:r>
      <w:r w:rsidR="00353D14">
        <w:rPr>
          <w:rFonts w:ascii="Times New Roman" w:hAnsi="Times New Roman"/>
          <w:sz w:val="28"/>
          <w:szCs w:val="28"/>
        </w:rPr>
        <w:t xml:space="preserve">  высшее – 2</w:t>
      </w:r>
      <w:r w:rsidR="005501BF">
        <w:rPr>
          <w:rFonts w:ascii="Times New Roman" w:hAnsi="Times New Roman"/>
          <w:sz w:val="28"/>
          <w:szCs w:val="28"/>
        </w:rPr>
        <w:t>%.</w:t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C23790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2379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52515" cy="2608580"/>
            <wp:effectExtent l="19050" t="0" r="1968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01BF" w:rsidRDefault="005501B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501BF" w:rsidRDefault="005501BF" w:rsidP="005501BF">
      <w:pPr>
        <w:pStyle w:val="a8"/>
        <w:spacing w:after="0" w:line="240" w:lineRule="auto"/>
        <w:ind w:left="0"/>
        <w:jc w:val="both"/>
      </w:pPr>
    </w:p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Диаграмма, отражающая долю физических лиц, занимающих руководящие должности в коммерческих юридических лицах, зарегистрированных на территории Кавказского района (руководители) либо осуществляющих коммерческую деятельность в качестве индивидуальных предпринимателей на территории района (предприниматели).</w:t>
      </w:r>
      <w:proofErr w:type="gramEnd"/>
    </w:p>
    <w:p w:rsidR="005501BF" w:rsidRDefault="005501BF" w:rsidP="005501B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4838065" cy="1605280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01BF" w:rsidRDefault="005501BF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501BF" w:rsidRDefault="00BF298A" w:rsidP="005501BF">
      <w:pPr>
        <w:pStyle w:val="a8"/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 роду занятий</w:t>
      </w:r>
      <w:r w:rsidR="005501BF">
        <w:rPr>
          <w:rFonts w:ascii="Times New Roman" w:hAnsi="Times New Roman"/>
          <w:b/>
          <w:sz w:val="28"/>
          <w:szCs w:val="28"/>
        </w:rPr>
        <w:t>: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Предприниматели, бизн</w:t>
      </w:r>
      <w:r w:rsidR="003E172F">
        <w:rPr>
          <w:rFonts w:ascii="Times New Roman" w:hAnsi="Times New Roman"/>
          <w:sz w:val="28"/>
          <w:szCs w:val="28"/>
        </w:rPr>
        <w:t>есмены – 4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высшего зв</w:t>
      </w:r>
      <w:r w:rsidR="003E172F">
        <w:rPr>
          <w:rFonts w:ascii="Times New Roman" w:hAnsi="Times New Roman"/>
          <w:sz w:val="28"/>
          <w:szCs w:val="28"/>
        </w:rPr>
        <w:t>ена, управленческий работник – 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Учитель, воспитатель, р</w:t>
      </w:r>
      <w:r w:rsidR="003E172F">
        <w:rPr>
          <w:rFonts w:ascii="Times New Roman" w:hAnsi="Times New Roman"/>
          <w:sz w:val="28"/>
          <w:szCs w:val="28"/>
        </w:rPr>
        <w:t>аботник системы образования – 38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</w:t>
      </w:r>
      <w:r w:rsidR="003E172F">
        <w:rPr>
          <w:rFonts w:ascii="Times New Roman" w:hAnsi="Times New Roman"/>
          <w:sz w:val="28"/>
          <w:szCs w:val="28"/>
        </w:rPr>
        <w:t>ач, работник здравоохранения – 10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3E172F" w:rsidP="00BF298A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 - 12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3E172F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 – 6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5501B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881B9D">
        <w:rPr>
          <w:rFonts w:ascii="Times New Roman" w:hAnsi="Times New Roman"/>
          <w:sz w:val="28"/>
          <w:szCs w:val="28"/>
        </w:rPr>
        <w:t>омохозяйка</w:t>
      </w:r>
      <w:r w:rsidR="003E172F">
        <w:rPr>
          <w:rFonts w:ascii="Times New Roman" w:hAnsi="Times New Roman"/>
          <w:sz w:val="28"/>
          <w:szCs w:val="28"/>
        </w:rPr>
        <w:t>, временно безработный – 26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BF298A" w:rsidP="00881B9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Пенсионер</w:t>
      </w:r>
      <w:r w:rsidR="003E172F">
        <w:rPr>
          <w:rFonts w:ascii="Times New Roman" w:hAnsi="Times New Roman"/>
          <w:sz w:val="28"/>
          <w:szCs w:val="28"/>
        </w:rPr>
        <w:t xml:space="preserve"> – 2</w:t>
      </w:r>
      <w:r w:rsidR="005501BF">
        <w:rPr>
          <w:rFonts w:ascii="Times New Roman" w:hAnsi="Times New Roman"/>
          <w:sz w:val="28"/>
          <w:szCs w:val="28"/>
        </w:rPr>
        <w:t>%</w:t>
      </w:r>
    </w:p>
    <w:p w:rsidR="005501BF" w:rsidRDefault="005501BF" w:rsidP="00881B9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00148" w:rsidRPr="00BF298A" w:rsidRDefault="00741FCF" w:rsidP="00BF298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Коррупция глазами населения. Анализ ответов респондентов</w:t>
      </w:r>
    </w:p>
    <w:p w:rsidR="00741FCF" w:rsidRDefault="00741FCF" w:rsidP="00741FCF">
      <w:pPr>
        <w:pStyle w:val="a3"/>
        <w:spacing w:before="0" w:beforeAutospacing="0" w:after="0" w:afterAutospacing="0"/>
        <w:ind w:left="14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1.Блок вопросов, нацеленный на измерение «Понимания коррупции» характеризует проявляемое респондентами понимание проблемы </w:t>
      </w:r>
      <w:r w:rsidR="0005425D">
        <w:rPr>
          <w:sz w:val="28"/>
          <w:szCs w:val="28"/>
        </w:rPr>
        <w:t xml:space="preserve"> коррупц</w:t>
      </w:r>
      <w:proofErr w:type="gramStart"/>
      <w:r w:rsidR="0005425D">
        <w:rPr>
          <w:sz w:val="28"/>
          <w:szCs w:val="28"/>
        </w:rPr>
        <w:t>ии и ее</w:t>
      </w:r>
      <w:proofErr w:type="gramEnd"/>
      <w:r w:rsidR="0005425D">
        <w:rPr>
          <w:sz w:val="28"/>
          <w:szCs w:val="28"/>
        </w:rPr>
        <w:t xml:space="preserve"> природы. Ответы респондентов  данного опроса на </w:t>
      </w:r>
      <w:r w:rsidR="001B739F">
        <w:rPr>
          <w:sz w:val="28"/>
          <w:szCs w:val="28"/>
        </w:rPr>
        <w:t>вопрос: «Что вы понимаете под коррупцией?» можно представить следующим рейтингом:</w:t>
      </w:r>
    </w:p>
    <w:p w:rsidR="00647B9F" w:rsidRDefault="00647B9F" w:rsidP="00741FCF">
      <w:pPr>
        <w:pStyle w:val="a3"/>
        <w:spacing w:before="0" w:beforeAutospacing="0" w:after="0" w:afterAutospacing="0"/>
        <w:ind w:left="1428"/>
        <w:jc w:val="both"/>
        <w:rPr>
          <w:sz w:val="28"/>
          <w:szCs w:val="28"/>
        </w:rPr>
      </w:pPr>
    </w:p>
    <w:p w:rsidR="00647B9F" w:rsidRDefault="00647B9F" w:rsidP="00647B9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1.1.Рейтинг ответов о понимании коррупции:</w:t>
      </w:r>
    </w:p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E00148" w:rsidTr="00E00148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1B739F" w:rsidRDefault="001B73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E00148" w:rsidTr="00E00148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 вы понимаете под коррупцией?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148" w:rsidRDefault="00E00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Взяточничество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Подношение подарков должностным лицам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должностного положения  в личных, корыстных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27</w:t>
            </w:r>
          </w:p>
        </w:tc>
      </w:tr>
      <w:tr w:rsidR="00E00148" w:rsidTr="00E00148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Использование бюджетных сре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дств в л</w:t>
            </w:r>
            <w:proofErr w:type="gramEnd"/>
            <w:r>
              <w:rPr>
                <w:rFonts w:ascii="Times New Roman" w:hAnsi="Times New Roman"/>
                <w:sz w:val="20"/>
                <w:szCs w:val="18"/>
              </w:rPr>
              <w:t>ичных целях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</w:tr>
      <w:tr w:rsidR="00E00148" w:rsidTr="00E00148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1B739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Вымогательство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148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</w:tr>
    </w:tbl>
    <w:p w:rsidR="00E00148" w:rsidRDefault="00E00148" w:rsidP="00E0014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FF3459" w:rsidRDefault="00FF3459" w:rsidP="00FF345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FF3459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F3459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Что, на Ваш взгляд, чаще всего служит причиной дачи взятки или оказания «услуги» должностному лицу администрации МО, от которого зависит решение интересующего вопроса?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59" w:rsidRDefault="00FF3459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Так гораздо быстрее и проще решить любой 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7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Должностное лицо искусственно затягивает решение вопроса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1E131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C75836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Решение вопроса таким способом обойдется дешевле и быстрее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16</w:t>
            </w:r>
          </w:p>
        </w:tc>
      </w:tr>
      <w:tr w:rsidR="00FF3459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FB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Часто возникают случаи, когда решить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определенный</w:t>
            </w:r>
            <w:proofErr w:type="gramEnd"/>
          </w:p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вопрос другим</w:t>
            </w:r>
            <w:r w:rsidR="00647B9F">
              <w:rPr>
                <w:rFonts w:ascii="Times New Roman" w:hAnsi="Times New Roman"/>
                <w:sz w:val="20"/>
                <w:szCs w:val="18"/>
              </w:rPr>
              <w:t xml:space="preserve"> (законным)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способом не существует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</w:tr>
      <w:tr w:rsidR="00FF3459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A613FB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59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</w:tbl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A613FB" w:rsidRDefault="00647B9F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2.Блок вопросов</w:t>
      </w:r>
      <w:r w:rsidR="00283327">
        <w:rPr>
          <w:color w:val="000000"/>
          <w:sz w:val="28"/>
          <w:szCs w:val="28"/>
        </w:rPr>
        <w:t xml:space="preserve">  затрагивает</w:t>
      </w:r>
      <w:r w:rsidR="00A613FB">
        <w:rPr>
          <w:color w:val="000000"/>
          <w:sz w:val="28"/>
          <w:szCs w:val="28"/>
        </w:rPr>
        <w:t xml:space="preserve">  «Оценку уровня коррупции» - степень коррумпированности</w:t>
      </w:r>
      <w:r w:rsidR="009B68F7">
        <w:rPr>
          <w:color w:val="000000"/>
          <w:sz w:val="28"/>
          <w:szCs w:val="28"/>
        </w:rPr>
        <w:t xml:space="preserve"> общества, которая приписывается обществу в целом каждым из респондентов.</w:t>
      </w:r>
    </w:p>
    <w:p w:rsidR="009B68F7" w:rsidRDefault="009B68F7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2.1.Рейтинг ответов, оценивающих уровень коррупции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9B68F7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B68F7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Как Вы считаете, в каких ситуациях чаще всего могут происходить коррупционные действия со стороны администрации МО Кавказский район?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При назначении на должность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переводе с одной должности на другую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При проведении процедуры государственных закупок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28332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</w:tr>
      <w:tr w:rsidR="009B68F7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9B68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Другое 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B68F7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9B68F7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Затрудняюсь ответить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8F7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</w:t>
            </w:r>
          </w:p>
        </w:tc>
      </w:tr>
    </w:tbl>
    <w:p w:rsidR="009B68F7" w:rsidRDefault="00622D31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</w:p>
    <w:p w:rsidR="00FF3459" w:rsidRDefault="00FF3459" w:rsidP="005501B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5"/>
        <w:gridCol w:w="1265"/>
        <w:gridCol w:w="1435"/>
      </w:tblGrid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Сталкивались ли Вы с какими-либо проявлениями коррупции в админист</w:t>
            </w:r>
            <w:r w:rsidR="00C75836">
              <w:rPr>
                <w:rFonts w:ascii="Times New Roman" w:hAnsi="Times New Roman"/>
                <w:b/>
                <w:sz w:val="24"/>
                <w:szCs w:val="24"/>
              </w:rPr>
              <w:t>рации МО Кавказский район в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C7583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501BF" w:rsidTr="004130AA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4130AA" w:rsidRDefault="004130AA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2.3.</w:t>
      </w:r>
    </w:p>
    <w:p w:rsidR="00622D31" w:rsidRDefault="00622D31" w:rsidP="00622D3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130AA" w:rsidRPr="004130AA" w:rsidRDefault="004130AA" w:rsidP="004130A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tbl>
      <w:tblPr>
        <w:tblW w:w="10486" w:type="dxa"/>
        <w:jc w:val="center"/>
        <w:tblInd w:w="-2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6"/>
        <w:gridCol w:w="1265"/>
        <w:gridCol w:w="1435"/>
      </w:tblGrid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 Вы считаете, какой уровень коррупционной преступности в администрации МО Кавказский район в настоящее время?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высокий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622D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trHeight w:val="170"/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4130A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 w:rsidP="002B0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Средний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01BF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Коррупция 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023C" w:rsidTr="005501BF">
        <w:trPr>
          <w:jc w:val="center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2B02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23C" w:rsidRDefault="00C75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2B023C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501B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ледующий блок вопросов «Установка на коррупцию» характеризует установку    и практику респондентов, как бытовой коррупции, так и деловой в диапазоне от «</w:t>
      </w:r>
      <w:r w:rsidR="00C01201">
        <w:rPr>
          <w:rFonts w:ascii="Times New Roman" w:hAnsi="Times New Roman"/>
          <w:sz w:val="28"/>
          <w:szCs w:val="28"/>
        </w:rPr>
        <w:t>склонен к участию в коррупции» до «готов противодействовать коррупции». В этом блоке также оценивается «Вовлеченность в коррупцию» - эта характеристика предназначена для описания практики респондентов с точки зрения  использования в ней коррупции как средства решения проблем.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3.1.Рейтинг ответов, характеризующих установку респондентов на коррупцию</w:t>
      </w:r>
    </w:p>
    <w:p w:rsidR="00FE6AA4" w:rsidRDefault="00FE6AA4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tbl>
      <w:tblPr>
        <w:tblW w:w="10415" w:type="dxa"/>
        <w:jc w:val="center"/>
        <w:tblInd w:w="-2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5"/>
        <w:gridCol w:w="1265"/>
        <w:gridCol w:w="1435"/>
      </w:tblGrid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 Вы давали взятку хотя бы раз муниципальному служащему админист</w:t>
            </w:r>
            <w:r w:rsidR="00C75836">
              <w:rPr>
                <w:rFonts w:ascii="Times New Roman" w:hAnsi="Times New Roman"/>
                <w:b/>
                <w:sz w:val="24"/>
                <w:szCs w:val="24"/>
              </w:rPr>
              <w:t>рации МО Кавказский район в 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году?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C75836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83327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653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E6AA4" w:rsidTr="007379F5">
        <w:trPr>
          <w:jc w:val="center"/>
        </w:trPr>
        <w:tc>
          <w:tcPr>
            <w:tcW w:w="7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2E0FEE" w:rsidRDefault="002E0FEE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E6AA4" w:rsidRDefault="002E0FEE" w:rsidP="00FE6AA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FE6AA4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FE6AA4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FE6AA4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Если давали взятку, то муниципальным служащим каких сфер деятельности администрации МО?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A4" w:rsidRDefault="00FE6AA4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Здравоохранение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30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Образование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 w:rsidR="007653E1">
              <w:rPr>
                <w:rFonts w:ascii="Times New Roman" w:hAnsi="Times New Roman"/>
                <w:sz w:val="20"/>
                <w:szCs w:val="18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Архитектура и градостроительство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8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2E0FEE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  <w:tr w:rsidR="00FE6AA4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</w:t>
            </w:r>
          </w:p>
        </w:tc>
      </w:tr>
      <w:tr w:rsidR="00FE6AA4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9C08D5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Другое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AA4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</w:tbl>
    <w:p w:rsidR="002E0FEE" w:rsidRDefault="002E0FEE" w:rsidP="0053609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E0FEE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C08D5" w:rsidRDefault="002E0FEE" w:rsidP="009C08D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</w:p>
    <w:tbl>
      <w:tblPr>
        <w:tblpPr w:leftFromText="180" w:rightFromText="180" w:bottomFromText="200" w:vertAnchor="text" w:horzAnchor="margin" w:tblpY="117"/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11"/>
        <w:gridCol w:w="1257"/>
        <w:gridCol w:w="1571"/>
      </w:tblGrid>
      <w:tr w:rsidR="009C08D5" w:rsidTr="007379F5">
        <w:trPr>
          <w:trHeight w:val="502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Вопрос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граждан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%</w:t>
            </w:r>
          </w:p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среди руководителей</w:t>
            </w:r>
          </w:p>
        </w:tc>
      </w:tr>
      <w:tr w:rsidR="009C08D5" w:rsidTr="007379F5">
        <w:trPr>
          <w:trHeight w:val="597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C08D5" w:rsidP="007379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Укажите диапазон размера взятки, которую Вам приходилось давать (в рублях):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D5" w:rsidRDefault="009C08D5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-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500 до 1000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10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1000 до 2500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A743B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  <w:tr w:rsidR="009C08D5" w:rsidTr="007379F5">
        <w:trPr>
          <w:trHeight w:val="358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 2500 руб. до 5000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7653E1">
              <w:rPr>
                <w:rFonts w:ascii="Times New Roman" w:hAnsi="Times New Roman"/>
                <w:sz w:val="20"/>
                <w:szCs w:val="18"/>
              </w:rPr>
              <w:t>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</w:p>
        </w:tc>
      </w:tr>
      <w:tr w:rsidR="009C08D5" w:rsidTr="007379F5">
        <w:trPr>
          <w:trHeight w:val="370"/>
        </w:trPr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953D03" w:rsidP="007379F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Свыше 5000 руб.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D5" w:rsidRDefault="007653E1" w:rsidP="007379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</w:p>
        </w:tc>
      </w:tr>
    </w:tbl>
    <w:p w:rsidR="005501BF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постоянные инфляционные процессы, на протяжении последних лет, по полученной от участников опроса информации, самым популярным денежным вознаграждением неизменно остается сумма в пределах 1000 рублей. Чаще всего с минимальным размеро</w:t>
      </w:r>
      <w:r w:rsidR="00C45133">
        <w:rPr>
          <w:sz w:val="28"/>
          <w:szCs w:val="28"/>
        </w:rPr>
        <w:t>м</w:t>
      </w:r>
      <w:r>
        <w:rPr>
          <w:sz w:val="28"/>
          <w:szCs w:val="28"/>
        </w:rPr>
        <w:t xml:space="preserve"> взятки (до 1000 рублей), приходилось сталкиваться в медицинских учреждениях и при общении с инспекторами ГИБДД.</w:t>
      </w:r>
    </w:p>
    <w:p w:rsidR="00953D03" w:rsidRDefault="00953D03" w:rsidP="005501B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Доверие к администрации муниципального образования Кавказский район.</w:t>
      </w:r>
    </w:p>
    <w:p w:rsidR="005501BF" w:rsidRDefault="005501BF" w:rsidP="005501BF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Блок вопросов, характеризующий  </w:t>
      </w:r>
      <w:r>
        <w:rPr>
          <w:rFonts w:ascii="Times New Roman" w:eastAsia="Times New Roman" w:hAnsi="Times New Roman"/>
          <w:b/>
          <w:sz w:val="28"/>
          <w:szCs w:val="28"/>
        </w:rPr>
        <w:t>«Доверие»</w:t>
      </w:r>
      <w:r w:rsidR="00C45133">
        <w:rPr>
          <w:rFonts w:ascii="Times New Roman" w:eastAsia="Times New Roman" w:hAnsi="Times New Roman"/>
          <w:sz w:val="28"/>
          <w:szCs w:val="28"/>
        </w:rPr>
        <w:t xml:space="preserve"> к а</w:t>
      </w:r>
      <w:r>
        <w:rPr>
          <w:rFonts w:ascii="Times New Roman" w:eastAsia="Times New Roman" w:hAnsi="Times New Roman"/>
          <w:sz w:val="28"/>
          <w:szCs w:val="28"/>
        </w:rPr>
        <w:t>дминистрации муниципального образования Кавказский район, со стороны граждан – физических лиц, постоянно проживающих на территории района, так и со стороны бизнеса, физических лиц, занимающих руководящие должности в коммерческих юридических лицах, зарегистрированных на территории района.</w:t>
      </w: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lastRenderedPageBreak/>
        <w:t xml:space="preserve">Рейтинг ответов,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измеряющих  доверие к </w:t>
      </w:r>
      <w:r>
        <w:rPr>
          <w:rFonts w:ascii="Times New Roman" w:hAnsi="Times New Roman"/>
          <w:bCs/>
          <w:i/>
          <w:sz w:val="28"/>
          <w:szCs w:val="28"/>
        </w:rPr>
        <w:t xml:space="preserve">администрации МО Кавказский район в целом.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1276"/>
        <w:gridCol w:w="1435"/>
      </w:tblGrid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Вопрос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Как Вы считаете, какой  уровень доверия к органам местного самоуправления Администрации  МО Кавказский район?</w:t>
            </w:r>
          </w:p>
          <w:p w:rsidR="005501BF" w:rsidRDefault="005501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Очень высокий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A74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Pr="007A743B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5501BF" w:rsidTr="005501B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Затрудняюсь ответить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ab/>
      </w:r>
    </w:p>
    <w:p w:rsidR="002F24E4" w:rsidRPr="007A743B" w:rsidRDefault="005501BF" w:rsidP="007A743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полученных данных, </w:t>
      </w:r>
      <w:r w:rsidR="00A612F5">
        <w:rPr>
          <w:rFonts w:ascii="Times New Roman" w:hAnsi="Times New Roman"/>
          <w:sz w:val="28"/>
          <w:szCs w:val="28"/>
        </w:rPr>
        <w:t>можно сделать вывод, что за 2021</w:t>
      </w:r>
      <w:r>
        <w:rPr>
          <w:rFonts w:ascii="Times New Roman" w:hAnsi="Times New Roman"/>
          <w:sz w:val="28"/>
          <w:szCs w:val="28"/>
        </w:rPr>
        <w:t xml:space="preserve"> год степень доверия граждан и бизнеса к Администрации муниципального образования Кавказский  район достаточно высока</w:t>
      </w:r>
      <w:r w:rsidR="00C45133">
        <w:rPr>
          <w:rFonts w:ascii="Times New Roman" w:hAnsi="Times New Roman"/>
          <w:sz w:val="28"/>
          <w:szCs w:val="28"/>
        </w:rPr>
        <w:t xml:space="preserve"> и достигает  80</w:t>
      </w:r>
      <w:r w:rsidR="007A743B">
        <w:rPr>
          <w:rFonts w:ascii="Times New Roman" w:hAnsi="Times New Roman"/>
          <w:sz w:val="28"/>
          <w:szCs w:val="28"/>
        </w:rPr>
        <w:t>%.</w:t>
      </w:r>
    </w:p>
    <w:p w:rsidR="002F24E4" w:rsidRDefault="002F24E4" w:rsidP="005501BF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Рейтинг ответов, измеряющих  «Доверие» к </w:t>
      </w:r>
      <w:r>
        <w:rPr>
          <w:rFonts w:ascii="Times New Roman" w:hAnsi="Times New Roman"/>
          <w:bCs/>
          <w:i/>
          <w:sz w:val="28"/>
          <w:szCs w:val="28"/>
        </w:rPr>
        <w:t>структурным подразделениям   муниципального образования Кавказский район отдельно по сферам деятельности</w:t>
      </w:r>
    </w:p>
    <w:tbl>
      <w:tblPr>
        <w:tblW w:w="10413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15"/>
        <w:gridCol w:w="1263"/>
        <w:gridCol w:w="1435"/>
      </w:tblGrid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Какие из структурных подразделений администрации МО Кавказский район, на Ваш взгляд, являются наиболее коррумпированными?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1A6D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 и связь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Промышленность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и градостроительство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C4513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Потребительская сфера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01BF" w:rsidTr="005501BF">
        <w:trPr>
          <w:jc w:val="center"/>
        </w:trPr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3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2F24E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</w:tbl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5501BF" w:rsidRDefault="005501BF" w:rsidP="005501BF">
      <w:pPr>
        <w:spacing w:after="0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Блок вопросов, характеризующих </w:t>
      </w:r>
      <w:r>
        <w:rPr>
          <w:rFonts w:ascii="Times New Roman" w:eastAsia="Times New Roman" w:hAnsi="Times New Roman"/>
          <w:b/>
          <w:bCs/>
          <w:sz w:val="28"/>
          <w:szCs w:val="28"/>
        </w:rPr>
        <w:t>«Суждения респондентов»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о коррупции, </w:t>
      </w:r>
      <w:r>
        <w:rPr>
          <w:rFonts w:ascii="Times New Roman" w:eastAsia="Times New Roman" w:hAnsi="Times New Roman"/>
          <w:sz w:val="28"/>
          <w:szCs w:val="28"/>
        </w:rPr>
        <w:t>о методах противодействия коррупции и другие вопросы подобного рода.</w:t>
      </w:r>
    </w:p>
    <w:p w:rsidR="005501BF" w:rsidRDefault="005501BF" w:rsidP="005501BF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501BF" w:rsidRDefault="005501BF" w:rsidP="005501BF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Рейтинг ответов, </w:t>
      </w:r>
      <w:r>
        <w:rPr>
          <w:rFonts w:ascii="Times New Roman" w:hAnsi="Times New Roman"/>
          <w:b/>
          <w:bCs/>
          <w:sz w:val="28"/>
          <w:szCs w:val="28"/>
        </w:rPr>
        <w:t>характеризующих «Суждения респондентов»</w:t>
      </w:r>
    </w:p>
    <w:tbl>
      <w:tblPr>
        <w:tblW w:w="10269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81"/>
        <w:gridCol w:w="1253"/>
        <w:gridCol w:w="1435"/>
      </w:tblGrid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Что, по Вашему мнению, в первую очередь будет способствовать снижению уровня коррупции в обществе?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Неотвратимость и жесткость наказаний за коррупционные деяния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стандартов оказания государственных и муниципальных услуг и их повсеместное внедрение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оплаты труда муниципальных служащих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широкое привлечение населения и общественных объединений к борьбе с проявлениями коррупции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A80B05" w:rsidP="00A80B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Систематическая разъяснительная и правовая работа среди населения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501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Более широкое освещение в средствах массовой информации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A80B0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0B0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01BF" w:rsidTr="005501BF">
        <w:trPr>
          <w:jc w:val="center"/>
        </w:trPr>
        <w:tc>
          <w:tcPr>
            <w:tcW w:w="7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Другое (укажите, что именно)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501BF" w:rsidRDefault="005501BF" w:rsidP="005501BF">
      <w:pPr>
        <w:rPr>
          <w:rFonts w:ascii="Times New Roman" w:hAnsi="Times New Roman"/>
          <w:i/>
          <w:sz w:val="28"/>
          <w:szCs w:val="28"/>
        </w:rPr>
      </w:pPr>
    </w:p>
    <w:tbl>
      <w:tblPr>
        <w:tblW w:w="10340" w:type="dxa"/>
        <w:jc w:val="center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255"/>
        <w:gridCol w:w="1435"/>
      </w:tblGrid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граждан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среди руководителей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Насколько, на Ваш взгляд, эффективна  система телефонов доверия?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BF" w:rsidRDefault="005501BF">
            <w:pPr>
              <w:spacing w:after="0" w:line="240" w:lineRule="auto"/>
              <w:jc w:val="center"/>
            </w:pP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каждый решится сообщить о коррупционном правонарушении, указав личные данные 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Информация, поступившая по телефону доверия, не всегда рассматривается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653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Люди не информированы о номерах телефонов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76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501BF" w:rsidTr="005501BF">
        <w:trPr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5501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эффективна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A8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1BF" w:rsidRDefault="00A80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5501BF" w:rsidRDefault="005501BF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501BF" w:rsidRDefault="001E176A" w:rsidP="003541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176A">
        <w:rPr>
          <w:rFonts w:ascii="Times New Roman" w:hAnsi="Times New Roman"/>
          <w:sz w:val="28"/>
          <w:szCs w:val="28"/>
        </w:rPr>
        <w:drawing>
          <wp:inline distT="0" distB="0" distL="0" distR="0">
            <wp:extent cx="4710430" cy="2604770"/>
            <wp:effectExtent l="19050" t="0" r="0" b="0"/>
            <wp:docPr id="2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E176A" w:rsidRDefault="001E176A" w:rsidP="00354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176A" w:rsidRDefault="001E176A" w:rsidP="0035414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414C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85592" w:rsidRDefault="0035414C" w:rsidP="005501B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Социологическое исследо</w:t>
      </w:r>
      <w:r w:rsidR="0063525B">
        <w:rPr>
          <w:rFonts w:ascii="Times New Roman" w:hAnsi="Times New Roman"/>
          <w:sz w:val="28"/>
          <w:szCs w:val="28"/>
        </w:rPr>
        <w:t>вание коррупции показа</w:t>
      </w:r>
      <w:r w:rsidR="007653E1">
        <w:rPr>
          <w:rFonts w:ascii="Times New Roman" w:hAnsi="Times New Roman"/>
          <w:sz w:val="28"/>
          <w:szCs w:val="28"/>
        </w:rPr>
        <w:t xml:space="preserve">ло, что </w:t>
      </w:r>
      <w:r w:rsidR="00285592">
        <w:rPr>
          <w:rFonts w:ascii="Times New Roman" w:hAnsi="Times New Roman"/>
          <w:sz w:val="28"/>
          <w:szCs w:val="28"/>
        </w:rPr>
        <w:t>3 процента граждан, хотя бы один раз в 2021</w:t>
      </w:r>
      <w:r>
        <w:rPr>
          <w:rFonts w:ascii="Times New Roman" w:hAnsi="Times New Roman"/>
          <w:sz w:val="28"/>
          <w:szCs w:val="28"/>
        </w:rPr>
        <w:t xml:space="preserve"> году попадали в коррупционную ситуацию. </w:t>
      </w:r>
    </w:p>
    <w:p w:rsidR="005F27B4" w:rsidRDefault="005F27B4" w:rsidP="00572B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Анкетный опрос показывает, что наибольшие коррупционные проявления наблюдаются в сфере «Здравоохранение», а также отраслях «Имущественные, земельные отношения и приватизация муниципального имущества» и «Образование и наука».</w:t>
      </w:r>
    </w:p>
    <w:p w:rsidR="002813A4" w:rsidRDefault="002813A4" w:rsidP="00572B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политика должна в качестве обязательной и одной из важнейших частей включать противодействие коррупции в образовании. Это неотделимо от изменения принципов финансирования образовательных учреждений.</w:t>
      </w:r>
    </w:p>
    <w:p w:rsidR="002813A4" w:rsidRDefault="002813A4" w:rsidP="00572B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сотрудничество бизнеса с государством в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политике, особенно продвижение принципа выгодности ведения бизнеса в рамках правового поля. Руководство компанией должно не только разработать и контролировать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политику, но и показывать пример ответственного поведения своим сотрудникам: избегать ведения двойной отчетности, проведение в учете несуществующих операций.</w:t>
      </w:r>
    </w:p>
    <w:p w:rsidR="002813A4" w:rsidRDefault="002813A4" w:rsidP="00572B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Главной проблемой в борьбе с самой коррупцией является терпимое на практике отношение к ней большинства населения, при внешнем позиционировании</w:t>
      </w:r>
      <w:r w:rsidR="00264FB6">
        <w:rPr>
          <w:sz w:val="28"/>
          <w:szCs w:val="28"/>
        </w:rPr>
        <w:t xml:space="preserve"> осуждения. Дело заключается в исключительно низком пороге критериев определения коррупции в общественном мнении, из числа которых исключаются различные виды «услуг» и «подарков».</w:t>
      </w:r>
    </w:p>
    <w:p w:rsidR="001F1955" w:rsidRDefault="005501BF" w:rsidP="00572BA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проведенного исследования свидетельствуют о </w:t>
      </w:r>
      <w:r w:rsidR="006C6331">
        <w:rPr>
          <w:sz w:val="28"/>
          <w:szCs w:val="28"/>
        </w:rPr>
        <w:t>том, что необходимо постоянное распространение информации о реальных масштабах коррупции, об ущербе, который несет общество о результате коррупции, о других ее негативных последствиях, о причинах, ее порождающих.  Исследование показывает, что для жителей муниципального образования Кавказский район объем информации о коррупции, предоставляемый СМИ, является относительно достаточным.</w:t>
      </w:r>
    </w:p>
    <w:p w:rsidR="009953E7" w:rsidRDefault="009953E7" w:rsidP="009953E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помимо совершенствования законодательства, его ужесточения, помимо правового просвещения и информирования граждан, все-таки, основной предпосылкой победы над коррупцией является изменение морально-политического климата в обществе и формирование общественного мнения действительно нетерпимого к ее проявлению.</w:t>
      </w: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Кавказский район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разделе "Противодействие коррупции" выделен подраздел "Обратная связь для сообщений о фактах коррупции".</w:t>
      </w:r>
    </w:p>
    <w:p w:rsidR="005501BF" w:rsidRDefault="005501BF" w:rsidP="005501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Организована работа "те</w:t>
      </w:r>
      <w:r w:rsidR="0032034F">
        <w:rPr>
          <w:rFonts w:ascii="Times New Roman" w:eastAsia="Times New Roman" w:hAnsi="Times New Roman" w:cs="Times New Roman"/>
          <w:sz w:val="28"/>
          <w:szCs w:val="28"/>
        </w:rPr>
        <w:t>лефона доверия" администрации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обращений по факт</w:t>
      </w:r>
      <w:r w:rsidR="009953E7">
        <w:rPr>
          <w:rFonts w:ascii="Times New Roman" w:eastAsia="Times New Roman" w:hAnsi="Times New Roman" w:cs="Times New Roman"/>
          <w:sz w:val="28"/>
          <w:szCs w:val="28"/>
        </w:rPr>
        <w:t>ам коррупционной направленности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1BF" w:rsidRDefault="0063525B" w:rsidP="005501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092C8E"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году по перечисленным источникам информации </w:t>
      </w:r>
      <w:r w:rsidR="005501BF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>о фак</w:t>
      </w:r>
      <w:r w:rsidR="0032034F">
        <w:rPr>
          <w:rFonts w:ascii="Times New Roman" w:eastAsia="Times New Roman" w:hAnsi="Times New Roman" w:cs="Times New Roman"/>
          <w:sz w:val="28"/>
          <w:szCs w:val="28"/>
        </w:rPr>
        <w:t>тах коррупции в администрации муниципального образования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не поступали.</w:t>
      </w:r>
    </w:p>
    <w:p w:rsidR="00305C90" w:rsidRPr="006C1691" w:rsidRDefault="00305C90" w:rsidP="006C1691">
      <w:bookmarkStart w:id="0" w:name="_GoBack"/>
      <w:bookmarkEnd w:id="0"/>
    </w:p>
    <w:sectPr w:rsidR="00305C90" w:rsidRPr="006C1691" w:rsidSect="00C74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6141"/>
    <w:multiLevelType w:val="hybridMultilevel"/>
    <w:tmpl w:val="B1CC4F22"/>
    <w:lvl w:ilvl="0" w:tplc="8528B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910001"/>
    <w:multiLevelType w:val="hybridMultilevel"/>
    <w:tmpl w:val="99388F5A"/>
    <w:lvl w:ilvl="0" w:tplc="7382A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DC7"/>
    <w:rsid w:val="0001179C"/>
    <w:rsid w:val="000439D8"/>
    <w:rsid w:val="0005425D"/>
    <w:rsid w:val="00054F7F"/>
    <w:rsid w:val="00073BC7"/>
    <w:rsid w:val="00092C8E"/>
    <w:rsid w:val="000F287B"/>
    <w:rsid w:val="00192D62"/>
    <w:rsid w:val="001A27B3"/>
    <w:rsid w:val="001A6D7D"/>
    <w:rsid w:val="001B739F"/>
    <w:rsid w:val="001E1317"/>
    <w:rsid w:val="001E176A"/>
    <w:rsid w:val="001F1955"/>
    <w:rsid w:val="002323D3"/>
    <w:rsid w:val="00264FB6"/>
    <w:rsid w:val="00271020"/>
    <w:rsid w:val="002813A4"/>
    <w:rsid w:val="00283327"/>
    <w:rsid w:val="00285592"/>
    <w:rsid w:val="002B023C"/>
    <w:rsid w:val="002B33B3"/>
    <w:rsid w:val="002B69FA"/>
    <w:rsid w:val="002D4AD0"/>
    <w:rsid w:val="002E0FEE"/>
    <w:rsid w:val="002F24E4"/>
    <w:rsid w:val="00303886"/>
    <w:rsid w:val="00305C90"/>
    <w:rsid w:val="00316DC7"/>
    <w:rsid w:val="0032034F"/>
    <w:rsid w:val="00353D14"/>
    <w:rsid w:val="0035414C"/>
    <w:rsid w:val="00354CFE"/>
    <w:rsid w:val="003636C1"/>
    <w:rsid w:val="00364974"/>
    <w:rsid w:val="00385D7A"/>
    <w:rsid w:val="003D7252"/>
    <w:rsid w:val="003E172F"/>
    <w:rsid w:val="003F529F"/>
    <w:rsid w:val="004130AA"/>
    <w:rsid w:val="00462129"/>
    <w:rsid w:val="00466B9C"/>
    <w:rsid w:val="004845E4"/>
    <w:rsid w:val="004D1321"/>
    <w:rsid w:val="004E0C56"/>
    <w:rsid w:val="00536099"/>
    <w:rsid w:val="005501BF"/>
    <w:rsid w:val="00564E61"/>
    <w:rsid w:val="00572BAB"/>
    <w:rsid w:val="00591CFD"/>
    <w:rsid w:val="00594FB4"/>
    <w:rsid w:val="005E038B"/>
    <w:rsid w:val="005F27B4"/>
    <w:rsid w:val="00622D31"/>
    <w:rsid w:val="00624744"/>
    <w:rsid w:val="0063525B"/>
    <w:rsid w:val="006413AA"/>
    <w:rsid w:val="00647B9F"/>
    <w:rsid w:val="00652E73"/>
    <w:rsid w:val="00654F7F"/>
    <w:rsid w:val="00662B4F"/>
    <w:rsid w:val="006713C3"/>
    <w:rsid w:val="00696CE7"/>
    <w:rsid w:val="006C1691"/>
    <w:rsid w:val="006C6331"/>
    <w:rsid w:val="006C734C"/>
    <w:rsid w:val="006D0C46"/>
    <w:rsid w:val="00741FCF"/>
    <w:rsid w:val="007653E1"/>
    <w:rsid w:val="007A0B10"/>
    <w:rsid w:val="007A743B"/>
    <w:rsid w:val="00846AC7"/>
    <w:rsid w:val="0086106A"/>
    <w:rsid w:val="0087320F"/>
    <w:rsid w:val="00881B9D"/>
    <w:rsid w:val="008871BF"/>
    <w:rsid w:val="008E238A"/>
    <w:rsid w:val="00953D03"/>
    <w:rsid w:val="00956C71"/>
    <w:rsid w:val="00977D0E"/>
    <w:rsid w:val="00977FF4"/>
    <w:rsid w:val="009953E7"/>
    <w:rsid w:val="009B68F7"/>
    <w:rsid w:val="009C08D5"/>
    <w:rsid w:val="00A54B8D"/>
    <w:rsid w:val="00A57071"/>
    <w:rsid w:val="00A612F5"/>
    <w:rsid w:val="00A613FB"/>
    <w:rsid w:val="00A80B05"/>
    <w:rsid w:val="00A82FB4"/>
    <w:rsid w:val="00A90634"/>
    <w:rsid w:val="00AA0CA4"/>
    <w:rsid w:val="00AC26C5"/>
    <w:rsid w:val="00AD5562"/>
    <w:rsid w:val="00AE4D60"/>
    <w:rsid w:val="00BC1E1B"/>
    <w:rsid w:val="00BF298A"/>
    <w:rsid w:val="00C01201"/>
    <w:rsid w:val="00C079CC"/>
    <w:rsid w:val="00C07A48"/>
    <w:rsid w:val="00C23790"/>
    <w:rsid w:val="00C45133"/>
    <w:rsid w:val="00C66BD2"/>
    <w:rsid w:val="00C74B6C"/>
    <w:rsid w:val="00C75836"/>
    <w:rsid w:val="00C85194"/>
    <w:rsid w:val="00CB10C6"/>
    <w:rsid w:val="00CD5519"/>
    <w:rsid w:val="00D86667"/>
    <w:rsid w:val="00D92798"/>
    <w:rsid w:val="00E00148"/>
    <w:rsid w:val="00E00A17"/>
    <w:rsid w:val="00E07E34"/>
    <w:rsid w:val="00E53F66"/>
    <w:rsid w:val="00E72B08"/>
    <w:rsid w:val="00E879C6"/>
    <w:rsid w:val="00E97BD8"/>
    <w:rsid w:val="00F24EEB"/>
    <w:rsid w:val="00F546C4"/>
    <w:rsid w:val="00FA709F"/>
    <w:rsid w:val="00FE6AA4"/>
    <w:rsid w:val="00FF23FB"/>
    <w:rsid w:val="00FF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A4"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3101160862354863"/>
          <c:y val="0.25660377358490588"/>
          <c:w val="0.53897180762852614"/>
          <c:h val="0.4830188679245293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9999FF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0000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4092978790991119E-2"/>
                  <c:y val="-0.12805506671272743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48 %</a:t>
                    </a:r>
                    <a:endParaRPr lang="en-US"/>
                  </a:p>
                </c:rich>
              </c:tx>
              <c:spPr>
                <a:noFill/>
                <a:ln w="25364">
                  <a:noFill/>
                </a:ln>
              </c:spPr>
              <c:showVal val="1"/>
            </c:dLbl>
            <c:dLbl>
              <c:idx val="1"/>
              <c:layout>
                <c:manualLayout>
                  <c:x val="4.0506975052379504E-2"/>
                  <c:y val="-0.2293585739012792"/>
                </c:manualLayout>
              </c:layout>
              <c:tx>
                <c:rich>
                  <a:bodyPr/>
                  <a:lstStyle/>
                  <a:p>
                    <a:pPr>
                      <a:defRPr sz="1173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52</a:t>
                    </a:r>
                    <a:r>
                      <a:rPr lang="en-US"/>
                      <a:t>%</a:t>
                    </a:r>
                  </a:p>
                </c:rich>
              </c:tx>
              <c:spPr>
                <a:noFill/>
                <a:ln w="25364">
                  <a:noFill/>
                </a:ln>
              </c:spPr>
              <c:showVal val="1"/>
            </c:dLbl>
            <c:delete val="1"/>
          </c:dLbls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0.46</c:v>
                </c:pt>
                <c:pt idx="1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2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682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Sheet1!$B$1:$C$1</c:f>
              <c:strCache>
                <c:ptCount val="2"/>
                <c:pt idx="0">
                  <c:v>Мужчины</c:v>
                </c:pt>
                <c:pt idx="1">
                  <c:v>Женщины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</c:ser>
      </c:pie3DChart>
      <c:spPr>
        <a:solidFill>
          <a:srgbClr val="FFFFFF"/>
        </a:solidFill>
        <a:ln w="25364">
          <a:noFill/>
        </a:ln>
      </c:spPr>
    </c:plotArea>
    <c:legend>
      <c:legendPos val="r"/>
      <c:layout>
        <c:manualLayout>
          <c:xMode val="edge"/>
          <c:yMode val="edge"/>
          <c:x val="0.77313147802819926"/>
          <c:y val="0.22264163228689829"/>
          <c:w val="0.19071310116086274"/>
          <c:h val="0.51320754716981132"/>
        </c:manualLayout>
      </c:layout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130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0.1281198003327787"/>
          <c:y val="0.27636363636363637"/>
          <c:w val="0.51414309484192922"/>
          <c:h val="0.4472727272727273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Проценты</c:v>
                </c:pt>
              </c:strCache>
            </c:strRef>
          </c:tx>
          <c:spPr>
            <a:solidFill>
              <a:srgbClr val="FFFF00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00CC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2.3346887072732171E-2"/>
                  <c:y val="-4.549690713975694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1.6870512245750518E-2"/>
                  <c:y val="-1.687430750761082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1.4935008767580801E-2"/>
                  <c:y val="-3.719932062190159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 w="25471">
                <a:noFill/>
              </a:ln>
            </c:spPr>
            <c:txPr>
              <a:bodyPr/>
              <a:lstStyle/>
              <a:p>
                <a:pPr>
                  <a:defRPr sz="120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0.16</c:v>
                </c:pt>
                <c:pt idx="1">
                  <c:v>0.42000000000000032</c:v>
                </c:pt>
                <c:pt idx="2">
                  <c:v>0.28000000000000008</c:v>
                </c:pt>
                <c:pt idx="3">
                  <c:v>0.14000000000000001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35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4"/>
                <c:pt idx="0">
                  <c:v>18-29 лет</c:v>
                </c:pt>
                <c:pt idx="1">
                  <c:v>30-49 лет</c:v>
                </c:pt>
                <c:pt idx="2">
                  <c:v>50-59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</c:pie3DChart>
      <c:spPr>
        <a:solidFill>
          <a:srgbClr val="FFFFFF"/>
        </a:solidFill>
        <a:ln w="25471">
          <a:noFill/>
        </a:ln>
      </c:spPr>
    </c:plotArea>
    <c:legend>
      <c:legendPos val="r"/>
      <c:layout>
        <c:manualLayout>
          <c:xMode val="edge"/>
          <c:yMode val="edge"/>
          <c:x val="0.77204658901830281"/>
          <c:y val="0.32363636363636406"/>
          <c:w val="0.22129783693843594"/>
          <c:h val="0.35272727272727317"/>
        </c:manualLayout>
      </c:layout>
      <c:spPr>
        <a:noFill/>
        <a:ln w="3184">
          <a:solidFill>
            <a:srgbClr val="000000"/>
          </a:solidFill>
          <a:prstDash val="solid"/>
        </a:ln>
      </c:spPr>
      <c:txPr>
        <a:bodyPr/>
        <a:lstStyle/>
        <a:p>
          <a:pPr>
            <a:defRPr sz="110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20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2.0425611016404725E-3"/>
          <c:y val="0.29187484737081898"/>
          <c:w val="0.72189542146171948"/>
          <c:h val="0.4926609289094530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5"/>
          <c:dPt>
            <c:idx val="0"/>
            <c:explosion val="14"/>
            <c:spPr>
              <a:solidFill>
                <a:srgbClr val="FF00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1"/>
            <c:explosion val="27"/>
            <c:spPr>
              <a:solidFill>
                <a:srgbClr val="00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2"/>
            <c:explosion val="37"/>
            <c:spPr>
              <a:solidFill>
                <a:srgbClr val="D008F8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3"/>
            <c:explosion val="42"/>
            <c:spPr>
              <a:solidFill>
                <a:srgbClr val="FFFF0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Pt>
            <c:idx val="4"/>
            <c:explosion val="33"/>
            <c:spPr>
              <a:solidFill>
                <a:srgbClr val="002060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ru-RU"/>
                      <a:t>7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38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r>
                      <a:rPr lang="en-US"/>
                      <a:t>%</a:t>
                    </a:r>
                  </a:p>
                </c:rich>
              </c:tx>
              <c:dLblPos val="bestFit"/>
              <c:showVal val="1"/>
            </c:dLbl>
            <c:spPr>
              <a:noFill/>
              <a:ln w="25410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9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</c:dLbls>
          <c:cat>
            <c:strRef>
              <c:f>Лист1!$A$2:$A$6</c:f>
              <c:strCache>
                <c:ptCount val="5"/>
                <c:pt idx="0">
                  <c:v>высшее образование</c:v>
                </c:pt>
                <c:pt idx="1">
                  <c:v>среднее специальное</c:v>
                </c:pt>
                <c:pt idx="2">
                  <c:v>среднее </c:v>
                </c:pt>
                <c:pt idx="3">
                  <c:v>неполное среднее</c:v>
                </c:pt>
                <c:pt idx="4">
                  <c:v>незаконченное высшее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0.43400000000000039</c:v>
                </c:pt>
                <c:pt idx="1">
                  <c:v>0.41800000000000032</c:v>
                </c:pt>
                <c:pt idx="2">
                  <c:v>0.11600000000000002</c:v>
                </c:pt>
                <c:pt idx="3">
                  <c:v>2.8000000000000001E-2</c:v>
                </c:pt>
                <c:pt idx="4">
                  <c:v>4.0000000000000062E-3</c:v>
                </c:pt>
              </c:numCache>
            </c:numRef>
          </c:val>
        </c:ser>
        <c:dLbls>
          <c:showVal val="1"/>
        </c:dLbls>
      </c:pie3DChart>
      <c:spPr>
        <a:noFill/>
        <a:ln w="25410">
          <a:noFill/>
        </a:ln>
      </c:spPr>
    </c:plotArea>
    <c:plotVisOnly val="1"/>
    <c:dispBlanksAs val="zero"/>
  </c:chart>
  <c:spPr>
    <a:solidFill>
      <a:schemeClr val="bg1"/>
    </a:solidFill>
    <a:ln w="9529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30"/>
      <c:perspective val="0"/>
    </c:view3D>
    <c:plotArea>
      <c:layout>
        <c:manualLayout>
          <c:layoutTarget val="inner"/>
          <c:xMode val="edge"/>
          <c:yMode val="edge"/>
          <c:x val="0.14027510475603791"/>
          <c:y val="0.24164071065483902"/>
          <c:w val="0.52164661814227864"/>
          <c:h val="0.4413778281670491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5469">
              <a:noFill/>
            </a:ln>
          </c:spPr>
          <c:explosion val="25"/>
          <c:dPt>
            <c:idx val="0"/>
            <c:spPr>
              <a:solidFill>
                <a:srgbClr val="00FFFF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FF00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00FF00"/>
              </a:solidFill>
              <a:ln w="1273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4.2080679414297474E-2"/>
                  <c:y val="4.34918530185326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 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86,0</a:t>
                    </a:r>
                    <a:r>
                      <a:rPr lang="en-US"/>
                      <a:t>%</a:t>
                    </a:r>
                  </a:p>
                </c:rich>
              </c:tx>
              <c:showVal val="1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17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Sheet1!$B$1:$D$1</c:f>
              <c:strCache>
                <c:ptCount val="3"/>
                <c:pt idx="0">
                  <c:v>руководители</c:v>
                </c:pt>
                <c:pt idx="1">
                  <c:v>предприниматели</c:v>
                </c:pt>
                <c:pt idx="2">
                  <c:v>оставшаяся доля респондентов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0.14000000000000001</c:v>
                </c:pt>
                <c:pt idx="1">
                  <c:v>3.0000000000000002E-2</c:v>
                </c:pt>
                <c:pt idx="2">
                  <c:v>0.83000000000000063</c:v>
                </c:pt>
              </c:numCache>
            </c:numRef>
          </c:val>
        </c:ser>
      </c:pie3DChart>
      <c:spPr>
        <a:solidFill>
          <a:srgbClr val="FFFFFF"/>
        </a:solidFill>
        <a:ln w="25469">
          <a:noFill/>
        </a:ln>
      </c:spPr>
    </c:plotArea>
    <c:legend>
      <c:legendPos val="r"/>
      <c:layout>
        <c:manualLayout>
          <c:xMode val="edge"/>
          <c:yMode val="edge"/>
          <c:x val="0.70284697508896798"/>
          <c:y val="9.4797201168618228E-2"/>
          <c:w val="0.27402135231316727"/>
          <c:h val="0.72782379962111066"/>
        </c:manualLayout>
      </c:layout>
      <c:spPr>
        <a:noFill/>
        <a:ln w="3184">
          <a:noFill/>
          <a:prstDash val="solid"/>
        </a:ln>
      </c:spPr>
      <c:txPr>
        <a:bodyPr/>
        <a:lstStyle/>
        <a:p>
          <a:pPr>
            <a:defRPr sz="108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17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25"/>
      <c:hPercent val="50"/>
      <c:rotY val="200"/>
      <c:perspective val="0"/>
    </c:view3D>
    <c:plotArea>
      <c:layout>
        <c:manualLayout>
          <c:layoutTarget val="inner"/>
          <c:xMode val="edge"/>
          <c:yMode val="edge"/>
          <c:x val="0.28298887122416666"/>
          <c:y val="0.30813953488372076"/>
          <c:w val="0.43720190779014356"/>
          <c:h val="0.3895348837209309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FFFF00"/>
            </a:solidFill>
            <a:ln w="25469">
              <a:noFill/>
            </a:ln>
          </c:spPr>
          <c:explosion val="29"/>
          <c:dPt>
            <c:idx val="1"/>
            <c:spPr>
              <a:solidFill>
                <a:srgbClr val="00FF00"/>
              </a:solidFill>
              <a:ln w="25469">
                <a:noFill/>
              </a:ln>
            </c:spPr>
          </c:dPt>
          <c:dPt>
            <c:idx val="2"/>
            <c:spPr>
              <a:solidFill>
                <a:srgbClr val="FF6600"/>
              </a:solidFill>
              <a:ln w="25469">
                <a:noFill/>
              </a:ln>
            </c:spPr>
          </c:dPt>
          <c:dPt>
            <c:idx val="3"/>
            <c:spPr>
              <a:solidFill>
                <a:srgbClr val="0000FF"/>
              </a:solidFill>
              <a:ln w="25469">
                <a:noFill/>
              </a:ln>
            </c:spPr>
          </c:dPt>
          <c:dPt>
            <c:idx val="4"/>
            <c:spPr>
              <a:solidFill>
                <a:srgbClr val="FF0000"/>
              </a:solidFill>
              <a:ln w="25469">
                <a:noFill/>
              </a:ln>
            </c:spPr>
          </c:dPt>
          <c:dPt>
            <c:idx val="5"/>
            <c:spPr>
              <a:solidFill>
                <a:srgbClr val="800080"/>
              </a:solidFill>
              <a:ln w="25469">
                <a:noFill/>
              </a:ln>
            </c:spPr>
          </c:dPt>
          <c:dLbls>
            <c:dLbl>
              <c:idx val="0"/>
              <c:layout>
                <c:manualLayout>
                  <c:x val="3.0212663704673751E-2"/>
                  <c:y val="-0.1794391467355444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Неотвратимость и жесткость наказаний; 100%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1"/>
              <c:layout>
                <c:manualLayout>
                  <c:x val="-3.5399537483713661E-2"/>
                  <c:y val="-0.1865664998933664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Наличие стандартов оказания услуг; 15%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2"/>
              <c:layout>
                <c:manualLayout>
                  <c:x val="8.0977283139364711E-2"/>
                  <c:y val="-7.545318550650731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Повышение оплаты труда; 31%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3"/>
              <c:layout>
                <c:manualLayout>
                  <c:x val="4.5010957951447461E-3"/>
                  <c:y val="0.1447573109761877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Широкое привлечение населения к борьбе с коррупцией; 18%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4"/>
              <c:layout>
                <c:manualLayout>
                  <c:x val="-0.13113564438336692"/>
                  <c:y val="9.66410219813622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Разъяснительная правовая работа; 18%</a:t>
                    </a:r>
                  </a:p>
                </c:rich>
              </c:tx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7427896955184174"/>
                  <c:y val="-6.033572220468431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Освещение в СМИ антикоррупционной политики; 18%</a:t>
                    </a:r>
                  </a:p>
                </c:rich>
              </c:tx>
              <c:dLblPos val="bestFit"/>
              <c:showVal val="1"/>
              <c:showCatName val="1"/>
            </c:dLbl>
            <c:spPr>
              <a:solidFill>
                <a:srgbClr val="FFFFFF"/>
              </a:solidFill>
              <a:ln w="25469">
                <a:noFill/>
              </a:ln>
            </c:spPr>
            <c:txPr>
              <a:bodyPr/>
              <a:lstStyle/>
              <a:p>
                <a:pPr>
                  <a:defRPr sz="802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Val val="1"/>
            <c:showCatName val="1"/>
            <c:showLeaderLines val="1"/>
          </c:dLbls>
          <c:cat>
            <c:strRef>
              <c:f>Sheet1!$B$1:$G$1</c:f>
              <c:strCache>
                <c:ptCount val="6"/>
                <c:pt idx="0">
                  <c:v>Неотвратимость и жесткость наказаний</c:v>
                </c:pt>
                <c:pt idx="1">
                  <c:v>Наличие стандартов оказания услуг</c:v>
                </c:pt>
                <c:pt idx="2">
                  <c:v>Повышение оплаты труда</c:v>
                </c:pt>
                <c:pt idx="3">
                  <c:v>Широкое привлечение населения к борьбе с коррупцией</c:v>
                </c:pt>
                <c:pt idx="4">
                  <c:v>Разъяснительная правовая работа</c:v>
                </c:pt>
                <c:pt idx="5">
                  <c:v>Освещение в СМИ антикоррупционной политики</c:v>
                </c:pt>
              </c:strCache>
            </c:strRef>
          </c:cat>
          <c:val>
            <c:numRef>
              <c:f>Sheet1!$B$2:$G$2</c:f>
              <c:numCache>
                <c:formatCode>0.0%</c:formatCode>
                <c:ptCount val="6"/>
                <c:pt idx="0" formatCode="0%">
                  <c:v>0.72000000000000064</c:v>
                </c:pt>
                <c:pt idx="1">
                  <c:v>0.17500000000000004</c:v>
                </c:pt>
                <c:pt idx="2" formatCode="0.00%">
                  <c:v>7.2500000000000023E-2</c:v>
                </c:pt>
                <c:pt idx="3">
                  <c:v>0.13</c:v>
                </c:pt>
                <c:pt idx="4">
                  <c:v>6.5000000000000002E-2</c:v>
                </c:pt>
                <c:pt idx="5">
                  <c:v>7.5000000000000011E-2</c:v>
                </c:pt>
              </c:numCache>
            </c:numRef>
          </c:val>
        </c:ser>
        <c:dLbls>
          <c:showVal val="1"/>
          <c:showCatName val="1"/>
        </c:dLbls>
      </c:pie3DChart>
      <c:spPr>
        <a:noFill/>
        <a:ln w="25469">
          <a:noFill/>
        </a:ln>
      </c:spPr>
    </c:plotArea>
    <c:plotVisOnly val="1"/>
    <c:dispBlanksAs val="zero"/>
  </c:chart>
  <c:spPr>
    <a:solidFill>
      <a:srgbClr val="FFFFFF"/>
    </a:solidFill>
    <a:ln>
      <a:noFill/>
    </a:ln>
  </c:spPr>
  <c:txPr>
    <a:bodyPr/>
    <a:lstStyle/>
    <a:p>
      <a:pPr>
        <a:defRPr sz="190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4B47-CA44-405A-AAF0-656A01A7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4294827824</TotalTime>
  <Pages>10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2022-3</cp:lastModifiedBy>
  <cp:revision>41</cp:revision>
  <dcterms:created xsi:type="dcterms:W3CDTF">2018-05-30T04:47:00Z</dcterms:created>
  <dcterms:modified xsi:type="dcterms:W3CDTF">2022-04-01T08:09:00Z</dcterms:modified>
</cp:coreProperties>
</file>