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УВЕДОМЛЕНИЕ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 проведении публичных консультаций в рамках анализа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нормативных правовых актов на соответствие их антимонопольному законодательству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567" w:leader="none"/>
        </w:tabs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по проекту постановления администрации муниципального образования Кавказский район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0"/>
          <w:position w:val="0"/>
          <w:sz w:val="28"/>
          <w:shd w:fill="auto" w:val="clear"/>
        </w:rPr>
        <w:t xml:space="preserve">Об установлении ежегодной денежной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выплаты к началу учебного года педагогическим работникам муниципальных общеобразовательных организаций муниципального образования Кавказский район и утверждении  порядка  ее  предоставления»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352140, Краснодарский край, Кавказский район, ст-ца Кавказская, ул. Ленина, д. 191, каб. 32, а также по адресу электронной почты: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u w:val="single"/>
          <w:shd w:fill="auto" w:val="clear"/>
        </w:rPr>
        <w:t xml:space="preserve">buh_uo@mail.ru.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Сроки приема предложений и замечаний: с 22.08.2022 г. по 29.08.2022 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Место размещения уведомления и проекта нормативного правового акта в информационно-телекоммуникационной сети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официальный сайт муниципального образования Кавказский район: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0A"/>
            <w:spacing w:val="0"/>
            <w:position w:val="0"/>
            <w:sz w:val="28"/>
            <w:u w:val="single"/>
            <w:shd w:fill="auto" w:val="clear"/>
          </w:rPr>
          <w:t xml:space="preserve">www.kavraion.ru</w:t>
        </w:r>
      </w:hyperlink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,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Все поступившие предложения и замечания будут рассмотрены до 29.08.2022 г.</w:t>
      </w:r>
    </w:p>
    <w:p>
      <w:pPr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уведомлению прилагаются: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Анкета для участников публичных консультаций (согласно приложению).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Контактные лица: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Митрофанова Лариса Прокофьевна, начальник Муниципального казенного учреждения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Централизованная бухгалтерия  образования муниципального образования Кавказский район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», 22-5-31;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FFFFFF" w:val="clear"/>
        </w:rPr>
        <w:t xml:space="preserve">с 09-00 до 13-00, с 14-00 до 17-00 по рабочим дням.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ПРИЛОЖЕНИЕ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к уведомлению о проведении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публичных консультаций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в рамках анализа нормативных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правовых актов на соответствие</w:t>
      </w:r>
    </w:p>
    <w:p>
      <w:pPr>
        <w:suppressAutoHyphens w:val="true"/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их антимонопольному законодательству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  <w:tab w:val="left" w:pos="29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Анкета для участников публичных консультаций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4672"/>
        <w:gridCol w:w="4672"/>
      </w:tblGrid>
      <w:tr>
        <w:trPr>
          <w:trHeight w:val="1" w:hRule="atLeast"/>
          <w:jc w:val="left"/>
        </w:trPr>
        <w:tc>
          <w:tcPr>
            <w:tcW w:w="9344" w:type="dxa"/>
            <w:gridSpan w:val="2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По возможности, укажите:</w:t>
            </w: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Наименование организации: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Сферу деятельности организации: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Ф.И.О контактного лица: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Номер телефон: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Адрес электронной почты:</w:t>
            </w:r>
          </w:p>
        </w:tc>
        <w:tc>
          <w:tcPr>
            <w:tcW w:w="4672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  <w:t xml:space="preserve">Общие сведения о нормативном правовом акте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4669"/>
        <w:gridCol w:w="4766"/>
      </w:tblGrid>
      <w:tr>
        <w:trPr>
          <w:trHeight w:val="1" w:hRule="atLeast"/>
          <w:jc w:val="left"/>
        </w:trPr>
        <w:tc>
          <w:tcPr>
            <w:tcW w:w="46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Сфера регулирования:</w:t>
            </w:r>
          </w:p>
        </w:tc>
        <w:tc>
          <w:tcPr>
            <w:tcW w:w="476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69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Вид и наименование:</w:t>
            </w:r>
          </w:p>
        </w:tc>
        <w:tc>
          <w:tcPr>
            <w:tcW w:w="4766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  <w:tbl>
      <w:tblPr/>
      <w:tblGrid>
        <w:gridCol w:w="9493"/>
      </w:tblGrid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auto" w:val="clear"/>
              </w:rPr>
              <w:t xml:space="preserve"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8"/>
                <w:shd w:fill="auto" w:val="clear"/>
              </w:rPr>
              <w:t xml:space="preserve">Предложения и замечания по (проекту) нормативного правового акта</w:t>
            </w:r>
          </w:p>
        </w:tc>
      </w:tr>
      <w:tr>
        <w:trPr>
          <w:trHeight w:val="1" w:hRule="atLeast"/>
          <w:jc w:val="left"/>
        </w:trPr>
        <w:tc>
          <w:tcPr>
            <w:tcW w:w="9493" w:type="dxa"/>
            <w:tcBorders>
              <w:top w:val="single" w:color="00000a" w:sz="4"/>
              <w:left w:val="single" w:color="00000a" w:sz="4"/>
              <w:bottom w:val="single" w:color="00000a" w:sz="4"/>
              <w:right w:val="single" w:color="00000a" w:sz="4"/>
            </w:tcBorders>
            <w:shd w:color="000000" w:fill="auto" w:val="clear"/>
            <w:tcMar>
              <w:left w:w="103" w:type="dxa"/>
              <w:right w:w="103" w:type="dxa"/>
            </w:tcMar>
            <w:vAlign w:val="top"/>
          </w:tcPr>
          <w:p>
            <w:pPr>
              <w:tabs>
                <w:tab w:val="left" w:pos="708" w:leader="none"/>
                <w:tab w:val="left" w:pos="2940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kavraion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